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47AEDAA8" w:rsidR="00675B92" w:rsidRPr="00377759" w:rsidRDefault="00330FA1" w:rsidP="00641AB6">
      <w:pPr>
        <w:jc w:val="center"/>
        <w:rPr>
          <w:rFonts w:ascii="Arial" w:eastAsia="Times New Roman" w:hAnsi="Arial" w:cs="Arial"/>
          <w:b/>
          <w:noProof w:val="0"/>
          <w:sz w:val="20"/>
          <w:szCs w:val="20"/>
        </w:rPr>
      </w:pPr>
      <w:r>
        <w:rPr>
          <w:rFonts w:ascii="Arial" w:hAnsi="Arial" w:cs="Arial"/>
          <w:noProof w:val="0"/>
          <w:sz w:val="18"/>
          <w:szCs w:val="18"/>
        </w:rPr>
        <w:t>Zaštićena oznaka porijekla</w:t>
      </w:r>
      <w:r w:rsidR="00675B92">
        <w:rPr>
          <w:rFonts w:ascii="Arial" w:hAnsi="Arial" w:cs="Arial"/>
          <w:noProof w:val="0"/>
          <w:sz w:val="18"/>
          <w:szCs w:val="18"/>
        </w:rPr>
        <w:t xml:space="preserve"> Kuči</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0F2614"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Datum prijema (DD/MM/GGGG) </w:t>
            </w:r>
            <w:r w:rsidRPr="000F2614">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0F2614" w:rsidRDefault="00330FA1" w:rsidP="00330FA1">
            <w:pPr>
              <w:spacing w:before="100" w:beforeAutospacing="1" w:after="100" w:afterAutospacing="1" w:line="276" w:lineRule="auto"/>
              <w:rPr>
                <w:rFonts w:ascii="Arial" w:hAnsi="Arial" w:cs="Arial"/>
                <w:noProof w:val="0"/>
                <w:sz w:val="18"/>
                <w:szCs w:val="18"/>
              </w:rPr>
            </w:pPr>
          </w:p>
        </w:tc>
      </w:tr>
      <w:tr w:rsidR="00330FA1" w:rsidRPr="000F2614"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B8700A" w:rsidRDefault="00330FA1" w:rsidP="00330FA1">
            <w:pPr>
              <w:spacing w:before="100" w:beforeAutospacing="1" w:after="100" w:afterAutospacing="1" w:line="276" w:lineRule="auto"/>
              <w:rPr>
                <w:rFonts w:ascii="Arial" w:hAnsi="Arial" w:cs="Arial"/>
                <w:noProof w:val="0"/>
                <w:sz w:val="18"/>
                <w:szCs w:val="18"/>
              </w:rPr>
            </w:pPr>
            <w:r w:rsidRPr="00B8700A">
              <w:rPr>
                <w:rFonts w:ascii="Arial" w:hAnsi="Arial" w:cs="Arial"/>
                <w:noProof w:val="0"/>
                <w:sz w:val="18"/>
                <w:szCs w:val="18"/>
              </w:rPr>
              <w:t xml:space="preserve">Broj stranica </w:t>
            </w:r>
            <w:r w:rsidRPr="00B8700A">
              <w:rPr>
                <w:rFonts w:ascii="Arial" w:hAnsi="Arial" w:cs="Arial"/>
                <w:i/>
                <w:noProof w:val="0"/>
                <w:sz w:val="16"/>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24CA070D" w:rsidR="00330FA1" w:rsidRPr="00B8700A" w:rsidRDefault="00330FA1" w:rsidP="00330FA1">
            <w:pPr>
              <w:spacing w:before="100" w:beforeAutospacing="1" w:after="100" w:afterAutospacing="1" w:line="276" w:lineRule="auto"/>
              <w:rPr>
                <w:rFonts w:ascii="Arial" w:hAnsi="Arial" w:cs="Arial"/>
                <w:noProof w:val="0"/>
                <w:sz w:val="18"/>
                <w:szCs w:val="18"/>
              </w:rPr>
            </w:pPr>
            <w:r w:rsidRPr="00B8700A">
              <w:rPr>
                <w:rFonts w:ascii="Arial" w:hAnsi="Arial" w:cs="Arial"/>
                <w:noProof w:val="0"/>
                <w:sz w:val="18"/>
                <w:szCs w:val="18"/>
              </w:rPr>
              <w:t>4 (</w:t>
            </w:r>
            <w:r w:rsidR="00B8700A" w:rsidRPr="00B8700A">
              <w:rPr>
                <w:rFonts w:ascii="Arial" w:hAnsi="Arial" w:cs="Arial"/>
                <w:noProof w:val="0"/>
                <w:sz w:val="18"/>
                <w:szCs w:val="18"/>
              </w:rPr>
              <w:t>četiri</w:t>
            </w:r>
            <w:r w:rsidRPr="00B8700A">
              <w:rPr>
                <w:rFonts w:ascii="Arial" w:hAnsi="Arial" w:cs="Arial"/>
                <w:noProof w:val="0"/>
                <w:sz w:val="18"/>
                <w:szCs w:val="18"/>
              </w:rPr>
              <w:t>)</w:t>
            </w:r>
          </w:p>
        </w:tc>
      </w:tr>
      <w:tr w:rsidR="00330FA1" w:rsidRPr="000F2614"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crnogorski</w:t>
            </w:r>
          </w:p>
        </w:tc>
      </w:tr>
      <w:tr w:rsidR="00330FA1" w:rsidRPr="000F2614"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Djelovodni broj </w:t>
            </w:r>
            <w:r w:rsidRPr="000F2614">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DF5DC9" w:rsidRPr="000F2614"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0F2614" w:rsidRDefault="00DF5DC9" w:rsidP="00DF5DC9">
            <w:pPr>
              <w:spacing w:before="100" w:beforeAutospacing="1" w:after="100" w:afterAutospacing="1" w:line="276" w:lineRule="auto"/>
              <w:rPr>
                <w:rFonts w:ascii="Arial" w:hAnsi="Arial" w:cs="Arial"/>
                <w:noProof w:val="0"/>
                <w:color w:val="FF0000"/>
                <w:sz w:val="18"/>
                <w:szCs w:val="18"/>
              </w:rPr>
            </w:pPr>
          </w:p>
        </w:tc>
      </w:tr>
      <w:tr w:rsidR="00330FA1" w:rsidRPr="000F2614"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0F2614" w:rsidRDefault="00330FA1" w:rsidP="00330FA1">
            <w:pPr>
              <w:spacing w:before="100" w:beforeAutospacing="1" w:after="100" w:afterAutospacing="1" w:line="276" w:lineRule="auto"/>
              <w:rPr>
                <w:rFonts w:ascii="Arial" w:hAnsi="Arial" w:cs="Arial"/>
                <w:noProof w:val="0"/>
                <w:color w:val="FF0000"/>
                <w:sz w:val="18"/>
                <w:szCs w:val="18"/>
              </w:rPr>
            </w:pPr>
          </w:p>
        </w:tc>
      </w:tr>
      <w:tr w:rsidR="00330FA1" w:rsidRPr="000F2614"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2E3E91E3"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Nacionalno udruženje vinogradara i vinara Crne Gore</w:t>
            </w:r>
          </w:p>
        </w:tc>
      </w:tr>
      <w:tr w:rsidR="00330FA1" w:rsidRPr="000F2614"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7340AEFC"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Bul. Šarla de Gola br.2, 81000 Podgorica, Crna Gora</w:t>
            </w:r>
          </w:p>
        </w:tc>
      </w:tr>
      <w:tr w:rsidR="00330FA1" w:rsidRPr="000F2614"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Pravni status, veličina i sastav </w:t>
            </w:r>
            <w:r w:rsidRPr="000F2614">
              <w:rPr>
                <w:rFonts w:ascii="Arial" w:hAnsi="Arial" w:cs="Arial"/>
                <w:i/>
                <w:noProof w:val="0"/>
                <w:sz w:val="16"/>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2AC40FE3"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NVO</w:t>
            </w:r>
          </w:p>
        </w:tc>
      </w:tr>
      <w:tr w:rsidR="00330FA1" w:rsidRPr="000F2614"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330FA1" w:rsidRPr="000F2614" w:rsidRDefault="00330FA1" w:rsidP="00330FA1">
            <w:pPr>
              <w:spacing w:before="100" w:beforeAutospacing="1" w:after="100" w:afterAutospacing="1" w:line="276" w:lineRule="auto"/>
              <w:rPr>
                <w:rFonts w:ascii="Arial" w:hAnsi="Arial" w:cs="Arial"/>
                <w:noProof w:val="0"/>
                <w:sz w:val="18"/>
                <w:szCs w:val="18"/>
              </w:rPr>
            </w:pPr>
          </w:p>
        </w:tc>
      </w:tr>
      <w:tr w:rsidR="00330FA1" w:rsidRPr="000F2614"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77777777" w:rsidR="00330FA1" w:rsidRPr="000F2614" w:rsidRDefault="00330FA1" w:rsidP="00330FA1">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E-mail:  vinogradari@t-com.me</w:t>
            </w:r>
          </w:p>
        </w:tc>
      </w:tr>
      <w:tr w:rsidR="00DF5DC9" w:rsidRPr="000F2614"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DF5DC9" w:rsidRPr="000F2614" w:rsidRDefault="00DF5DC9" w:rsidP="00DF5DC9">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77777777" w:rsidR="00DF5DC9" w:rsidRPr="000F2614" w:rsidRDefault="00DF5DC9" w:rsidP="00DF5DC9">
            <w:pPr>
              <w:spacing w:before="100" w:beforeAutospacing="1" w:after="100" w:afterAutospacing="1" w:line="276" w:lineRule="auto"/>
              <w:rPr>
                <w:rFonts w:ascii="Arial" w:hAnsi="Arial" w:cs="Arial"/>
                <w:noProof w:val="0"/>
                <w:color w:val="FF0000"/>
                <w:sz w:val="18"/>
                <w:szCs w:val="18"/>
              </w:rPr>
            </w:pPr>
          </w:p>
        </w:tc>
      </w:tr>
      <w:tr w:rsidR="00307DB0" w:rsidRPr="000F2614"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307DB0" w:rsidRPr="000F2614"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0F2614"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Crna Gora</w:t>
            </w:r>
          </w:p>
        </w:tc>
      </w:tr>
      <w:tr w:rsidR="00307DB0" w:rsidRPr="000F2614"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307DB0" w:rsidRPr="000F2614" w:rsidRDefault="00307DB0" w:rsidP="00307DB0">
            <w:pPr>
              <w:spacing w:line="276" w:lineRule="auto"/>
              <w:rPr>
                <w:rFonts w:ascii="Arial" w:hAnsi="Arial" w:cs="Arial"/>
                <w:noProof w:val="0"/>
                <w:sz w:val="18"/>
                <w:szCs w:val="18"/>
              </w:rPr>
            </w:pPr>
            <w:r w:rsidRPr="000F2614">
              <w:rPr>
                <w:rFonts w:ascii="Arial" w:hAnsi="Arial" w:cs="Arial"/>
                <w:noProof w:val="0"/>
                <w:sz w:val="18"/>
                <w:szCs w:val="18"/>
              </w:rPr>
              <w:t>Ministarstvo poljoprivrede, šumarstva i vodoprivrede Crne Gore</w:t>
            </w:r>
            <w:r w:rsidRPr="000F2614">
              <w:rPr>
                <w:rFonts w:ascii="Arial" w:hAnsi="Arial" w:cs="Arial"/>
                <w:noProof w:val="0"/>
                <w:sz w:val="18"/>
                <w:szCs w:val="18"/>
              </w:rPr>
              <w:br/>
              <w:t>Direktorat za poljoprivredu</w:t>
            </w:r>
          </w:p>
        </w:tc>
      </w:tr>
      <w:tr w:rsidR="00307DB0" w:rsidRPr="000F2614"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307DB0" w:rsidRPr="000F2614" w:rsidRDefault="00307DB0" w:rsidP="00307DB0">
            <w:pPr>
              <w:rPr>
                <w:rFonts w:ascii="Arial" w:hAnsi="Arial" w:cs="Arial"/>
                <w:noProof w:val="0"/>
                <w:sz w:val="18"/>
                <w:szCs w:val="18"/>
              </w:rPr>
            </w:pPr>
            <w:r w:rsidRPr="000F2614">
              <w:rPr>
                <w:rFonts w:ascii="Arial" w:hAnsi="Arial" w:cs="Arial"/>
                <w:noProof w:val="0"/>
                <w:sz w:val="18"/>
                <w:szCs w:val="18"/>
              </w:rPr>
              <w:t>Rimski trg br. 46</w:t>
            </w:r>
          </w:p>
          <w:p w14:paraId="4A9DEA5C" w14:textId="77777777" w:rsidR="00307DB0" w:rsidRPr="000F2614" w:rsidRDefault="00307DB0" w:rsidP="00307DB0">
            <w:pPr>
              <w:rPr>
                <w:rFonts w:ascii="Arial" w:hAnsi="Arial" w:cs="Arial"/>
                <w:noProof w:val="0"/>
                <w:sz w:val="18"/>
                <w:szCs w:val="18"/>
              </w:rPr>
            </w:pPr>
            <w:r w:rsidRPr="000F2614">
              <w:rPr>
                <w:rFonts w:ascii="Arial" w:hAnsi="Arial" w:cs="Arial"/>
                <w:noProof w:val="0"/>
                <w:sz w:val="18"/>
                <w:szCs w:val="18"/>
              </w:rPr>
              <w:t>81000 Podgorica</w:t>
            </w:r>
          </w:p>
          <w:p w14:paraId="2886D7DF" w14:textId="6CEFB3FA" w:rsidR="00307DB0" w:rsidRPr="000F2614" w:rsidRDefault="00307DB0" w:rsidP="00307DB0">
            <w:pPr>
              <w:spacing w:line="276" w:lineRule="auto"/>
              <w:rPr>
                <w:rFonts w:ascii="Arial" w:hAnsi="Arial" w:cs="Arial"/>
                <w:noProof w:val="0"/>
                <w:sz w:val="18"/>
                <w:szCs w:val="18"/>
              </w:rPr>
            </w:pPr>
            <w:r w:rsidRPr="000F2614">
              <w:rPr>
                <w:rFonts w:ascii="Arial" w:hAnsi="Arial" w:cs="Arial"/>
                <w:noProof w:val="0"/>
                <w:sz w:val="18"/>
                <w:szCs w:val="18"/>
              </w:rPr>
              <w:t>Crna Gora</w:t>
            </w:r>
          </w:p>
        </w:tc>
      </w:tr>
      <w:tr w:rsidR="00307DB0" w:rsidRPr="000F2614"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307DB0" w:rsidRPr="000F2614" w:rsidRDefault="00307DB0" w:rsidP="00307DB0">
            <w:pPr>
              <w:spacing w:before="120" w:after="120" w:line="276" w:lineRule="auto"/>
              <w:rPr>
                <w:rFonts w:ascii="Arial" w:hAnsi="Arial" w:cs="Arial"/>
                <w:noProof w:val="0"/>
                <w:sz w:val="18"/>
                <w:szCs w:val="18"/>
              </w:rPr>
            </w:pPr>
            <w:r w:rsidRPr="000F2614">
              <w:rPr>
                <w:rFonts w:ascii="Arial" w:hAnsi="Arial" w:cs="Arial"/>
                <w:noProof w:val="0"/>
                <w:sz w:val="18"/>
                <w:szCs w:val="18"/>
              </w:rPr>
              <w:t>Tel. +382 20 234 105</w:t>
            </w:r>
          </w:p>
        </w:tc>
      </w:tr>
      <w:tr w:rsidR="00307DB0" w:rsidRPr="000F2614" w14:paraId="2F36B17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b/>
                <w:noProof w:val="0"/>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77777777" w:rsidR="00307DB0" w:rsidRPr="000F2614" w:rsidRDefault="00307DB0" w:rsidP="00307DB0">
            <w:pPr>
              <w:spacing w:before="100" w:beforeAutospacing="1" w:after="100" w:afterAutospacing="1" w:line="276" w:lineRule="auto"/>
              <w:rPr>
                <w:rFonts w:ascii="Arial" w:hAnsi="Arial" w:cs="Arial"/>
                <w:b/>
                <w:bCs/>
                <w:noProof w:val="0"/>
                <w:sz w:val="18"/>
                <w:szCs w:val="18"/>
              </w:rPr>
            </w:pPr>
            <w:r w:rsidRPr="000F2614">
              <w:rPr>
                <w:rFonts w:ascii="Arial" w:hAnsi="Arial" w:cs="Arial"/>
                <w:b/>
                <w:bCs/>
                <w:noProof w:val="0"/>
                <w:sz w:val="18"/>
                <w:szCs w:val="18"/>
              </w:rPr>
              <w:t>Kuči</w:t>
            </w:r>
          </w:p>
        </w:tc>
      </w:tr>
      <w:tr w:rsidR="00307DB0" w:rsidRPr="000F2614"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0D26FD94"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Zaštićena oznaka porijekla</w:t>
            </w:r>
          </w:p>
        </w:tc>
      </w:tr>
      <w:tr w:rsidR="00307DB0" w:rsidRPr="000F2614"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307DB0" w:rsidRPr="000F2614" w:rsidRDefault="00307DB0" w:rsidP="00307DB0">
            <w:pPr>
              <w:spacing w:before="100" w:beforeAutospacing="1" w:after="100" w:afterAutospacing="1" w:line="276" w:lineRule="auto"/>
              <w:rPr>
                <w:rFonts w:ascii="Arial" w:hAnsi="Arial" w:cs="Arial"/>
                <w:noProof w:val="0"/>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307DB0" w:rsidRPr="000F2614" w:rsidRDefault="00307DB0" w:rsidP="00307DB0">
            <w:pPr>
              <w:spacing w:before="100" w:beforeAutospacing="1" w:after="100" w:afterAutospacing="1" w:line="276" w:lineRule="auto"/>
              <w:rPr>
                <w:rFonts w:ascii="Arial" w:hAnsi="Arial" w:cs="Arial"/>
                <w:noProof w:val="0"/>
                <w:sz w:val="18"/>
                <w:szCs w:val="18"/>
              </w:rPr>
            </w:pPr>
          </w:p>
        </w:tc>
      </w:tr>
      <w:tr w:rsidR="00307DB0" w:rsidRPr="000F2614"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307DB0" w:rsidRPr="000F2614" w:rsidRDefault="00307DB0" w:rsidP="00307DB0">
            <w:pPr>
              <w:spacing w:before="100" w:beforeAutospacing="1" w:after="100" w:afterAutospacing="1" w:line="276" w:lineRule="auto"/>
              <w:rPr>
                <w:rFonts w:ascii="Arial" w:hAnsi="Arial" w:cs="Arial"/>
                <w:noProof w:val="0"/>
                <w:sz w:val="18"/>
                <w:szCs w:val="18"/>
              </w:rPr>
            </w:pPr>
          </w:p>
        </w:tc>
      </w:tr>
      <w:tr w:rsidR="00307DB0" w:rsidRPr="000F2614"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307DB0" w:rsidRPr="000F2614" w:rsidRDefault="00307DB0" w:rsidP="00307DB0">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307DB0" w:rsidRPr="000F2614" w:rsidRDefault="00307DB0" w:rsidP="00307DB0">
            <w:pPr>
              <w:spacing w:before="100" w:beforeAutospacing="1" w:after="100" w:afterAutospacing="1" w:line="276" w:lineRule="auto"/>
              <w:rPr>
                <w:rFonts w:ascii="Arial" w:hAnsi="Arial" w:cs="Arial"/>
                <w:noProof w:val="0"/>
                <w:sz w:val="18"/>
                <w:szCs w:val="18"/>
              </w:rPr>
            </w:pPr>
          </w:p>
        </w:tc>
      </w:tr>
      <w:tr w:rsidR="00307DB0" w:rsidRPr="000F2614"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4F789791" w:rsidR="00307DB0" w:rsidRPr="000F2614" w:rsidRDefault="00307DB0" w:rsidP="00307DB0">
            <w:pPr>
              <w:spacing w:before="100" w:beforeAutospacing="1" w:after="100" w:afterAutospacing="1" w:line="276" w:lineRule="auto"/>
              <w:rPr>
                <w:rFonts w:ascii="Arial" w:hAnsi="Arial" w:cs="Arial"/>
                <w:noProof w:val="0"/>
                <w:sz w:val="18"/>
                <w:szCs w:val="18"/>
              </w:rPr>
            </w:pPr>
            <w:r w:rsidRPr="000F2614">
              <w:rPr>
                <w:rFonts w:ascii="Arial" w:hAnsi="Arial" w:cs="Arial"/>
                <w:noProof w:val="0"/>
                <w:sz w:val="18"/>
                <w:szCs w:val="18"/>
              </w:rPr>
              <w:t>vino</w:t>
            </w:r>
          </w:p>
        </w:tc>
      </w:tr>
      <w:tr w:rsidR="00307DB0" w:rsidRPr="000F2614"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307DB0" w:rsidRPr="000F2614" w:rsidRDefault="00307DB0" w:rsidP="00307DB0">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307DB0" w:rsidRPr="000F2614" w:rsidRDefault="00307DB0" w:rsidP="00307DB0">
            <w:pPr>
              <w:spacing w:before="100" w:beforeAutospacing="1" w:after="100" w:afterAutospacing="1" w:line="276" w:lineRule="auto"/>
              <w:rPr>
                <w:rFonts w:ascii="Arial" w:hAnsi="Arial" w:cs="Arial"/>
                <w:noProof w:val="0"/>
                <w:color w:val="FF0000"/>
                <w:sz w:val="18"/>
                <w:szCs w:val="18"/>
              </w:rPr>
            </w:pPr>
          </w:p>
        </w:tc>
      </w:tr>
      <w:tr w:rsidR="00307DB0" w:rsidRPr="004E4FF3"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9BB2F9A" w14:textId="19CC5D05" w:rsidR="00084FED" w:rsidRPr="004E4FF3" w:rsidRDefault="00084FED" w:rsidP="00B121DF">
            <w:pPr>
              <w:spacing w:after="120" w:line="276" w:lineRule="auto"/>
              <w:ind w:left="46" w:right="97"/>
              <w:jc w:val="both"/>
              <w:rPr>
                <w:rFonts w:ascii="Arial" w:hAnsi="Arial" w:cs="Arial"/>
                <w:b/>
                <w:sz w:val="14"/>
                <w:szCs w:val="18"/>
              </w:rPr>
            </w:pPr>
            <w:r w:rsidRPr="004E4FF3">
              <w:rPr>
                <w:rFonts w:ascii="Arial" w:hAnsi="Arial" w:cs="Arial"/>
                <w:b/>
                <w:sz w:val="18"/>
                <w:szCs w:val="18"/>
              </w:rPr>
              <w:t xml:space="preserve">Opis proizvoda </w:t>
            </w:r>
            <w:r w:rsidR="00B8700A" w:rsidRPr="004E4FF3">
              <w:rPr>
                <w:rFonts w:ascii="Arial" w:hAnsi="Arial" w:cs="Arial"/>
                <w:b/>
                <w:i/>
                <w:sz w:val="16"/>
                <w:szCs w:val="20"/>
              </w:rPr>
              <w:t xml:space="preserve">(analitička i organoleptička svojstva i </w:t>
            </w:r>
            <w:r w:rsidR="00B8700A" w:rsidRPr="004E4FF3">
              <w:rPr>
                <w:rFonts w:ascii="Arial" w:eastAsia="Arial" w:hAnsi="Arial" w:cs="Arial"/>
                <w:b/>
                <w:i/>
                <w:sz w:val="16"/>
                <w:szCs w:val="20"/>
                <w:lang w:eastAsia="en-US"/>
              </w:rPr>
              <w:t>sortni sastav</w:t>
            </w:r>
            <w:r w:rsidR="00B8700A" w:rsidRPr="004E4FF3">
              <w:rPr>
                <w:rFonts w:ascii="Arial" w:hAnsi="Arial" w:cs="Arial"/>
                <w:b/>
                <w:i/>
                <w:sz w:val="16"/>
                <w:szCs w:val="20"/>
              </w:rPr>
              <w:t>)</w:t>
            </w:r>
            <w:r w:rsidR="00B8700A" w:rsidRPr="004E4FF3">
              <w:rPr>
                <w:rFonts w:ascii="Arial" w:hAnsi="Arial" w:cs="Arial"/>
                <w:b/>
                <w:sz w:val="14"/>
                <w:szCs w:val="18"/>
              </w:rPr>
              <w:t xml:space="preserve"> </w:t>
            </w:r>
          </w:p>
          <w:p w14:paraId="0531BF5C" w14:textId="77777777" w:rsidR="004E4FF3" w:rsidRPr="004E4FF3" w:rsidRDefault="00084FED" w:rsidP="00B121DF">
            <w:pPr>
              <w:spacing w:after="120" w:line="276" w:lineRule="auto"/>
              <w:ind w:left="46" w:right="97"/>
              <w:jc w:val="both"/>
              <w:rPr>
                <w:rFonts w:ascii="Arial" w:hAnsi="Arial" w:cs="Arial"/>
                <w:b/>
                <w:sz w:val="18"/>
                <w:szCs w:val="18"/>
              </w:rPr>
            </w:pPr>
            <w:r w:rsidRPr="004E4FF3">
              <w:rPr>
                <w:rFonts w:ascii="Arial" w:hAnsi="Arial" w:cs="Arial"/>
                <w:b/>
                <w:sz w:val="18"/>
                <w:szCs w:val="18"/>
              </w:rPr>
              <w:t>Opis glavnih tipova vina prema boji</w:t>
            </w:r>
          </w:p>
          <w:p w14:paraId="585F81DC" w14:textId="7CDEAA21" w:rsidR="009D794A" w:rsidRPr="004E4FF3" w:rsidRDefault="009D794A" w:rsidP="00B121DF">
            <w:pPr>
              <w:spacing w:after="120" w:line="276" w:lineRule="auto"/>
              <w:ind w:left="46" w:right="97"/>
              <w:jc w:val="both"/>
              <w:rPr>
                <w:rFonts w:ascii="Arial" w:hAnsi="Arial" w:cs="Arial"/>
                <w:b/>
                <w:bCs/>
                <w:sz w:val="18"/>
                <w:szCs w:val="18"/>
              </w:rPr>
            </w:pPr>
            <w:r w:rsidRPr="004E4FF3">
              <w:rPr>
                <w:rFonts w:ascii="Arial" w:hAnsi="Arial" w:cs="Arial"/>
                <w:b/>
                <w:bCs/>
                <w:sz w:val="18"/>
                <w:szCs w:val="18"/>
              </w:rPr>
              <w:t>Crvena vina</w:t>
            </w:r>
          </w:p>
          <w:p w14:paraId="6305C28A" w14:textId="117C15F6" w:rsidR="009D794A" w:rsidRPr="004E4FF3" w:rsidRDefault="009D794A" w:rsidP="00B121DF">
            <w:pPr>
              <w:spacing w:after="120" w:line="276" w:lineRule="auto"/>
              <w:ind w:left="46" w:right="97"/>
              <w:jc w:val="both"/>
              <w:rPr>
                <w:rFonts w:ascii="Arial" w:hAnsi="Arial" w:cs="Arial"/>
                <w:bCs/>
                <w:sz w:val="18"/>
                <w:szCs w:val="18"/>
              </w:rPr>
            </w:pPr>
            <w:r w:rsidRPr="004E4FF3">
              <w:rPr>
                <w:rFonts w:ascii="Arial" w:hAnsi="Arial" w:cs="Arial"/>
                <w:bCs/>
                <w:sz w:val="18"/>
                <w:szCs w:val="18"/>
              </w:rPr>
              <w:t xml:space="preserve">Crvena vina </w:t>
            </w:r>
            <w:r w:rsidR="00306676" w:rsidRPr="004E4FF3">
              <w:rPr>
                <w:rFonts w:ascii="Arial" w:hAnsi="Arial" w:cs="Arial"/>
                <w:bCs/>
                <w:sz w:val="18"/>
                <w:szCs w:val="18"/>
              </w:rPr>
              <w:t>sub</w:t>
            </w:r>
            <w:r w:rsidRPr="004E4FF3">
              <w:rPr>
                <w:rFonts w:ascii="Arial" w:hAnsi="Arial" w:cs="Arial"/>
                <w:bCs/>
                <w:sz w:val="18"/>
                <w:szCs w:val="18"/>
              </w:rPr>
              <w:t>regiona Kuči obuhvataju suve i polusuve stilove vina, koji se odlikuju intenzivnom rubin-crvenom bojom i izraženim sortnim karakterom. Uglavnom ih karakterišu umjeren do visok sadržaj alkohola, uravnotežena kiselost, umjeren ukupni sadržaj kiselina i povećan sadržaj ekstrakta, što doprinosi punom tijelu, dobroj strukturi i složenosti vina.</w:t>
            </w:r>
          </w:p>
          <w:p w14:paraId="6F051E5E" w14:textId="77777777" w:rsidR="009D794A" w:rsidRPr="004E4FF3" w:rsidRDefault="009D794A" w:rsidP="00B121DF">
            <w:pPr>
              <w:spacing w:after="120" w:line="276" w:lineRule="auto"/>
              <w:ind w:left="46" w:right="97"/>
              <w:jc w:val="both"/>
              <w:rPr>
                <w:rFonts w:ascii="Arial" w:hAnsi="Arial" w:cs="Arial"/>
                <w:bCs/>
                <w:sz w:val="18"/>
                <w:szCs w:val="18"/>
              </w:rPr>
            </w:pPr>
            <w:r w:rsidRPr="004E4FF3">
              <w:rPr>
                <w:rFonts w:ascii="Arial" w:hAnsi="Arial" w:cs="Arial"/>
                <w:bCs/>
                <w:sz w:val="18"/>
                <w:szCs w:val="18"/>
              </w:rPr>
              <w:t>Aromatski profil je bogat i izražajan, sa dominantnim notama zrelog tamnog i crvenog voća, poput šljive, višnje, maline, kupine i borovnice, koje su često upotpunjene cvjetnim notama ljubičice i šipurka, kao i suptilnim biljnim i začinskim nijansama. U zavisnosti od stila vina mogu se javiti i note suvog voća, cimeta i suve trave.</w:t>
            </w:r>
          </w:p>
          <w:p w14:paraId="326AEE1E" w14:textId="77777777" w:rsidR="009D794A" w:rsidRPr="004E4FF3" w:rsidRDefault="009D794A" w:rsidP="00B121DF">
            <w:pPr>
              <w:spacing w:after="120" w:line="276" w:lineRule="auto"/>
              <w:ind w:left="46" w:right="97"/>
              <w:jc w:val="both"/>
              <w:rPr>
                <w:rFonts w:ascii="Arial" w:hAnsi="Arial" w:cs="Arial"/>
                <w:bCs/>
                <w:sz w:val="18"/>
                <w:szCs w:val="18"/>
              </w:rPr>
            </w:pPr>
            <w:r w:rsidRPr="004E4FF3">
              <w:rPr>
                <w:rFonts w:ascii="Arial" w:hAnsi="Arial" w:cs="Arial"/>
                <w:bCs/>
                <w:sz w:val="18"/>
                <w:szCs w:val="18"/>
              </w:rPr>
              <w:t>Na nepcu su ova vina srednjeg do punog tijela, sa zaobljenim taninima, uravnoteženom gorčinom i dobrim do odličnim gustativnim skladom. Kod polusuvih vina ostatak neprevrelog šećera ublažava kiselost i doprinosi punoći ukusa, dok se suva vina odlikuju svježinom, čvrstom strukturom i dugotrajnim završetkom.</w:t>
            </w:r>
          </w:p>
          <w:p w14:paraId="4B3DB303" w14:textId="77777777" w:rsidR="009D794A" w:rsidRPr="004E4FF3" w:rsidRDefault="009D794A" w:rsidP="00B121DF">
            <w:pPr>
              <w:spacing w:after="120" w:line="276" w:lineRule="auto"/>
              <w:ind w:left="46" w:right="97"/>
              <w:jc w:val="both"/>
              <w:rPr>
                <w:rFonts w:ascii="Arial" w:hAnsi="Arial" w:cs="Arial"/>
                <w:bCs/>
                <w:sz w:val="18"/>
                <w:szCs w:val="18"/>
              </w:rPr>
            </w:pPr>
            <w:r w:rsidRPr="004E4FF3">
              <w:rPr>
                <w:rFonts w:ascii="Arial" w:hAnsi="Arial" w:cs="Arial"/>
                <w:bCs/>
                <w:sz w:val="18"/>
                <w:szCs w:val="18"/>
              </w:rPr>
              <w:t>Produžena maceracija značajno doprinosi povećanom sadržaju ekstrakta i glicerola, poboljšavajući teksturu, punoću i ukupan osjećaj u ustima. Ova vina odlikuju dobra postojanost aroma, srednje dug do dug retronazalni utisak i jasno izražena ravnoteža između voćnih aroma, kiselosti i taninske strukture.</w:t>
            </w:r>
          </w:p>
          <w:p w14:paraId="19096A2F" w14:textId="77777777" w:rsidR="009D794A" w:rsidRPr="004E4FF3" w:rsidRDefault="009D794A" w:rsidP="00B121DF">
            <w:pPr>
              <w:spacing w:after="120" w:line="276" w:lineRule="auto"/>
              <w:ind w:left="46" w:right="97"/>
              <w:jc w:val="both"/>
              <w:rPr>
                <w:rFonts w:ascii="Arial" w:hAnsi="Arial" w:cs="Arial"/>
                <w:b/>
                <w:bCs/>
                <w:sz w:val="18"/>
                <w:szCs w:val="18"/>
              </w:rPr>
            </w:pPr>
            <w:r w:rsidRPr="004E4FF3">
              <w:rPr>
                <w:rFonts w:ascii="Arial" w:hAnsi="Arial" w:cs="Arial"/>
                <w:b/>
                <w:bCs/>
                <w:sz w:val="18"/>
                <w:szCs w:val="18"/>
              </w:rPr>
              <w:lastRenderedPageBreak/>
              <w:t>Bijela vina</w:t>
            </w:r>
          </w:p>
          <w:p w14:paraId="6B5D20C0" w14:textId="77777777" w:rsidR="00C81815" w:rsidRPr="004E4FF3" w:rsidRDefault="00C81815" w:rsidP="00B121DF">
            <w:pPr>
              <w:spacing w:after="120" w:line="276" w:lineRule="auto"/>
              <w:ind w:left="46" w:right="97"/>
              <w:jc w:val="both"/>
              <w:rPr>
                <w:rFonts w:ascii="Arial" w:hAnsi="Arial" w:cs="Arial"/>
                <w:bCs/>
                <w:sz w:val="18"/>
                <w:szCs w:val="18"/>
              </w:rPr>
            </w:pPr>
            <w:r w:rsidRPr="004E4FF3">
              <w:rPr>
                <w:rFonts w:ascii="Arial" w:hAnsi="Arial" w:cs="Arial"/>
                <w:bCs/>
                <w:sz w:val="18"/>
                <w:szCs w:val="18"/>
              </w:rPr>
              <w:t>Bijela vina su pretežno suva i odlikuju se sjajnom zlatnožutom bojom, osvježavajućom kiselošću i dobro uravnoteženom strukturom. Najčešće imaju umjeren sadržaj alkohola, povećan ukupni sadržaj kiselina i umjeren sadržaj ekstrakta, što rezultira svježim, živim i skladnim senzornim profilom.</w:t>
            </w:r>
          </w:p>
          <w:p w14:paraId="48DB0582" w14:textId="4D84E58F" w:rsidR="00307DB0" w:rsidRPr="004E4FF3" w:rsidRDefault="00C81815" w:rsidP="00B121DF">
            <w:pPr>
              <w:spacing w:after="120" w:line="276" w:lineRule="auto"/>
              <w:ind w:left="46" w:right="97"/>
              <w:jc w:val="both"/>
              <w:rPr>
                <w:rFonts w:ascii="Arial" w:hAnsi="Arial" w:cs="Arial"/>
                <w:bCs/>
                <w:sz w:val="18"/>
                <w:szCs w:val="18"/>
              </w:rPr>
            </w:pPr>
            <w:r w:rsidRPr="004E4FF3">
              <w:rPr>
                <w:rFonts w:ascii="Arial" w:hAnsi="Arial" w:cs="Arial"/>
                <w:bCs/>
                <w:sz w:val="18"/>
                <w:szCs w:val="18"/>
              </w:rPr>
              <w:t>Aromatski profil karakterišu izražene voćne note breskve, dinje, citrusa i egzotičnog voća. Na nepcu su ova vina svježa, živahna i dobro strukturirana, pri čemu naglašena kiselost doprinosi njihovoj eleganciji i pitkosti. Završetak je čist i umjereno postojan, naglašavajući svježinu i sortnu prepoznatljivost.</w:t>
            </w:r>
          </w:p>
        </w:tc>
      </w:tr>
      <w:tr w:rsidR="00307DB0" w:rsidRPr="004E4FF3" w14:paraId="0BD35F0F"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5B6BBC2E" w:rsidR="00307DB0" w:rsidRPr="004E4FF3" w:rsidRDefault="00307DB0" w:rsidP="00B121DF">
            <w:pPr>
              <w:spacing w:after="120" w:line="276" w:lineRule="auto"/>
              <w:ind w:right="97"/>
              <w:jc w:val="both"/>
              <w:rPr>
                <w:rFonts w:ascii="Arial" w:hAnsi="Arial" w:cs="Arial"/>
                <w:noProof w:val="0"/>
                <w:color w:val="FF0000"/>
                <w:sz w:val="18"/>
                <w:szCs w:val="18"/>
              </w:rPr>
            </w:pPr>
            <w:r w:rsidRPr="004E4FF3">
              <w:rPr>
                <w:rFonts w:ascii="Arial" w:hAnsi="Arial" w:cs="Arial"/>
                <w:noProof w:val="0"/>
                <w:color w:val="FF0000"/>
                <w:sz w:val="18"/>
                <w:szCs w:val="18"/>
              </w:rPr>
              <w:lastRenderedPageBreak/>
              <w:t xml:space="preserve"> </w:t>
            </w:r>
            <w:r w:rsidR="00B8700A" w:rsidRPr="004E4FF3">
              <w:rPr>
                <w:rFonts w:ascii="Arial" w:hAnsi="Arial" w:cs="Arial"/>
                <w:b/>
                <w:sz w:val="18"/>
                <w:szCs w:val="18"/>
              </w:rPr>
              <w:t>Posebni enološki postupci</w:t>
            </w:r>
            <w:r w:rsidR="00B8700A" w:rsidRPr="004E4FF3">
              <w:rPr>
                <w:rFonts w:ascii="Arial" w:hAnsi="Arial" w:cs="Arial"/>
                <w:noProof w:val="0"/>
                <w:sz w:val="20"/>
                <w:szCs w:val="20"/>
              </w:rPr>
              <w:t xml:space="preserve"> </w:t>
            </w:r>
            <w:r w:rsidR="00B8700A" w:rsidRPr="00B121DF">
              <w:rPr>
                <w:rFonts w:ascii="Arial" w:hAnsi="Arial" w:cs="Arial"/>
                <w:b/>
                <w:i/>
                <w:noProof w:val="0"/>
                <w:sz w:val="16"/>
                <w:szCs w:val="16"/>
              </w:rPr>
              <w:t>(neobavezno</w:t>
            </w:r>
            <w:r w:rsidRPr="00B121DF">
              <w:rPr>
                <w:rFonts w:ascii="Arial" w:hAnsi="Arial" w:cs="Arial"/>
                <w:b/>
                <w:i/>
                <w:noProof w:val="0"/>
                <w:sz w:val="16"/>
                <w:szCs w:val="16"/>
              </w:rPr>
              <w:t>)</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307DB0" w:rsidRPr="004E4FF3" w:rsidRDefault="00307DB0" w:rsidP="00B121DF">
            <w:pPr>
              <w:spacing w:after="120" w:line="276" w:lineRule="auto"/>
              <w:ind w:right="97"/>
              <w:jc w:val="both"/>
              <w:rPr>
                <w:rFonts w:ascii="Arial" w:hAnsi="Arial" w:cs="Arial"/>
                <w:noProof w:val="0"/>
                <w:color w:val="FF0000"/>
                <w:sz w:val="18"/>
                <w:szCs w:val="18"/>
              </w:rPr>
            </w:pPr>
          </w:p>
        </w:tc>
      </w:tr>
      <w:tr w:rsidR="00307DB0" w:rsidRPr="004E4FF3"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0EA7B416" w14:textId="1C49C255" w:rsidR="00C81815" w:rsidRPr="004E4FF3" w:rsidRDefault="00C81815" w:rsidP="00B121DF">
            <w:pPr>
              <w:spacing w:after="120" w:line="276" w:lineRule="auto"/>
              <w:ind w:left="46" w:right="97"/>
              <w:jc w:val="both"/>
              <w:rPr>
                <w:rFonts w:ascii="Arial" w:hAnsi="Arial" w:cs="Arial"/>
                <w:b/>
                <w:sz w:val="18"/>
                <w:szCs w:val="18"/>
              </w:rPr>
            </w:pPr>
            <w:r w:rsidRPr="004E4FF3">
              <w:rPr>
                <w:rFonts w:ascii="Arial" w:hAnsi="Arial" w:cs="Arial"/>
                <w:b/>
                <w:sz w:val="18"/>
                <w:szCs w:val="18"/>
              </w:rPr>
              <w:t xml:space="preserve">Razgraničenje geografskog </w:t>
            </w:r>
            <w:r w:rsidR="00B8700A" w:rsidRPr="004E4FF3">
              <w:rPr>
                <w:rFonts w:ascii="Arial" w:hAnsi="Arial" w:cs="Arial"/>
                <w:b/>
                <w:sz w:val="20"/>
                <w:szCs w:val="20"/>
              </w:rPr>
              <w:t>proizvodnog područja</w:t>
            </w:r>
            <w:r w:rsidR="00B8700A" w:rsidRPr="004E4FF3">
              <w:rPr>
                <w:rFonts w:ascii="Arial" w:hAnsi="Arial" w:cs="Arial"/>
                <w:b/>
                <w:sz w:val="18"/>
                <w:szCs w:val="18"/>
              </w:rPr>
              <w:t xml:space="preserve"> </w:t>
            </w:r>
          </w:p>
          <w:p w14:paraId="52B458FA" w14:textId="633EDBB7" w:rsidR="00C81815" w:rsidRPr="004E4FF3" w:rsidRDefault="00306676" w:rsidP="00B121DF">
            <w:pPr>
              <w:spacing w:after="120" w:line="276" w:lineRule="auto"/>
              <w:ind w:left="46" w:right="97"/>
              <w:jc w:val="both"/>
              <w:rPr>
                <w:rFonts w:ascii="Arial" w:hAnsi="Arial" w:cs="Arial"/>
                <w:sz w:val="18"/>
                <w:szCs w:val="18"/>
              </w:rPr>
            </w:pPr>
            <w:r w:rsidRPr="004E4FF3">
              <w:rPr>
                <w:rFonts w:ascii="Arial" w:hAnsi="Arial" w:cs="Arial"/>
                <w:sz w:val="18"/>
                <w:szCs w:val="18"/>
              </w:rPr>
              <w:t>Sub</w:t>
            </w:r>
            <w:r w:rsidR="00C81815" w:rsidRPr="004E4FF3">
              <w:rPr>
                <w:rFonts w:ascii="Arial" w:hAnsi="Arial" w:cs="Arial"/>
                <w:sz w:val="18"/>
                <w:szCs w:val="18"/>
              </w:rPr>
              <w:t>region Kuči obuhvata 12 katastarskih opština koje pripadaju administrativnom području Glavnog grada Podgorice: Donji Zatrijebač, Fundina, Ubli, Orahovo, Koći, Doljani, Medun, Bezjovo, Budza, Vrbica, Momče i Cvilin.</w:t>
            </w:r>
          </w:p>
          <w:p w14:paraId="6BC6565E" w14:textId="0D1B3225" w:rsidR="00C81815" w:rsidRPr="004E4FF3" w:rsidRDefault="00306676" w:rsidP="00B121DF">
            <w:pPr>
              <w:spacing w:after="120" w:line="276" w:lineRule="auto"/>
              <w:ind w:left="46" w:right="97"/>
              <w:jc w:val="both"/>
              <w:rPr>
                <w:rFonts w:ascii="Arial" w:hAnsi="Arial" w:cs="Arial"/>
                <w:sz w:val="18"/>
                <w:szCs w:val="18"/>
              </w:rPr>
            </w:pPr>
            <w:r w:rsidRPr="004E4FF3">
              <w:rPr>
                <w:rFonts w:ascii="Arial" w:hAnsi="Arial" w:cs="Arial"/>
                <w:sz w:val="18"/>
                <w:szCs w:val="18"/>
              </w:rPr>
              <w:t>Sub</w:t>
            </w:r>
            <w:r w:rsidR="00C81815" w:rsidRPr="004E4FF3">
              <w:rPr>
                <w:rFonts w:ascii="Arial" w:hAnsi="Arial" w:cs="Arial"/>
                <w:sz w:val="18"/>
                <w:szCs w:val="18"/>
              </w:rPr>
              <w:t>region obuhvata trinaest vinogradarskih oaza: Gornje Momče, Donje Momče, Donje Momče – Sjever, Cvilin, Cvilin – Sjever, Bezjovo, Dubravica, Orahovo, Krenza, Rošenica, Rudine, Bisać i Budza.</w:t>
            </w:r>
          </w:p>
          <w:p w14:paraId="04CBA136" w14:textId="77777777" w:rsidR="00307DB0" w:rsidRPr="004E4FF3" w:rsidRDefault="00307DB0" w:rsidP="00B121DF">
            <w:pPr>
              <w:spacing w:after="120" w:line="276" w:lineRule="auto"/>
              <w:ind w:left="46" w:right="97"/>
              <w:jc w:val="both"/>
              <w:rPr>
                <w:rFonts w:ascii="Arial" w:hAnsi="Arial" w:cs="Arial"/>
                <w:sz w:val="18"/>
                <w:szCs w:val="18"/>
              </w:rPr>
            </w:pPr>
          </w:p>
        </w:tc>
      </w:tr>
      <w:tr w:rsidR="00307DB0" w:rsidRPr="004E4FF3"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B607102" w14:textId="23F2E186" w:rsidR="00C81815" w:rsidRPr="004E4FF3" w:rsidRDefault="00C81815" w:rsidP="00B121DF">
            <w:pPr>
              <w:spacing w:after="120" w:line="276" w:lineRule="auto"/>
              <w:ind w:left="46" w:right="97"/>
              <w:jc w:val="both"/>
              <w:rPr>
                <w:rFonts w:ascii="Arial" w:hAnsi="Arial" w:cs="Arial"/>
                <w:b/>
                <w:noProof w:val="0"/>
                <w:sz w:val="18"/>
                <w:szCs w:val="18"/>
              </w:rPr>
            </w:pPr>
            <w:r w:rsidRPr="004E4FF3">
              <w:rPr>
                <w:rFonts w:ascii="Arial" w:hAnsi="Arial" w:cs="Arial"/>
                <w:b/>
                <w:noProof w:val="0"/>
                <w:sz w:val="18"/>
                <w:szCs w:val="18"/>
              </w:rPr>
              <w:t>Maksimalni prinos po hektaru</w:t>
            </w:r>
          </w:p>
          <w:p w14:paraId="6DDC5B6D" w14:textId="77777777" w:rsidR="00C81815" w:rsidRPr="004E4FF3" w:rsidRDefault="00C81815" w:rsidP="00B121DF">
            <w:pPr>
              <w:spacing w:after="120" w:line="276" w:lineRule="auto"/>
              <w:ind w:left="46" w:right="97"/>
              <w:jc w:val="both"/>
              <w:rPr>
                <w:rFonts w:ascii="Arial" w:hAnsi="Arial" w:cs="Arial"/>
                <w:sz w:val="18"/>
                <w:szCs w:val="18"/>
              </w:rPr>
            </w:pPr>
            <w:r w:rsidRPr="004E4FF3">
              <w:rPr>
                <w:rFonts w:ascii="Arial" w:hAnsi="Arial" w:cs="Arial"/>
                <w:sz w:val="18"/>
                <w:szCs w:val="18"/>
              </w:rPr>
              <w:t>U subregionu Kuči, najveći dozvoljeni prinos u proizvodnim vinogradima namijenjenim proizvodnji vina sa zaštićenom oznakom porijekla, pri gustini sadnje od 3.000 do 4.000 čokota po hektaru, iznosi 14.000 kg/ha (odnosno 3,5 kg po čokotu). U vinogradima sa gustinom sadnje većom od 4.000 čokota po hektaru, najveći dozvoljeni prinos iznosi 15.000 kg/ha (odnosno 3,0 kg po čokotu).</w:t>
            </w:r>
          </w:p>
          <w:p w14:paraId="39AC4E9F" w14:textId="77777777" w:rsidR="00C81815" w:rsidRPr="004E4FF3" w:rsidRDefault="00C81815" w:rsidP="00B121DF">
            <w:pPr>
              <w:spacing w:after="120" w:line="276" w:lineRule="auto"/>
              <w:ind w:left="46" w:right="97"/>
              <w:jc w:val="both"/>
              <w:rPr>
                <w:rFonts w:ascii="Arial" w:hAnsi="Arial" w:cs="Arial"/>
                <w:sz w:val="18"/>
                <w:szCs w:val="18"/>
              </w:rPr>
            </w:pPr>
            <w:r w:rsidRPr="004E4FF3">
              <w:rPr>
                <w:rFonts w:ascii="Arial" w:hAnsi="Arial" w:cs="Arial"/>
                <w:sz w:val="18"/>
                <w:szCs w:val="18"/>
              </w:rPr>
              <w:t>U izuzetno povoljnim godinama prinos može biti povećan za dodatnih 0,5 kg po čokotu, pod uslovom da takvo povećanje ne utiče na kvalitet grožđa, niti na kvalitet i karakteristična svojstva vina u odnosu na njihove prosječne vrijednosti.</w:t>
            </w:r>
          </w:p>
          <w:p w14:paraId="5FA44222" w14:textId="77777777" w:rsidR="00307DB0" w:rsidRPr="004E4FF3" w:rsidRDefault="00307DB0" w:rsidP="00B121DF">
            <w:pPr>
              <w:widowControl w:val="0"/>
              <w:autoSpaceDE w:val="0"/>
              <w:autoSpaceDN w:val="0"/>
              <w:spacing w:after="120" w:line="276" w:lineRule="auto"/>
              <w:ind w:left="46" w:right="97"/>
              <w:jc w:val="both"/>
              <w:rPr>
                <w:rFonts w:ascii="Arial" w:eastAsia="Arial" w:hAnsi="Arial" w:cs="Arial"/>
                <w:noProof w:val="0"/>
                <w:color w:val="FF0000"/>
                <w:sz w:val="18"/>
                <w:szCs w:val="18"/>
                <w:lang w:eastAsia="en-US"/>
              </w:rPr>
            </w:pPr>
          </w:p>
        </w:tc>
      </w:tr>
      <w:tr w:rsidR="00307DB0" w:rsidRPr="004E4FF3"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32F83882" w:rsidR="00307DB0" w:rsidRPr="004E4FF3" w:rsidRDefault="00B8700A" w:rsidP="00B121DF">
            <w:pPr>
              <w:spacing w:after="120" w:line="276" w:lineRule="auto"/>
              <w:ind w:left="46" w:right="97"/>
              <w:jc w:val="both"/>
              <w:rPr>
                <w:rFonts w:ascii="Arial" w:hAnsi="Arial" w:cs="Arial"/>
                <w:b/>
                <w:noProof w:val="0"/>
                <w:color w:val="FF0000"/>
                <w:sz w:val="18"/>
                <w:szCs w:val="18"/>
              </w:rPr>
            </w:pPr>
            <w:r w:rsidRPr="004E4FF3">
              <w:rPr>
                <w:rFonts w:ascii="Arial" w:hAnsi="Arial" w:cs="Arial"/>
                <w:b/>
                <w:noProof w:val="0"/>
                <w:sz w:val="20"/>
                <w:szCs w:val="20"/>
              </w:rPr>
              <w:t>Glavne sorte vinove loze upotrijebljene u proizvodnji</w:t>
            </w:r>
          </w:p>
          <w:p w14:paraId="28BF8ECA" w14:textId="4F1F27FF" w:rsidR="00307DB0" w:rsidRPr="004E4FF3" w:rsidRDefault="00307DB0" w:rsidP="00B121DF">
            <w:pPr>
              <w:spacing w:after="120" w:line="276" w:lineRule="auto"/>
              <w:ind w:left="46" w:right="97"/>
              <w:jc w:val="both"/>
              <w:rPr>
                <w:rFonts w:ascii="Arial" w:hAnsi="Arial" w:cs="Arial"/>
                <w:sz w:val="18"/>
                <w:szCs w:val="18"/>
              </w:rPr>
            </w:pPr>
            <w:r w:rsidRPr="004E4FF3">
              <w:rPr>
                <w:rFonts w:ascii="Arial" w:hAnsi="Arial" w:cs="Arial"/>
                <w:sz w:val="18"/>
                <w:szCs w:val="18"/>
              </w:rPr>
              <w:t xml:space="preserve">Vranac, Kratošija, Čubrica.  Cabernet Sauvignon, Chardonnay, Sangiovese, Župljanka, Smederevka and Viognier. </w:t>
            </w:r>
          </w:p>
        </w:tc>
      </w:tr>
      <w:tr w:rsidR="00307DB0" w:rsidRPr="004E4FF3"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0064B832" w:rsidR="00B8700A" w:rsidRPr="004E4FF3" w:rsidRDefault="00B8700A" w:rsidP="00B121DF">
            <w:pPr>
              <w:tabs>
                <w:tab w:val="left" w:pos="8931"/>
              </w:tabs>
              <w:spacing w:after="120" w:line="276" w:lineRule="auto"/>
              <w:ind w:left="46" w:right="97"/>
              <w:jc w:val="both"/>
              <w:rPr>
                <w:rFonts w:ascii="Arial" w:hAnsi="Arial" w:cs="Arial"/>
                <w:i/>
                <w:noProof w:val="0"/>
                <w:sz w:val="14"/>
                <w:szCs w:val="20"/>
              </w:rPr>
            </w:pPr>
            <w:r w:rsidRPr="004E4FF3">
              <w:rPr>
                <w:rFonts w:ascii="Arial" w:hAnsi="Arial" w:cs="Arial"/>
                <w:b/>
                <w:noProof w:val="0"/>
                <w:sz w:val="20"/>
                <w:szCs w:val="20"/>
              </w:rPr>
              <w:t>Povezanost s geografskim područjem</w:t>
            </w:r>
            <w:r w:rsidRPr="004E4FF3">
              <w:rPr>
                <w:rFonts w:ascii="Arial" w:hAnsi="Arial" w:cs="Arial"/>
                <w:noProof w:val="0"/>
                <w:sz w:val="20"/>
                <w:szCs w:val="20"/>
              </w:rPr>
              <w:t xml:space="preserve"> </w:t>
            </w:r>
            <w:r w:rsidRPr="004E4FF3">
              <w:rPr>
                <w:rFonts w:ascii="Arial" w:hAnsi="Arial" w:cs="Arial"/>
                <w:i/>
                <w:noProof w:val="0"/>
                <w:sz w:val="14"/>
                <w:szCs w:val="20"/>
              </w:rPr>
              <w:t>(opisati poseban kvalitet  proizvoda, ugled i dr. karakt. koje se mogu  pripisati tom geog. porijeklu)</w:t>
            </w:r>
          </w:p>
          <w:p w14:paraId="20A726F8" w14:textId="77777777" w:rsidR="00A0404F" w:rsidRPr="004E4FF3" w:rsidRDefault="00A0404F" w:rsidP="00B121DF">
            <w:pPr>
              <w:widowControl w:val="0"/>
              <w:tabs>
                <w:tab w:val="left" w:pos="239"/>
              </w:tabs>
              <w:autoSpaceDE w:val="0"/>
              <w:autoSpaceDN w:val="0"/>
              <w:spacing w:after="120" w:line="276" w:lineRule="auto"/>
              <w:ind w:left="46" w:right="97"/>
              <w:jc w:val="both"/>
              <w:rPr>
                <w:rFonts w:ascii="Arial" w:eastAsia="Arial" w:hAnsi="Arial" w:cs="Arial"/>
                <w:b/>
                <w:noProof w:val="0"/>
                <w:sz w:val="18"/>
                <w:szCs w:val="18"/>
                <w:lang w:eastAsia="en-US"/>
              </w:rPr>
            </w:pPr>
            <w:r w:rsidRPr="004E4FF3">
              <w:rPr>
                <w:rFonts w:ascii="Arial" w:eastAsia="Arial" w:hAnsi="Arial" w:cs="Arial"/>
                <w:b/>
                <w:noProof w:val="0"/>
                <w:sz w:val="18"/>
                <w:szCs w:val="18"/>
                <w:lang w:eastAsia="en-US"/>
              </w:rPr>
              <w:t>Uzročno-posljedična povezanost: Istorija</w:t>
            </w:r>
          </w:p>
          <w:p w14:paraId="478EBC0E"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Kao sastavni dio crnogorskog vinogradarskog područja, subregion Kuči nastavlja da razvija nove proizvode na temeljima dvomilenijumske tradicije uzgoja vinove loze i proizvodnje vina. Vinogradarsko i vinarsko nasljeđe ovog područja čuva tragove Ilira, grčkih i rimskih kolonista, slovenskih doseljenika i crnogorskih vinogradara i vinara.</w:t>
            </w:r>
          </w:p>
          <w:p w14:paraId="49D13542"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Crnogorski proizvođači vina u najvećoj mjeri njeguju tradicionalni način proizvodnje. Dvije hiljade godina iskustva utkale su u njihovo znanje i umijeće najvrijednija saznanja o proizvodnji vina. Tokom posljednjih decenija dominantnu ulogu imaju kontrolisana fermentacija i odležavanje vina u metalnim i drvenim sudovima, u prostorijama sa kontrolisanom temperaturom.</w:t>
            </w:r>
          </w:p>
          <w:p w14:paraId="79F50C73"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Nakon brojnih uspona i izazova tokom dvomilenijumske istorije, crnogorski sektor vinarstva ponovo je pokazao svoju vitalnost devedesetih godina prošlog vijeka. Sve veći broj proizvođača osvaja medalje i priznanja za kvalitet svojih vina na domaćim i međunarodnim ocjenjivanjima.</w:t>
            </w:r>
          </w:p>
          <w:p w14:paraId="48EB920F" w14:textId="582F669E"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Tradicionalni kameni podrumi, od kojih za većinu nije poznata tačna godina izgradnje, prilagođeni su savremenim uslovima čuvanja vina i razvoju vinskog turizma. Posjetioci u njima uživaju u autentičnom ambijentu i vinima, u hladovini masivnih kamenih zidova. Nova generacija proizvođača uspješno objedinjuje vrhunsko umijeće proizvodnje vina, razvoj vinskog turizma i očuvani ambijent ruralnog područja.</w:t>
            </w:r>
          </w:p>
          <w:p w14:paraId="104F3413" w14:textId="77777777" w:rsidR="00A0404F" w:rsidRPr="004E4FF3" w:rsidRDefault="00A0404F" w:rsidP="00B121DF">
            <w:pPr>
              <w:widowControl w:val="0"/>
              <w:tabs>
                <w:tab w:val="left" w:pos="239"/>
              </w:tabs>
              <w:autoSpaceDE w:val="0"/>
              <w:autoSpaceDN w:val="0"/>
              <w:spacing w:after="120" w:line="276" w:lineRule="auto"/>
              <w:ind w:left="46" w:right="97"/>
              <w:jc w:val="both"/>
              <w:rPr>
                <w:rFonts w:ascii="Arial" w:eastAsia="Arial" w:hAnsi="Arial" w:cs="Arial"/>
                <w:b/>
                <w:noProof w:val="0"/>
                <w:sz w:val="18"/>
                <w:szCs w:val="18"/>
                <w:lang w:eastAsia="en-US"/>
              </w:rPr>
            </w:pPr>
            <w:r w:rsidRPr="004E4FF3">
              <w:rPr>
                <w:rFonts w:ascii="Arial" w:eastAsia="Arial" w:hAnsi="Arial" w:cs="Arial"/>
                <w:b/>
                <w:noProof w:val="0"/>
                <w:sz w:val="18"/>
                <w:szCs w:val="18"/>
                <w:lang w:eastAsia="en-US"/>
              </w:rPr>
              <w:t>Uzročno-posljedična povezanost: Klima</w:t>
            </w:r>
          </w:p>
          <w:p w14:paraId="498D8296"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Osnovna pejzažna obilježja subregiona Kuči čini brdsko-planinski teren na južnim padinama Kučkih planina, koje su pretežno orijentisane prema jugozapadu i strmo se spuštaju ka Ćemovskom polju. Sa ostalih strana subregion je omeđen prostranom visoravni Kučka Korita i visokim vrhovima Kučkih planina, Komova i Prokletija.</w:t>
            </w:r>
          </w:p>
          <w:p w14:paraId="54D78B7C"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Subregion Kuči odlikuju blage zime i optimalne prosječne temperature vazduha za cvjetanje vinove loze, porast mladara, formiranje grozdova i sazrijevanje grožđa.</w:t>
            </w:r>
          </w:p>
          <w:p w14:paraId="6C0EE976"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Na najvećem dijelu subregiona Kuči prosječna godišnja temperatura vazduha kreće se između 12 °C i 14 °C. Na manjem zapadnom dijelu područja prosječna godišnja temperatura iznosi od 14 °C do 16 °C, dok se u vinogradarskim oazama ovog područja kreće između 10 °C i 12 °C.</w:t>
            </w:r>
          </w:p>
          <w:p w14:paraId="131F56C5" w14:textId="0ABCB26C"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 xml:space="preserve">Broj dana tokom vegetacionog perioda (april–oktobar) sa prosječnom minimalnom temperaturom (Tn) ispod 0 °C povećava se od zapada prema istoku, tako da vinogradarske oaze bilježe najveći broj dana sa ovako niskim temperaturama (od 6 do 10 </w:t>
            </w:r>
            <w:r w:rsidRPr="004E4FF3">
              <w:rPr>
                <w:rFonts w:ascii="Arial" w:hAnsi="Arial" w:cs="Arial"/>
                <w:sz w:val="18"/>
                <w:szCs w:val="18"/>
              </w:rPr>
              <w:lastRenderedPageBreak/>
              <w:t>dana). Zbog toga u subregionu Kuči postoji umjerena vjerovatnoća pojave proljećnih mrazeva, pri čemu ne postoje značajniji rizici od niskih temperatura, osim mogućih lokalnih pojava u pojedinim vinogradarskim oazama.</w:t>
            </w:r>
          </w:p>
          <w:p w14:paraId="47E389C1" w14:textId="77777777" w:rsidR="00A0404F" w:rsidRPr="00B121DF"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 xml:space="preserve">Broj dana tokom vegetacionog perioda sa prosječnim maksimalnim temperaturama od </w:t>
            </w:r>
            <w:r w:rsidRPr="00B121DF">
              <w:rPr>
                <w:rFonts w:ascii="Arial" w:hAnsi="Arial" w:cs="Arial"/>
                <w:bCs/>
                <w:sz w:val="18"/>
                <w:szCs w:val="18"/>
              </w:rPr>
              <w:t>35 °C</w:t>
            </w:r>
            <w:r w:rsidRPr="00B121DF">
              <w:rPr>
                <w:rFonts w:ascii="Arial" w:hAnsi="Arial" w:cs="Arial"/>
                <w:sz w:val="18"/>
                <w:szCs w:val="18"/>
              </w:rPr>
              <w:t xml:space="preserve"> ili višim značajno varira i smanjuje se od zapada (12–16 dana) prema istoku (8–10 dana) u vinogradarskim područjima i vinogradarskim oazama na većim nadmorskim visinama. Ekstremno visoke temperature mogu smanjiti asimilaciju ugljen-dioksida, usporiti fotosintezu i povećati potrošnju asimilata usljed intenzivnijeg disanja biljke, što može dovesti do usporavanja rasta vinove loze i smanjenja prinosa u područjima sa većim brojem takvih dana.</w:t>
            </w:r>
          </w:p>
          <w:p w14:paraId="7F289F1B" w14:textId="77777777" w:rsidR="00A0404F" w:rsidRPr="00B121DF" w:rsidRDefault="00A0404F" w:rsidP="00B121DF">
            <w:pPr>
              <w:spacing w:after="120" w:line="276" w:lineRule="auto"/>
              <w:ind w:left="46" w:right="97"/>
              <w:jc w:val="both"/>
              <w:rPr>
                <w:rFonts w:ascii="Arial" w:hAnsi="Arial" w:cs="Arial"/>
                <w:sz w:val="18"/>
                <w:szCs w:val="18"/>
              </w:rPr>
            </w:pPr>
            <w:r w:rsidRPr="00B121DF">
              <w:rPr>
                <w:rFonts w:ascii="Arial" w:hAnsi="Arial" w:cs="Arial"/>
                <w:sz w:val="18"/>
                <w:szCs w:val="18"/>
              </w:rPr>
              <w:t xml:space="preserve">Na gotovo cijelom vinogradarskom području prosječna količina padavina tokom vegetacionog perioda kreće se između </w:t>
            </w:r>
            <w:r w:rsidRPr="00B121DF">
              <w:rPr>
                <w:rFonts w:ascii="Arial" w:hAnsi="Arial" w:cs="Arial"/>
                <w:bCs/>
                <w:sz w:val="18"/>
                <w:szCs w:val="18"/>
              </w:rPr>
              <w:t>600 mm i 800 mm</w:t>
            </w:r>
            <w:r w:rsidRPr="00B121DF">
              <w:rPr>
                <w:rFonts w:ascii="Arial" w:hAnsi="Arial" w:cs="Arial"/>
                <w:sz w:val="18"/>
                <w:szCs w:val="18"/>
              </w:rPr>
              <w:t xml:space="preserve">, osim u pojedinim vinogradarskim oazama, gdje iznosi </w:t>
            </w:r>
            <w:r w:rsidRPr="00B121DF">
              <w:rPr>
                <w:rFonts w:ascii="Arial" w:hAnsi="Arial" w:cs="Arial"/>
                <w:bCs/>
                <w:sz w:val="18"/>
                <w:szCs w:val="18"/>
              </w:rPr>
              <w:t>800–1.000 mm</w:t>
            </w:r>
            <w:r w:rsidRPr="00B121DF">
              <w:rPr>
                <w:rFonts w:ascii="Arial" w:hAnsi="Arial" w:cs="Arial"/>
                <w:sz w:val="18"/>
                <w:szCs w:val="18"/>
              </w:rPr>
              <w:t xml:space="preserve">. Prosječna godišnja količina padavina kreće se od </w:t>
            </w:r>
            <w:r w:rsidRPr="00B121DF">
              <w:rPr>
                <w:rFonts w:ascii="Arial" w:hAnsi="Arial" w:cs="Arial"/>
                <w:bCs/>
                <w:sz w:val="18"/>
                <w:szCs w:val="18"/>
              </w:rPr>
              <w:t>1.500 do 2.000 mm</w:t>
            </w:r>
            <w:r w:rsidRPr="00B121DF">
              <w:rPr>
                <w:rFonts w:ascii="Arial" w:hAnsi="Arial" w:cs="Arial"/>
                <w:sz w:val="18"/>
                <w:szCs w:val="18"/>
              </w:rPr>
              <w:t xml:space="preserve">. Prosječna relativna vlažnost vazduha u ovom subregionu tokom vegetacije i sazrijevanja grožđa zadržava se u optimalnim granicama i na godišnjem nivou iznosi </w:t>
            </w:r>
            <w:r w:rsidRPr="00B121DF">
              <w:rPr>
                <w:rFonts w:ascii="Arial" w:hAnsi="Arial" w:cs="Arial"/>
                <w:bCs/>
                <w:sz w:val="18"/>
                <w:szCs w:val="18"/>
              </w:rPr>
              <w:t>65–75 %</w:t>
            </w:r>
            <w:r w:rsidRPr="00B121DF">
              <w:rPr>
                <w:rFonts w:ascii="Arial" w:hAnsi="Arial" w:cs="Arial"/>
                <w:sz w:val="18"/>
                <w:szCs w:val="18"/>
              </w:rPr>
              <w:t>.</w:t>
            </w:r>
          </w:p>
          <w:p w14:paraId="546CC186" w14:textId="77777777" w:rsidR="00A0404F" w:rsidRPr="004E4FF3" w:rsidRDefault="00A0404F" w:rsidP="00B121DF">
            <w:pPr>
              <w:spacing w:after="120" w:line="276" w:lineRule="auto"/>
              <w:ind w:left="46" w:right="97"/>
              <w:jc w:val="both"/>
              <w:rPr>
                <w:rFonts w:ascii="Arial" w:hAnsi="Arial" w:cs="Arial"/>
                <w:sz w:val="18"/>
                <w:szCs w:val="18"/>
              </w:rPr>
            </w:pPr>
            <w:r w:rsidRPr="00B121DF">
              <w:rPr>
                <w:rFonts w:ascii="Arial" w:hAnsi="Arial" w:cs="Arial"/>
                <w:sz w:val="18"/>
                <w:szCs w:val="18"/>
              </w:rPr>
              <w:t xml:space="preserve">Umjereno visok </w:t>
            </w:r>
            <w:r w:rsidRPr="00B121DF">
              <w:rPr>
                <w:rFonts w:ascii="Arial" w:hAnsi="Arial" w:cs="Arial"/>
                <w:bCs/>
                <w:sz w:val="18"/>
                <w:szCs w:val="18"/>
              </w:rPr>
              <w:t>indeks suše (DI)</w:t>
            </w:r>
            <w:r w:rsidRPr="00B121DF">
              <w:rPr>
                <w:rFonts w:ascii="Arial" w:hAnsi="Arial" w:cs="Arial"/>
                <w:sz w:val="18"/>
                <w:szCs w:val="18"/>
              </w:rPr>
              <w:t xml:space="preserve"> ukazuje na uglavnom zadovoljavajuću raspoloživost vode za proizvodnju grožđa u ovom subregionu. Međutim, specifičan raspored i intenzitet padavina tokom godine, naročito u kombinaciji sa dominantnim tipovima zemljišta, ukazuju na mogućnost pojave nedostatka vlage za nesmetan razvoj vinove loze tokom vegetacionog perioda, posebno u sušnim godinama. Najveći dio padavina javlja se u prvim mjesecima vegetacije, u prosjeku više od </w:t>
            </w:r>
            <w:r w:rsidRPr="00B121DF">
              <w:rPr>
                <w:rFonts w:ascii="Arial" w:hAnsi="Arial" w:cs="Arial"/>
                <w:bCs/>
                <w:sz w:val="18"/>
                <w:szCs w:val="18"/>
              </w:rPr>
              <w:t>100 mm mjesečno</w:t>
            </w:r>
            <w:r w:rsidRPr="00B121DF">
              <w:rPr>
                <w:rFonts w:ascii="Arial" w:hAnsi="Arial" w:cs="Arial"/>
                <w:sz w:val="18"/>
                <w:szCs w:val="18"/>
              </w:rPr>
              <w:t>. Tokom ljetnjih mjeseci česti su duži sušni periodi koji, u kombinaciji sa visokim temperaturama, povećavaju</w:t>
            </w:r>
            <w:r w:rsidRPr="004E4FF3">
              <w:rPr>
                <w:rFonts w:ascii="Arial" w:hAnsi="Arial" w:cs="Arial"/>
                <w:sz w:val="18"/>
                <w:szCs w:val="18"/>
              </w:rPr>
              <w:t xml:space="preserve"> rizik od negativnog uticaja ljetnje suše.</w:t>
            </w:r>
          </w:p>
          <w:p w14:paraId="6B490F1D"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 xml:space="preserve">Pored toga, na većini lokaliteta značajan dio padavina dolazi u obliku intenzivnih pljuskova, čime se smanjuje efikasno iskorišćavanje vode – u propusnim zemljištima voda se brzo procjeđuje u dublje slojeve, dok na slabo propusnim zemljištima dolazi do površinskog oticanja, zbog čega se ne stvaraju dovoljne rezerve vlage za sušni ljetnji period. Zbog toga se preporučuje primjena navodnjavanja, jer tokom ljeta deficit vode u zemljištu može premašiti </w:t>
            </w:r>
            <w:r w:rsidRPr="00B121DF">
              <w:rPr>
                <w:rFonts w:ascii="Arial" w:hAnsi="Arial" w:cs="Arial"/>
                <w:bCs/>
                <w:sz w:val="18"/>
                <w:szCs w:val="18"/>
              </w:rPr>
              <w:t>200 mm</w:t>
            </w:r>
            <w:r w:rsidRPr="004E4FF3">
              <w:rPr>
                <w:rFonts w:ascii="Arial" w:hAnsi="Arial" w:cs="Arial"/>
                <w:sz w:val="18"/>
                <w:szCs w:val="18"/>
              </w:rPr>
              <w:t>, što može nepovoljno uticati na prinos i/ili kvalitet grožđa.</w:t>
            </w:r>
          </w:p>
          <w:p w14:paraId="6CD5B8C7" w14:textId="77777777"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Ovo vinogradarsko područje raspolaže dovoljnim brojem sunčanih časova za nesmetano odvijanje fotosinteze. Svjetlosni uslovi omogućavaju normalan rast i razvoj vinove loze, cvjetanje, oplodnju i sazrijevanje grožđa odgovarajućeg kvaliteta, kao i ostvarivanje visokih prinosa grozdova.</w:t>
            </w:r>
          </w:p>
          <w:p w14:paraId="5E1EA433" w14:textId="605780FA" w:rsidR="00A0404F" w:rsidRPr="004E4FF3" w:rsidRDefault="00A0404F" w:rsidP="00B121DF">
            <w:pPr>
              <w:spacing w:after="120" w:line="276" w:lineRule="auto"/>
              <w:ind w:left="46" w:right="97"/>
              <w:jc w:val="both"/>
              <w:rPr>
                <w:rFonts w:ascii="Arial" w:hAnsi="Arial" w:cs="Arial"/>
                <w:sz w:val="18"/>
                <w:szCs w:val="18"/>
              </w:rPr>
            </w:pPr>
            <w:r w:rsidRPr="004E4FF3">
              <w:rPr>
                <w:rFonts w:ascii="Arial" w:hAnsi="Arial" w:cs="Arial"/>
                <w:sz w:val="18"/>
                <w:szCs w:val="18"/>
              </w:rPr>
              <w:t xml:space="preserve">Hladni planinski vjetrovi značajno snižavaju noćne temperature. Izražene temperaturne razlike između dana i noći doprinose očuvanju nježnih aromatskih jedinjenja u bijelim sortama grožđa, kao i pirazina i antocijana koji određuju strukturu i boju crvenih sorti. Zahvaljujući tome, vina se odlikuju izraženom aromatskom čistoćom, notama svježeg voća i cvijeća, te naglašenim mineralnim završetkom </w:t>
            </w:r>
            <w:r w:rsidR="009B199E" w:rsidRPr="004E4FF3">
              <w:rPr>
                <w:rFonts w:ascii="Arial" w:hAnsi="Arial" w:cs="Arial"/>
                <w:sz w:val="18"/>
                <w:szCs w:val="18"/>
              </w:rPr>
              <w:t>sa karakterističnim notama kremena</w:t>
            </w:r>
            <w:r w:rsidRPr="004E4FF3">
              <w:rPr>
                <w:rFonts w:ascii="Arial" w:hAnsi="Arial" w:cs="Arial"/>
                <w:sz w:val="18"/>
                <w:szCs w:val="18"/>
              </w:rPr>
              <w:t>.</w:t>
            </w:r>
          </w:p>
          <w:p w14:paraId="7D25DAE1" w14:textId="77777777" w:rsidR="00A60B4F" w:rsidRPr="004E4FF3" w:rsidRDefault="00A60B4F" w:rsidP="00B121DF">
            <w:pPr>
              <w:tabs>
                <w:tab w:val="left" w:pos="8931"/>
              </w:tabs>
              <w:spacing w:after="120" w:line="276" w:lineRule="auto"/>
              <w:ind w:left="46" w:right="97"/>
              <w:jc w:val="both"/>
              <w:rPr>
                <w:rFonts w:ascii="Arial" w:hAnsi="Arial" w:cs="Arial"/>
                <w:b/>
                <w:noProof w:val="0"/>
                <w:sz w:val="18"/>
                <w:szCs w:val="18"/>
              </w:rPr>
            </w:pPr>
            <w:r w:rsidRPr="004E4FF3">
              <w:rPr>
                <w:rFonts w:ascii="Arial" w:hAnsi="Arial" w:cs="Arial"/>
                <w:b/>
                <w:noProof w:val="0"/>
                <w:sz w:val="18"/>
                <w:szCs w:val="18"/>
              </w:rPr>
              <w:t>Uzročno-posljedična povezanost: Geologija i zemljište</w:t>
            </w:r>
          </w:p>
          <w:p w14:paraId="304AD377" w14:textId="77777777" w:rsidR="00A60B4F" w:rsidRPr="004E4FF3" w:rsidRDefault="00A60B4F"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U subregionu Kuči dominantan tip zemljišta je crvenica (terra rossa), koja zauzima oko 80 % ukupne površine. Rendzine obuhvataju oko 14 % površine subregiona, dok su na manjim površinama zastupljeni krečnjačka crnica (kalkomelanosol) i smeđa zemljišta (kambisoli).</w:t>
            </w:r>
          </w:p>
          <w:p w14:paraId="419F3B18" w14:textId="77777777" w:rsidR="00A60B4F" w:rsidRPr="004E4FF3" w:rsidRDefault="00A60B4F"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Površinski sloj zemljišta je neutralne reakcije, dok su dublji slojevi slabo kisjele reakcije. Prema sadržaju zemnoalkalnih karbonata, izraženom kao % CaCO</w:t>
            </w:r>
            <w:r w:rsidRPr="004E4FF3">
              <w:rPr>
                <w:rFonts w:ascii="Cambria Math" w:hAnsi="Cambria Math" w:cs="Cambria Math"/>
                <w:sz w:val="18"/>
                <w:szCs w:val="18"/>
              </w:rPr>
              <w:t>₃</w:t>
            </w:r>
            <w:r w:rsidRPr="004E4FF3">
              <w:rPr>
                <w:rFonts w:ascii="Arial" w:hAnsi="Arial" w:cs="Arial"/>
                <w:sz w:val="18"/>
                <w:szCs w:val="18"/>
              </w:rPr>
              <w:t>, zemljište je slabo karbonatno i sadrži 0–2 % karbonata. Sadržaj humusa, lako pristupačnog kalijuma i fosfora uslovljen je antropogenim uticajem. Prema kriterijumima minimalne obezbijeđenosti zemljišta hranljivim elementima, koji predstavljaju najmanje potrebne količine za normalan rast i razvoj vinove loze, zemljište ovog subregiona sadrži povoljne količine pristupačnih oblika bakra, gvožđa, mangana i cinka.</w:t>
            </w:r>
          </w:p>
          <w:p w14:paraId="14AAF0C5" w14:textId="77777777" w:rsidR="00A60B4F" w:rsidRPr="004E4FF3" w:rsidRDefault="00A60B4F"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Prvi pedogenetski horizont je porozan, ilovasto-glinastog mehaničkog sastava, sa povoljnim odnosom vazduha i vode, dobrom sposobnošću upijanja i provođenja vode kroz zemljište, uz izraženu mikrobiološku aktivnost. Drugi pedogenetski horizont je manje porozan.</w:t>
            </w:r>
          </w:p>
          <w:p w14:paraId="7CE3825D" w14:textId="448C5E4E" w:rsidR="00A60B4F" w:rsidRPr="004E4FF3" w:rsidRDefault="00A60B4F"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Na strmim padinama prisutni su krečnjački sipari pomiješani sa trošnim šljunkovitim nanosima i plitkim slojem zemljišta. Zemljište je bogato gvožđem i aluminijumom. Gvožđe ima značajnu ulogu u sintezi hlorofila, dok crvenica (terra rossa), naročito u proizvodnji crvenih vina kao što je Vranac, doprinosi izraženijoj strukturi, punoći i intenzitetu boje vina, kao i specifičnim notama gvožđa, odnosno rđe, koje se u organoleptičkoj ocjeni povezuju sa izraženim mineralnim karakterom vina.</w:t>
            </w:r>
          </w:p>
          <w:p w14:paraId="48225944" w14:textId="77777777" w:rsidR="004C3F70" w:rsidRPr="004E4FF3" w:rsidRDefault="004C3F70" w:rsidP="00B121DF">
            <w:pPr>
              <w:tabs>
                <w:tab w:val="left" w:pos="8931"/>
              </w:tabs>
              <w:spacing w:after="120" w:line="276" w:lineRule="auto"/>
              <w:ind w:left="46" w:right="97"/>
              <w:jc w:val="both"/>
              <w:rPr>
                <w:rFonts w:ascii="Arial" w:hAnsi="Arial" w:cs="Arial"/>
                <w:b/>
                <w:noProof w:val="0"/>
                <w:sz w:val="18"/>
                <w:szCs w:val="18"/>
              </w:rPr>
            </w:pPr>
            <w:r w:rsidRPr="004E4FF3">
              <w:rPr>
                <w:rFonts w:ascii="Arial" w:hAnsi="Arial" w:cs="Arial"/>
                <w:b/>
                <w:noProof w:val="0"/>
                <w:sz w:val="18"/>
                <w:szCs w:val="18"/>
              </w:rPr>
              <w:t>Uzročno-posljedična povezanost: Antropogeni faktor</w:t>
            </w:r>
          </w:p>
          <w:p w14:paraId="68C76FCD" w14:textId="77777777" w:rsidR="004C3F70" w:rsidRPr="004E4FF3" w:rsidRDefault="004C3F70" w:rsidP="00B121DF">
            <w:pPr>
              <w:spacing w:after="120" w:line="276" w:lineRule="auto"/>
              <w:ind w:left="46" w:right="97"/>
              <w:jc w:val="both"/>
              <w:rPr>
                <w:rFonts w:ascii="Arial" w:hAnsi="Arial" w:cs="Arial"/>
                <w:sz w:val="18"/>
                <w:szCs w:val="18"/>
              </w:rPr>
            </w:pPr>
            <w:r w:rsidRPr="004E4FF3">
              <w:rPr>
                <w:rFonts w:ascii="Arial" w:hAnsi="Arial" w:cs="Arial"/>
                <w:sz w:val="18"/>
                <w:szCs w:val="18"/>
              </w:rPr>
              <w:t>Jedinstvena kombinacija prirodnih klimatskih, pedološko-geoloških i orografskih karakteristika, dodatno oblikovana ljudskim djelovanjem i njegovanjem tradicionalne vinogradarsko-vinarske prakse, predstavlja posebnu vrijednost ovog područja u evropskim razmjerama i od presudnog je značaja za precizno određivanje geografskog područja, kao i za zaštitu porijekla proizvoda sa prepoznatljivim i autentičnim kvalitetom.</w:t>
            </w:r>
          </w:p>
          <w:p w14:paraId="4618ED1B" w14:textId="77777777" w:rsidR="004C3F70" w:rsidRPr="004E4FF3" w:rsidRDefault="004C3F70"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 xml:space="preserve">Posebna pejzažna obilježja subregiona Kuči čine brojne kraške forme reljefa i duboke, strme klisure Male rijeke na zapadu i </w:t>
            </w:r>
            <w:r w:rsidRPr="004E4FF3">
              <w:rPr>
                <w:rFonts w:ascii="Arial" w:hAnsi="Arial" w:cs="Arial"/>
                <w:sz w:val="18"/>
                <w:szCs w:val="18"/>
              </w:rPr>
              <w:lastRenderedPageBreak/>
              <w:t>rijeke Cijevne na istoku. Razuđena konfiguracija terena obuhvata brojne manje reljefne cjeline – kotline, doline, uvale, padine i zaravni – od kojih svaka stvara specifične mikroklimatske uslove.</w:t>
            </w:r>
          </w:p>
          <w:p w14:paraId="454CF249" w14:textId="77777777" w:rsidR="004C3F70" w:rsidRPr="004E4FF3" w:rsidRDefault="004C3F70" w:rsidP="00B121DF">
            <w:pPr>
              <w:spacing w:after="120" w:line="276" w:lineRule="auto"/>
              <w:ind w:left="46" w:right="97"/>
              <w:jc w:val="both"/>
              <w:rPr>
                <w:rFonts w:ascii="Arial" w:hAnsi="Arial" w:cs="Arial"/>
                <w:sz w:val="18"/>
                <w:szCs w:val="18"/>
              </w:rPr>
            </w:pPr>
            <w:r w:rsidRPr="004E4FF3">
              <w:rPr>
                <w:rFonts w:ascii="Arial" w:hAnsi="Arial" w:cs="Arial"/>
                <w:sz w:val="18"/>
                <w:szCs w:val="18"/>
              </w:rPr>
              <w:t>Vrijednosti bioklimatskih indeksa ukazuju na povoljan temperaturni režim i dobru osunčanost, dok na kvalitet grožđa i vina naročito utiču zemljišta bez karbonata, izuzetno bogata mikroelementima koji doprinose izraženoj mineralnosti vina, svježe noći koje omogućavaju očuvanje aromatskih jedinjenja, kao i posvećenost proizvođača, koji najveći dio vinogradarskih radova obavljaju ručno, bez primjene mehanizacije.</w:t>
            </w:r>
          </w:p>
          <w:p w14:paraId="33F7AD51" w14:textId="77777777" w:rsidR="004C3F70" w:rsidRPr="004E4FF3" w:rsidRDefault="004C3F70" w:rsidP="00B121DF">
            <w:pPr>
              <w:spacing w:after="120" w:line="276" w:lineRule="auto"/>
              <w:ind w:left="46" w:right="97"/>
              <w:jc w:val="both"/>
              <w:rPr>
                <w:rFonts w:ascii="Arial" w:hAnsi="Arial" w:cs="Arial"/>
                <w:sz w:val="18"/>
                <w:szCs w:val="18"/>
              </w:rPr>
            </w:pPr>
            <w:r w:rsidRPr="004E4FF3">
              <w:rPr>
                <w:rFonts w:ascii="Arial" w:hAnsi="Arial" w:cs="Arial"/>
                <w:sz w:val="18"/>
                <w:szCs w:val="18"/>
              </w:rPr>
              <w:t>Radi očuvanja kvaliteta grožđa namijenjenog proizvodnji vina sa zaštićenom oznakom porijekla, berba se obavlja isključivo ručno. Lokalne reljefne razlike imaju značajan uticaj na izbor uzgojnog oblika vinove loze, primjenu ampelotehničkih mjera, kvalitet proizvoda i izbor sorti. Posebnost ovog subregiona u odnosu na ostala vinogradarska područja Crne Gore predstavlja primjena pergola kao uzgojnog oblika. U svim vinogradima grožđe se ručno sortira i bere.</w:t>
            </w:r>
          </w:p>
          <w:p w14:paraId="3FC0CB40" w14:textId="77777777" w:rsidR="004C3F70" w:rsidRPr="004E4FF3" w:rsidRDefault="004C3F70"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Proizvodnja vina u subregionu Kuči zasniva se na spoju tradicionalnih znanja i savremenih tehnoloških rješenja, uključujući kontrolu temperature tokom vinifikacije. Maksimalni randman prerade grožđa iznosi 60 % za proizvodnju bijelih i roze vina, odnosno 70 % za proizvodnju crvenih vina. Sve faze proizvodnje vina, uključujući punjenje u originalnu ambalažu, odvijaju se unutar subregiona ili u njegovoj neposrednoj blizini, pri čemu su vinogradi i vinarije prostorno povezani na malim udaljenostima. Time se obezbjeđuju očuvanje kvaliteta, sljedivost proizvoda i efikasna kontrola vina sa zaštićenom oznakom porijekla.</w:t>
            </w:r>
          </w:p>
          <w:p w14:paraId="62423362" w14:textId="77777777" w:rsidR="004C3F70" w:rsidRPr="004E4FF3" w:rsidRDefault="004C3F70"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U tradicionalnoj proizvodnji vina, koja podrazumijeva upotrebu drvenih bačava i ručno potapanje klobuka komine tokom maceracije, dobijaju se vina punog tijela i visokog sadržaja alkohola, ali ponekad manje izražene svježine zbog nižeg ukupnog sadržaja kiselina. U proizvodnji vina sa zaštićenom oznakom porijekla primjenjuju se savremeni tehnološki postupci, naročito hladna fermentacija uz relativno brzu preradu grožđa nakon berbe, čime se ograničava razgradnja ukupnih kiselina, omogućava potpuno iskorišćavanje prirodnog potencijala autohtonih sorti i dobijaju vina nježnijeg bukea i finijeg kvaliteta u odnosu na vina proizvedena od istih sorti fermentacijom pri višim temperaturama.</w:t>
            </w:r>
          </w:p>
          <w:p w14:paraId="20BA2E57" w14:textId="77777777" w:rsidR="004C3F70" w:rsidRPr="004E4FF3" w:rsidRDefault="004C3F70"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Proizvođači koriste selekcionisane kvasce, sudove od nerđajućeg čelika, savremene pneumatske prese, kontrolu temperature i druge savremene enološke postupke, čime se obezbjeđuje ujednačen kvalitet i ostvarivanje karakterističnih svojstava vina subregiona Kuči, koja odražavaju posebnosti crnogorskog tla i sunca.</w:t>
            </w:r>
          </w:p>
          <w:p w14:paraId="1178285B" w14:textId="77777777" w:rsidR="00307DB0" w:rsidRPr="004E4FF3" w:rsidRDefault="004C3F70" w:rsidP="00B121DF">
            <w:pPr>
              <w:widowControl w:val="0"/>
              <w:autoSpaceDE w:val="0"/>
              <w:autoSpaceDN w:val="0"/>
              <w:spacing w:after="120" w:line="276" w:lineRule="auto"/>
              <w:ind w:left="46" w:right="97"/>
              <w:jc w:val="both"/>
              <w:rPr>
                <w:rFonts w:ascii="Arial" w:hAnsi="Arial" w:cs="Arial"/>
                <w:sz w:val="18"/>
                <w:szCs w:val="18"/>
              </w:rPr>
            </w:pPr>
            <w:r w:rsidRPr="004E4FF3">
              <w:rPr>
                <w:rFonts w:ascii="Arial" w:hAnsi="Arial" w:cs="Arial"/>
                <w:sz w:val="18"/>
                <w:szCs w:val="18"/>
              </w:rPr>
              <w:t>Na strmim terenima primjenjuje se terasiranje padina radi sprječavanja erozije zemljišta i obezbjeđivanja optimalne osunčanosti vinograda na južnim i jugozapadnim ekspozicijama.</w:t>
            </w:r>
          </w:p>
          <w:p w14:paraId="26B570A3" w14:textId="5806A1C0" w:rsidR="004C3F70" w:rsidRPr="004E4FF3" w:rsidRDefault="004C3F70" w:rsidP="00B121DF">
            <w:pPr>
              <w:widowControl w:val="0"/>
              <w:autoSpaceDE w:val="0"/>
              <w:autoSpaceDN w:val="0"/>
              <w:spacing w:after="120" w:line="276" w:lineRule="auto"/>
              <w:ind w:left="46" w:right="97"/>
              <w:jc w:val="both"/>
              <w:rPr>
                <w:rFonts w:ascii="Arial" w:hAnsi="Arial" w:cs="Arial"/>
                <w:sz w:val="18"/>
                <w:szCs w:val="18"/>
              </w:rPr>
            </w:pPr>
          </w:p>
        </w:tc>
      </w:tr>
      <w:tr w:rsidR="00B8700A" w:rsidRPr="004E4FF3"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8700A" w:rsidRPr="004E4FF3" w:rsidRDefault="00B8700A" w:rsidP="004E4FF3">
            <w:pPr>
              <w:spacing w:after="120" w:line="276" w:lineRule="auto"/>
              <w:jc w:val="both"/>
              <w:rPr>
                <w:rFonts w:ascii="Arial" w:hAnsi="Arial" w:cs="Arial"/>
                <w:b/>
                <w:noProof w:val="0"/>
                <w:sz w:val="18"/>
                <w:szCs w:val="18"/>
              </w:rPr>
            </w:pPr>
            <w:r w:rsidRPr="004E4FF3">
              <w:rPr>
                <w:rFonts w:ascii="Arial" w:hAnsi="Arial" w:cs="Arial"/>
                <w:b/>
                <w:noProof w:val="0"/>
                <w:sz w:val="18"/>
                <w:szCs w:val="20"/>
              </w:rPr>
              <w:lastRenderedPageBreak/>
              <w:t>Veća ili manja geografska cjelina </w:t>
            </w:r>
            <w:r w:rsidRPr="00B121DF">
              <w:rPr>
                <w:rFonts w:ascii="Arial" w:hAnsi="Arial" w:cs="Arial"/>
                <w:b/>
                <w:i/>
                <w:noProof w:val="0"/>
                <w:sz w:val="16"/>
                <w:szCs w:val="20"/>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755DD4A0" w14:textId="094CFBAD" w:rsidR="00B8700A" w:rsidRPr="004E4FF3" w:rsidRDefault="00B8700A" w:rsidP="004B131C">
            <w:pPr>
              <w:spacing w:after="120" w:line="276" w:lineRule="auto"/>
              <w:ind w:right="97"/>
              <w:jc w:val="both"/>
              <w:rPr>
                <w:rFonts w:ascii="Arial" w:hAnsi="Arial" w:cs="Arial"/>
                <w:sz w:val="18"/>
                <w:szCs w:val="18"/>
              </w:rPr>
            </w:pPr>
            <w:r w:rsidRPr="004E4FF3">
              <w:rPr>
                <w:rFonts w:ascii="Arial" w:hAnsi="Arial" w:cs="Arial"/>
                <w:sz w:val="18"/>
                <w:szCs w:val="18"/>
              </w:rPr>
              <w:t>Na etiketi se mogu navoditi nazivi sljedećih užih geografskih područja:</w:t>
            </w:r>
          </w:p>
          <w:p w14:paraId="2BB2F689" w14:textId="5B56A869" w:rsidR="00B8700A" w:rsidRPr="004E4FF3" w:rsidRDefault="00B8700A" w:rsidP="00D33D24">
            <w:pPr>
              <w:spacing w:line="276" w:lineRule="auto"/>
              <w:ind w:right="101"/>
              <w:jc w:val="both"/>
              <w:rPr>
                <w:rFonts w:ascii="Arial" w:hAnsi="Arial" w:cs="Arial"/>
                <w:sz w:val="18"/>
                <w:szCs w:val="18"/>
              </w:rPr>
            </w:pPr>
            <w:r w:rsidRPr="004E4FF3">
              <w:rPr>
                <w:rFonts w:ascii="Arial" w:hAnsi="Arial" w:cs="Arial"/>
                <w:sz w:val="18"/>
                <w:szCs w:val="18"/>
              </w:rPr>
              <w:t>Donji Zatrijebač, Fundina, Ubli, Orahovo, Koći, Doljani, Medun, Bezjovo, Budza, Vrbica, Momče</w:t>
            </w:r>
            <w:r w:rsidR="00D33D24">
              <w:rPr>
                <w:rFonts w:ascii="Arial" w:hAnsi="Arial" w:cs="Arial"/>
                <w:sz w:val="18"/>
                <w:szCs w:val="18"/>
              </w:rPr>
              <w:t xml:space="preserve">, </w:t>
            </w:r>
            <w:r w:rsidRPr="004E4FF3">
              <w:rPr>
                <w:rFonts w:ascii="Arial" w:hAnsi="Arial" w:cs="Arial"/>
                <w:sz w:val="18"/>
                <w:szCs w:val="18"/>
              </w:rPr>
              <w:t>Cvilin i vinogradarske oaze:</w:t>
            </w:r>
            <w:r w:rsidR="00D33D24">
              <w:rPr>
                <w:rFonts w:ascii="Arial" w:hAnsi="Arial" w:cs="Arial"/>
                <w:sz w:val="18"/>
                <w:szCs w:val="18"/>
              </w:rPr>
              <w:t xml:space="preserve"> </w:t>
            </w:r>
            <w:bookmarkStart w:id="1" w:name="_GoBack"/>
            <w:bookmarkEnd w:id="1"/>
          </w:p>
          <w:p w14:paraId="012B859B" w14:textId="0BA8BBB7" w:rsidR="00B8700A" w:rsidRPr="004E4FF3" w:rsidRDefault="00B8700A" w:rsidP="004B131C">
            <w:pPr>
              <w:spacing w:after="120" w:line="276" w:lineRule="auto"/>
              <w:ind w:right="97"/>
              <w:jc w:val="both"/>
              <w:rPr>
                <w:rFonts w:ascii="Arial" w:hAnsi="Arial" w:cs="Arial"/>
                <w:noProof w:val="0"/>
                <w:sz w:val="18"/>
                <w:szCs w:val="18"/>
              </w:rPr>
            </w:pPr>
            <w:r w:rsidRPr="004E4FF3">
              <w:rPr>
                <w:rFonts w:ascii="Arial" w:hAnsi="Arial" w:cs="Arial"/>
                <w:sz w:val="18"/>
                <w:szCs w:val="18"/>
              </w:rPr>
              <w:t xml:space="preserve">Gornje Momče, Donje Momče, Cvilin, Bezjovo, Dubravica, Orahovo: Krenza, Rošenica, Rudine, Bisać, Budza. </w:t>
            </w:r>
          </w:p>
        </w:tc>
      </w:tr>
      <w:tr w:rsidR="00B8700A" w:rsidRPr="004E4FF3"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8700A" w:rsidRPr="004E4FF3" w:rsidRDefault="00B8700A" w:rsidP="004E4FF3">
            <w:pPr>
              <w:spacing w:after="120" w:line="276" w:lineRule="auto"/>
              <w:jc w:val="both"/>
              <w:rPr>
                <w:rFonts w:ascii="Arial" w:hAnsi="Arial" w:cs="Arial"/>
                <w:b/>
                <w:noProof w:val="0"/>
                <w:sz w:val="18"/>
                <w:szCs w:val="18"/>
              </w:rPr>
            </w:pPr>
            <w:r w:rsidRPr="004E4FF3">
              <w:rPr>
                <w:rFonts w:ascii="Arial" w:hAnsi="Arial" w:cs="Arial"/>
                <w:b/>
                <w:noProof w:val="0"/>
                <w:sz w:val="18"/>
                <w:szCs w:val="20"/>
              </w:rPr>
              <w:t>Dodatni objektivni zahtjevi i uslovi Udruženja, koje će koristiti zaštićenu oznaku </w:t>
            </w:r>
            <w:r w:rsidRPr="00B121DF">
              <w:rPr>
                <w:rFonts w:ascii="Arial" w:hAnsi="Arial" w:cs="Arial"/>
                <w:b/>
                <w:i/>
                <w:noProof w:val="0"/>
                <w:sz w:val="16"/>
                <w:szCs w:val="20"/>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42FE2E7" w14:textId="77777777" w:rsidR="00B8700A" w:rsidRPr="004E4FF3" w:rsidRDefault="00B8700A" w:rsidP="004B131C">
            <w:pPr>
              <w:spacing w:after="120" w:line="276" w:lineRule="auto"/>
              <w:ind w:right="97"/>
              <w:jc w:val="both"/>
              <w:rPr>
                <w:rFonts w:ascii="Arial" w:hAnsi="Arial" w:cs="Arial"/>
                <w:sz w:val="18"/>
                <w:szCs w:val="18"/>
              </w:rPr>
            </w:pPr>
            <w:r w:rsidRPr="004E4FF3">
              <w:rPr>
                <w:rFonts w:ascii="Arial" w:hAnsi="Arial" w:cs="Arial"/>
                <w:sz w:val="18"/>
                <w:szCs w:val="18"/>
              </w:rPr>
              <w:t>Dozvoljena je upotreba tradicionalnih izraza „arhivsko vino“, „rezerva“ i „probirna berba“.</w:t>
            </w:r>
          </w:p>
          <w:p w14:paraId="4C20A011" w14:textId="457549AA" w:rsidR="00B8700A" w:rsidRPr="004E4FF3" w:rsidRDefault="00B8700A" w:rsidP="004B131C">
            <w:pPr>
              <w:spacing w:after="120" w:line="276" w:lineRule="auto"/>
              <w:ind w:right="97"/>
              <w:jc w:val="both"/>
              <w:rPr>
                <w:rFonts w:ascii="Arial" w:hAnsi="Arial" w:cs="Arial"/>
                <w:sz w:val="18"/>
                <w:szCs w:val="18"/>
              </w:rPr>
            </w:pPr>
            <w:r w:rsidRPr="004E4FF3">
              <w:rPr>
                <w:rFonts w:ascii="Arial" w:hAnsi="Arial" w:cs="Arial"/>
                <w:sz w:val="18"/>
                <w:szCs w:val="18"/>
              </w:rPr>
              <w:t>U skladu sa odredbama Zakona o vinu, dozvoljeno je da vina imaju stvarni sadržaj alkohola veći od 15</w:t>
            </w:r>
            <w:r w:rsidR="003041B5">
              <w:rPr>
                <w:rFonts w:ascii="Arial" w:hAnsi="Arial" w:cs="Arial"/>
                <w:sz w:val="18"/>
                <w:szCs w:val="18"/>
              </w:rPr>
              <w:t xml:space="preserve"> </w:t>
            </w:r>
            <w:r w:rsidRPr="004E4FF3">
              <w:rPr>
                <w:rFonts w:ascii="Arial" w:hAnsi="Arial" w:cs="Arial"/>
                <w:sz w:val="18"/>
                <w:szCs w:val="18"/>
              </w:rPr>
              <w:t>% vol.</w:t>
            </w:r>
          </w:p>
          <w:p w14:paraId="1AA99873" w14:textId="276A9001" w:rsidR="00B8700A" w:rsidRPr="004E4FF3" w:rsidRDefault="00B8700A" w:rsidP="004B131C">
            <w:pPr>
              <w:spacing w:line="276" w:lineRule="auto"/>
              <w:ind w:right="97"/>
              <w:jc w:val="both"/>
              <w:rPr>
                <w:rFonts w:ascii="Arial" w:hAnsi="Arial" w:cs="Arial"/>
                <w:sz w:val="18"/>
                <w:szCs w:val="18"/>
              </w:rPr>
            </w:pPr>
            <w:r w:rsidRPr="004E4FF3">
              <w:rPr>
                <w:rFonts w:ascii="Arial" w:hAnsi="Arial" w:cs="Arial"/>
                <w:sz w:val="18"/>
                <w:szCs w:val="18"/>
              </w:rPr>
              <w:t>Ograničenja u pogledu stavljanja vina u promet</w:t>
            </w:r>
            <w:r w:rsidR="00B121DF">
              <w:rPr>
                <w:rFonts w:ascii="Arial" w:hAnsi="Arial" w:cs="Arial"/>
                <w:sz w:val="18"/>
                <w:szCs w:val="18"/>
              </w:rPr>
              <w:t>:</w:t>
            </w:r>
          </w:p>
          <w:p w14:paraId="094C77D9" w14:textId="69D15FE9" w:rsidR="00B8700A" w:rsidRPr="004E4FF3" w:rsidRDefault="00B8700A" w:rsidP="004B131C">
            <w:pPr>
              <w:spacing w:after="120" w:line="276" w:lineRule="auto"/>
              <w:ind w:right="97"/>
              <w:jc w:val="both"/>
              <w:rPr>
                <w:rFonts w:ascii="Arial" w:hAnsi="Arial" w:cs="Arial"/>
                <w:noProof w:val="0"/>
                <w:sz w:val="18"/>
                <w:szCs w:val="18"/>
              </w:rPr>
            </w:pPr>
            <w:r w:rsidRPr="004E4FF3">
              <w:rPr>
                <w:rFonts w:ascii="Arial" w:hAnsi="Arial" w:cs="Arial"/>
                <w:sz w:val="18"/>
                <w:szCs w:val="18"/>
              </w:rPr>
              <w:t xml:space="preserve">Vino sa zaštićenom oznakom porijekla, proizvedeno primjenom postupka „odležano u drvenom buretu“, „barik“ ili „barrique“, može se staviti u promet najranije </w:t>
            </w:r>
            <w:r w:rsidR="004E4FF3">
              <w:rPr>
                <w:rFonts w:ascii="Arial" w:hAnsi="Arial" w:cs="Arial"/>
                <w:sz w:val="18"/>
                <w:szCs w:val="18"/>
              </w:rPr>
              <w:t>0</w:t>
            </w:r>
            <w:r w:rsidRPr="004E4FF3">
              <w:rPr>
                <w:rFonts w:ascii="Arial" w:hAnsi="Arial" w:cs="Arial"/>
                <w:sz w:val="18"/>
                <w:szCs w:val="18"/>
              </w:rPr>
              <w:t>1. aprila druge godine nakon godine berbe.</w:t>
            </w:r>
          </w:p>
        </w:tc>
      </w:tr>
      <w:tr w:rsidR="00B8700A" w:rsidRPr="004E4FF3" w14:paraId="1DA1DD74" w14:textId="77777777" w:rsidTr="007E6251">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8700A" w:rsidRPr="004E4FF3" w:rsidRDefault="00B8700A" w:rsidP="00B121DF">
            <w:pPr>
              <w:spacing w:before="120" w:after="120" w:line="276" w:lineRule="auto"/>
              <w:jc w:val="both"/>
              <w:rPr>
                <w:rFonts w:ascii="Arial" w:hAnsi="Arial" w:cs="Arial"/>
                <w:b/>
                <w:noProof w:val="0"/>
                <w:sz w:val="18"/>
                <w:szCs w:val="18"/>
              </w:rPr>
            </w:pPr>
            <w:r w:rsidRPr="004E4FF3">
              <w:rPr>
                <w:rFonts w:ascii="Arial" w:hAnsi="Arial" w:cs="Arial"/>
                <w:b/>
                <w:noProof w:val="0"/>
                <w:sz w:val="18"/>
                <w:szCs w:val="20"/>
              </w:rPr>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8700A" w:rsidRPr="004E4FF3" w:rsidRDefault="0061331A" w:rsidP="00B121DF">
            <w:pPr>
              <w:spacing w:before="120" w:after="120" w:line="276" w:lineRule="auto"/>
              <w:jc w:val="both"/>
              <w:rPr>
                <w:rFonts w:ascii="Arial" w:hAnsi="Arial" w:cs="Arial"/>
                <w:noProof w:val="0"/>
                <w:sz w:val="18"/>
                <w:szCs w:val="18"/>
              </w:rPr>
            </w:pPr>
            <w:hyperlink r:id="rId7" w:history="1">
              <w:r w:rsidR="00B8700A" w:rsidRPr="004E4FF3">
                <w:rPr>
                  <w:rFonts w:ascii="Arial" w:eastAsia="Times New Roman" w:hAnsi="Arial" w:cs="Arial"/>
                  <w:sz w:val="18"/>
                  <w:szCs w:val="18"/>
                  <w:u w:val="single"/>
                </w:rPr>
                <w:t>www.minpolj.gov.me</w:t>
              </w:r>
            </w:hyperlink>
          </w:p>
        </w:tc>
      </w:tr>
    </w:tbl>
    <w:p w14:paraId="65B97804" w14:textId="77777777" w:rsidR="00641AB6" w:rsidRPr="004E4FF3" w:rsidRDefault="00641AB6" w:rsidP="004E4FF3">
      <w:pPr>
        <w:spacing w:after="120" w:line="276" w:lineRule="auto"/>
        <w:jc w:val="both"/>
        <w:rPr>
          <w:rFonts w:ascii="Arial" w:eastAsia="Times New Roman" w:hAnsi="Arial" w:cs="Arial"/>
          <w:b/>
          <w:bCs/>
          <w:noProof w:val="0"/>
          <w:color w:val="FF0000"/>
          <w:sz w:val="20"/>
          <w:szCs w:val="20"/>
        </w:rPr>
      </w:pPr>
    </w:p>
    <w:p w14:paraId="173E193B" w14:textId="77777777" w:rsidR="00337024" w:rsidRPr="004E4FF3" w:rsidRDefault="00337024" w:rsidP="004E4FF3">
      <w:pPr>
        <w:spacing w:after="120" w:line="276" w:lineRule="auto"/>
        <w:jc w:val="both"/>
        <w:rPr>
          <w:rFonts w:ascii="Arial" w:hAnsi="Arial" w:cs="Arial"/>
          <w:color w:val="FF0000"/>
        </w:rPr>
      </w:pPr>
    </w:p>
    <w:sectPr w:rsidR="00337024" w:rsidRPr="004E4FF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3011C" w14:textId="77777777" w:rsidR="0061331A" w:rsidRDefault="0061331A" w:rsidP="00B06A99">
      <w:r>
        <w:separator/>
      </w:r>
    </w:p>
  </w:endnote>
  <w:endnote w:type="continuationSeparator" w:id="0">
    <w:p w14:paraId="7176987C" w14:textId="77777777" w:rsidR="0061331A" w:rsidRDefault="0061331A"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D09DB" w14:textId="77777777" w:rsidR="0061331A" w:rsidRDefault="0061331A" w:rsidP="00B06A99">
      <w:r>
        <w:separator/>
      </w:r>
    </w:p>
  </w:footnote>
  <w:footnote w:type="continuationSeparator" w:id="0">
    <w:p w14:paraId="14B46FEB" w14:textId="77777777" w:rsidR="0061331A" w:rsidRDefault="0061331A"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3233E"/>
    <w:rsid w:val="00141A66"/>
    <w:rsid w:val="001428C5"/>
    <w:rsid w:val="00145B99"/>
    <w:rsid w:val="00164D06"/>
    <w:rsid w:val="001849F8"/>
    <w:rsid w:val="00186242"/>
    <w:rsid w:val="001A6A60"/>
    <w:rsid w:val="001B4182"/>
    <w:rsid w:val="001B44C7"/>
    <w:rsid w:val="001D13D5"/>
    <w:rsid w:val="00202706"/>
    <w:rsid w:val="00214AC9"/>
    <w:rsid w:val="00223CAF"/>
    <w:rsid w:val="0022513E"/>
    <w:rsid w:val="00226518"/>
    <w:rsid w:val="00230A93"/>
    <w:rsid w:val="00230DA3"/>
    <w:rsid w:val="00232DFC"/>
    <w:rsid w:val="002363DF"/>
    <w:rsid w:val="00257CFF"/>
    <w:rsid w:val="00261412"/>
    <w:rsid w:val="002750F0"/>
    <w:rsid w:val="00280611"/>
    <w:rsid w:val="00281F37"/>
    <w:rsid w:val="002953A3"/>
    <w:rsid w:val="002C5E0C"/>
    <w:rsid w:val="002E1212"/>
    <w:rsid w:val="002E2F1F"/>
    <w:rsid w:val="002E74D4"/>
    <w:rsid w:val="003041B5"/>
    <w:rsid w:val="00306676"/>
    <w:rsid w:val="00307DB0"/>
    <w:rsid w:val="00312A56"/>
    <w:rsid w:val="00330FA1"/>
    <w:rsid w:val="00337024"/>
    <w:rsid w:val="003561C5"/>
    <w:rsid w:val="00367A6B"/>
    <w:rsid w:val="00377759"/>
    <w:rsid w:val="003812EB"/>
    <w:rsid w:val="00382008"/>
    <w:rsid w:val="003870A5"/>
    <w:rsid w:val="00392970"/>
    <w:rsid w:val="00393884"/>
    <w:rsid w:val="003A5F21"/>
    <w:rsid w:val="003B6C8B"/>
    <w:rsid w:val="003E46DE"/>
    <w:rsid w:val="003E626F"/>
    <w:rsid w:val="003F010B"/>
    <w:rsid w:val="003F60F0"/>
    <w:rsid w:val="003F6B91"/>
    <w:rsid w:val="00400799"/>
    <w:rsid w:val="00400E5B"/>
    <w:rsid w:val="00404D34"/>
    <w:rsid w:val="004228A1"/>
    <w:rsid w:val="00427F3F"/>
    <w:rsid w:val="004516EB"/>
    <w:rsid w:val="00462334"/>
    <w:rsid w:val="00471B96"/>
    <w:rsid w:val="00476092"/>
    <w:rsid w:val="00483446"/>
    <w:rsid w:val="00483A73"/>
    <w:rsid w:val="00490B0D"/>
    <w:rsid w:val="004960DC"/>
    <w:rsid w:val="00497ECD"/>
    <w:rsid w:val="004A10E8"/>
    <w:rsid w:val="004A4E39"/>
    <w:rsid w:val="004A6E17"/>
    <w:rsid w:val="004B0861"/>
    <w:rsid w:val="004B131C"/>
    <w:rsid w:val="004B2E77"/>
    <w:rsid w:val="004C3F70"/>
    <w:rsid w:val="004D4DB7"/>
    <w:rsid w:val="004E4FF3"/>
    <w:rsid w:val="004F40F3"/>
    <w:rsid w:val="004F6CD7"/>
    <w:rsid w:val="004F6DBB"/>
    <w:rsid w:val="00501553"/>
    <w:rsid w:val="005069A2"/>
    <w:rsid w:val="00513FF2"/>
    <w:rsid w:val="005213E5"/>
    <w:rsid w:val="00567EAA"/>
    <w:rsid w:val="005779A7"/>
    <w:rsid w:val="005832BE"/>
    <w:rsid w:val="00597162"/>
    <w:rsid w:val="005A26AD"/>
    <w:rsid w:val="005A4EDA"/>
    <w:rsid w:val="005C48F0"/>
    <w:rsid w:val="005D1E0E"/>
    <w:rsid w:val="005D206E"/>
    <w:rsid w:val="00600B52"/>
    <w:rsid w:val="00606318"/>
    <w:rsid w:val="0061331A"/>
    <w:rsid w:val="00622A00"/>
    <w:rsid w:val="00641AB6"/>
    <w:rsid w:val="006624A4"/>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521E6"/>
    <w:rsid w:val="0075761D"/>
    <w:rsid w:val="0075775A"/>
    <w:rsid w:val="0076165C"/>
    <w:rsid w:val="00776D85"/>
    <w:rsid w:val="0078235E"/>
    <w:rsid w:val="00785F89"/>
    <w:rsid w:val="007C3EC9"/>
    <w:rsid w:val="007E6251"/>
    <w:rsid w:val="007E739D"/>
    <w:rsid w:val="007F5189"/>
    <w:rsid w:val="0081246F"/>
    <w:rsid w:val="00827248"/>
    <w:rsid w:val="00830C81"/>
    <w:rsid w:val="0086292F"/>
    <w:rsid w:val="00863D0B"/>
    <w:rsid w:val="008660DA"/>
    <w:rsid w:val="008B656A"/>
    <w:rsid w:val="008C6912"/>
    <w:rsid w:val="008D10B4"/>
    <w:rsid w:val="008D6A9A"/>
    <w:rsid w:val="008D7E4B"/>
    <w:rsid w:val="008E400B"/>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F"/>
    <w:rsid w:val="00A30024"/>
    <w:rsid w:val="00A5242A"/>
    <w:rsid w:val="00A527E8"/>
    <w:rsid w:val="00A5515D"/>
    <w:rsid w:val="00A60B4F"/>
    <w:rsid w:val="00A649F6"/>
    <w:rsid w:val="00AA59F8"/>
    <w:rsid w:val="00AC3163"/>
    <w:rsid w:val="00AC5BC7"/>
    <w:rsid w:val="00AC5FD4"/>
    <w:rsid w:val="00AC63BE"/>
    <w:rsid w:val="00AF5BA2"/>
    <w:rsid w:val="00B06A99"/>
    <w:rsid w:val="00B121DF"/>
    <w:rsid w:val="00B1262E"/>
    <w:rsid w:val="00B1265F"/>
    <w:rsid w:val="00B16B81"/>
    <w:rsid w:val="00B20269"/>
    <w:rsid w:val="00B26BA6"/>
    <w:rsid w:val="00B26DE1"/>
    <w:rsid w:val="00B301F6"/>
    <w:rsid w:val="00B34C60"/>
    <w:rsid w:val="00B40337"/>
    <w:rsid w:val="00B42B2B"/>
    <w:rsid w:val="00B52AA2"/>
    <w:rsid w:val="00B6512B"/>
    <w:rsid w:val="00B83361"/>
    <w:rsid w:val="00B8700A"/>
    <w:rsid w:val="00B97DC5"/>
    <w:rsid w:val="00BA5D51"/>
    <w:rsid w:val="00BC37B2"/>
    <w:rsid w:val="00BC4384"/>
    <w:rsid w:val="00BC4AFF"/>
    <w:rsid w:val="00C000F1"/>
    <w:rsid w:val="00C1791A"/>
    <w:rsid w:val="00C22D12"/>
    <w:rsid w:val="00C25E42"/>
    <w:rsid w:val="00C47BC4"/>
    <w:rsid w:val="00C571B0"/>
    <w:rsid w:val="00C63D44"/>
    <w:rsid w:val="00C64EEA"/>
    <w:rsid w:val="00C81815"/>
    <w:rsid w:val="00C93596"/>
    <w:rsid w:val="00C96D2E"/>
    <w:rsid w:val="00CA168E"/>
    <w:rsid w:val="00CB1192"/>
    <w:rsid w:val="00CB2744"/>
    <w:rsid w:val="00CB59CC"/>
    <w:rsid w:val="00CC5A72"/>
    <w:rsid w:val="00CC6531"/>
    <w:rsid w:val="00D07CA1"/>
    <w:rsid w:val="00D07EA1"/>
    <w:rsid w:val="00D252B1"/>
    <w:rsid w:val="00D27F17"/>
    <w:rsid w:val="00D32E21"/>
    <w:rsid w:val="00D33D24"/>
    <w:rsid w:val="00D354A1"/>
    <w:rsid w:val="00D367A2"/>
    <w:rsid w:val="00D452E0"/>
    <w:rsid w:val="00D53B8E"/>
    <w:rsid w:val="00D60366"/>
    <w:rsid w:val="00D75A45"/>
    <w:rsid w:val="00D81F7F"/>
    <w:rsid w:val="00D84D9F"/>
    <w:rsid w:val="00D94E80"/>
    <w:rsid w:val="00DA59A0"/>
    <w:rsid w:val="00DB11CE"/>
    <w:rsid w:val="00DC2FBC"/>
    <w:rsid w:val="00DF5DC9"/>
    <w:rsid w:val="00E20D8C"/>
    <w:rsid w:val="00E31924"/>
    <w:rsid w:val="00E4250A"/>
    <w:rsid w:val="00E461AD"/>
    <w:rsid w:val="00E6046F"/>
    <w:rsid w:val="00E615E9"/>
    <w:rsid w:val="00E66BB2"/>
    <w:rsid w:val="00E90A25"/>
    <w:rsid w:val="00EB1F2B"/>
    <w:rsid w:val="00EB51DA"/>
    <w:rsid w:val="00EC166D"/>
    <w:rsid w:val="00ED1952"/>
    <w:rsid w:val="00EE78F7"/>
    <w:rsid w:val="00EF0D57"/>
    <w:rsid w:val="00F0102B"/>
    <w:rsid w:val="00F1300C"/>
    <w:rsid w:val="00F2373A"/>
    <w:rsid w:val="00F23A11"/>
    <w:rsid w:val="00F23FC1"/>
    <w:rsid w:val="00F26FBD"/>
    <w:rsid w:val="00F356D1"/>
    <w:rsid w:val="00F45227"/>
    <w:rsid w:val="00F467F8"/>
    <w:rsid w:val="00F50C30"/>
    <w:rsid w:val="00F62BC2"/>
    <w:rsid w:val="00F732EB"/>
    <w:rsid w:val="00F7622F"/>
    <w:rsid w:val="00F91A2F"/>
    <w:rsid w:val="00F941C3"/>
    <w:rsid w:val="00F95F40"/>
    <w:rsid w:val="00FA53DF"/>
    <w:rsid w:val="00FB26CE"/>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semiHidden/>
    <w:unhideWhenUsed/>
    <w:rsid w:val="00A0404F"/>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Pages>
  <Words>2434</Words>
  <Characters>13876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19</cp:revision>
  <cp:lastPrinted>2026-07-28T17:29:00Z</cp:lastPrinted>
  <dcterms:created xsi:type="dcterms:W3CDTF">2026-06-11T11:04:00Z</dcterms:created>
  <dcterms:modified xsi:type="dcterms:W3CDTF">2026-09-16T14:52:00Z</dcterms:modified>
</cp:coreProperties>
</file>