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lang w:val="sr-Latn-RS"/>
        </w:rPr>
        <w:id w:val="-1409069859"/>
        <w:docPartObj>
          <w:docPartGallery w:val="Cover Pages"/>
          <w:docPartUnique/>
        </w:docPartObj>
      </w:sdtPr>
      <w:sdtEndPr>
        <w:rPr>
          <w:b/>
          <w:i/>
          <w:sz w:val="24"/>
          <w:szCs w:val="24"/>
        </w:rPr>
      </w:sdtEndPr>
      <w:sdtContent>
        <w:p w14:paraId="51F55E42" w14:textId="14A17D11" w:rsidR="00E64F80" w:rsidRPr="004E5CDC" w:rsidRDefault="00D12575">
          <w:pPr>
            <w:rPr>
              <w:rFonts w:ascii="Cambria" w:hAnsi="Cambria"/>
              <w:b/>
              <w:i/>
              <w:sz w:val="24"/>
              <w:szCs w:val="24"/>
              <w:lang w:val="sr-Latn-RS"/>
            </w:rPr>
          </w:pPr>
          <w:r>
            <w:rPr>
              <w:rFonts w:ascii="Cambria" w:hAnsi="Cambria"/>
              <w:b/>
              <w:i/>
              <w:noProof/>
              <w:sz w:val="24"/>
              <w:szCs w:val="24"/>
              <w:lang w:val="en-US"/>
            </w:rPr>
            <w:drawing>
              <wp:anchor distT="0" distB="0" distL="114300" distR="114300" simplePos="0" relativeHeight="251668480" behindDoc="0" locked="0" layoutInCell="1" allowOverlap="1" wp14:anchorId="000B70A5" wp14:editId="4B778A8B">
                <wp:simplePos x="0" y="0"/>
                <wp:positionH relativeFrom="page">
                  <wp:align>left</wp:align>
                </wp:positionH>
                <wp:positionV relativeFrom="paragraph">
                  <wp:posOffset>-900546</wp:posOffset>
                </wp:positionV>
                <wp:extent cx="7571509" cy="1071337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slovn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1003" cy="10726810"/>
                        </a:xfrm>
                        <a:prstGeom prst="rect">
                          <a:avLst/>
                        </a:prstGeom>
                      </pic:spPr>
                    </pic:pic>
                  </a:graphicData>
                </a:graphic>
                <wp14:sizeRelH relativeFrom="margin">
                  <wp14:pctWidth>0</wp14:pctWidth>
                </wp14:sizeRelH>
                <wp14:sizeRelV relativeFrom="margin">
                  <wp14:pctHeight>0</wp14:pctHeight>
                </wp14:sizeRelV>
              </wp:anchor>
            </w:drawing>
          </w:r>
          <w:r w:rsidR="00E64F80" w:rsidRPr="004E5CDC">
            <w:rPr>
              <w:rFonts w:ascii="Cambria" w:hAnsi="Cambria"/>
              <w:b/>
              <w:i/>
              <w:sz w:val="24"/>
              <w:szCs w:val="24"/>
              <w:lang w:val="sr-Latn-RS"/>
            </w:rPr>
            <w:br w:type="page"/>
          </w:r>
        </w:p>
      </w:sdtContent>
    </w:sdt>
    <w:p w14:paraId="4D2DE6AA" w14:textId="77777777" w:rsidR="000125F4" w:rsidRPr="00B14584" w:rsidRDefault="000125F4" w:rsidP="000125F4">
      <w:pPr>
        <w:jc w:val="center"/>
        <w:rPr>
          <w:rFonts w:ascii="Cambria" w:eastAsiaTheme="majorEastAsia" w:hAnsi="Cambria" w:cstheme="majorBidi"/>
          <w:b/>
          <w:color w:val="1481AB" w:themeColor="accent1" w:themeShade="BF"/>
          <w:sz w:val="32"/>
          <w:szCs w:val="32"/>
          <w:lang w:val="sr-Latn-RS"/>
        </w:rPr>
      </w:pPr>
      <w:r w:rsidRPr="00B14584">
        <w:rPr>
          <w:rFonts w:ascii="Cambria" w:eastAsiaTheme="majorEastAsia" w:hAnsi="Cambria" w:cstheme="majorBidi"/>
          <w:b/>
          <w:color w:val="1481AB" w:themeColor="accent1" w:themeShade="BF"/>
          <w:sz w:val="32"/>
          <w:szCs w:val="32"/>
          <w:lang w:val="sr-Latn-RS"/>
        </w:rPr>
        <w:lastRenderedPageBreak/>
        <w:t>S A D R Ž A J</w:t>
      </w:r>
    </w:p>
    <w:sdt>
      <w:sdtPr>
        <w:rPr>
          <w:rFonts w:ascii="Cambria" w:eastAsiaTheme="minorHAnsi" w:hAnsi="Cambria" w:cstheme="minorBidi"/>
          <w:color w:val="auto"/>
          <w:sz w:val="22"/>
          <w:szCs w:val="22"/>
          <w:lang w:val="sr-Latn-RS"/>
        </w:rPr>
        <w:id w:val="-393272816"/>
        <w:docPartObj>
          <w:docPartGallery w:val="Table of Contents"/>
          <w:docPartUnique/>
        </w:docPartObj>
      </w:sdtPr>
      <w:sdtEndPr>
        <w:rPr>
          <w:b/>
          <w:bCs/>
          <w:noProof/>
        </w:rPr>
      </w:sdtEndPr>
      <w:sdtContent>
        <w:p w14:paraId="74F6D5AE" w14:textId="77777777" w:rsidR="008032CA" w:rsidRPr="004E5CDC" w:rsidRDefault="008032CA">
          <w:pPr>
            <w:pStyle w:val="TOCHeading"/>
            <w:rPr>
              <w:rFonts w:ascii="Cambria" w:hAnsi="Cambria"/>
              <w:lang w:val="sr-Latn-RS"/>
            </w:rPr>
          </w:pPr>
        </w:p>
        <w:p w14:paraId="4170D2B6" w14:textId="6E8E5621" w:rsidR="00C44130" w:rsidRDefault="008032CA">
          <w:pPr>
            <w:pStyle w:val="TOC1"/>
            <w:tabs>
              <w:tab w:val="right" w:leader="dot" w:pos="9061"/>
            </w:tabs>
            <w:rPr>
              <w:rFonts w:eastAsiaTheme="minorEastAsia"/>
              <w:noProof/>
              <w:lang w:val="en-US"/>
            </w:rPr>
          </w:pPr>
          <w:r w:rsidRPr="00B14584">
            <w:rPr>
              <w:rFonts w:ascii="Cambria" w:hAnsi="Cambria"/>
              <w:lang w:val="sr-Latn-RS"/>
            </w:rPr>
            <w:fldChar w:fldCharType="begin"/>
          </w:r>
          <w:r w:rsidRPr="00B14584">
            <w:rPr>
              <w:rFonts w:ascii="Cambria" w:hAnsi="Cambria"/>
              <w:lang w:val="sr-Latn-RS"/>
            </w:rPr>
            <w:instrText xml:space="preserve"> TOC \o "1-3" \h \z \u </w:instrText>
          </w:r>
          <w:r w:rsidRPr="00B14584">
            <w:rPr>
              <w:rFonts w:ascii="Cambria" w:hAnsi="Cambria"/>
              <w:lang w:val="sr-Latn-RS"/>
            </w:rPr>
            <w:fldChar w:fldCharType="separate"/>
          </w:r>
          <w:hyperlink w:anchor="_Toc86755066" w:history="1">
            <w:r w:rsidR="00C44130" w:rsidRPr="009C41BB">
              <w:rPr>
                <w:rStyle w:val="Hyperlink"/>
                <w:rFonts w:ascii="Cambria" w:hAnsi="Cambria"/>
                <w:b/>
                <w:noProof/>
                <w:lang w:val="sr-Latn-RS"/>
              </w:rPr>
              <w:t>UVODNE NAPOMENE - CILJ PROGRAMA</w:t>
            </w:r>
            <w:r w:rsidR="00C44130">
              <w:rPr>
                <w:noProof/>
                <w:webHidden/>
              </w:rPr>
              <w:tab/>
            </w:r>
            <w:r w:rsidR="00C44130">
              <w:rPr>
                <w:noProof/>
                <w:webHidden/>
              </w:rPr>
              <w:fldChar w:fldCharType="begin"/>
            </w:r>
            <w:r w:rsidR="00C44130">
              <w:rPr>
                <w:noProof/>
                <w:webHidden/>
              </w:rPr>
              <w:instrText xml:space="preserve"> PAGEREF _Toc86755066 \h </w:instrText>
            </w:r>
            <w:r w:rsidR="00C44130">
              <w:rPr>
                <w:noProof/>
                <w:webHidden/>
              </w:rPr>
            </w:r>
            <w:r w:rsidR="00C44130">
              <w:rPr>
                <w:noProof/>
                <w:webHidden/>
              </w:rPr>
              <w:fldChar w:fldCharType="separate"/>
            </w:r>
            <w:r w:rsidR="00C44130">
              <w:rPr>
                <w:noProof/>
                <w:webHidden/>
              </w:rPr>
              <w:t>2</w:t>
            </w:r>
            <w:r w:rsidR="00C44130">
              <w:rPr>
                <w:noProof/>
                <w:webHidden/>
              </w:rPr>
              <w:fldChar w:fldCharType="end"/>
            </w:r>
          </w:hyperlink>
        </w:p>
        <w:p w14:paraId="20506E4E" w14:textId="4F53DD74" w:rsidR="00C44130" w:rsidRDefault="0021611C">
          <w:pPr>
            <w:pStyle w:val="TOC1"/>
            <w:tabs>
              <w:tab w:val="right" w:leader="dot" w:pos="9061"/>
            </w:tabs>
            <w:rPr>
              <w:rFonts w:eastAsiaTheme="minorEastAsia"/>
              <w:noProof/>
              <w:lang w:val="en-US"/>
            </w:rPr>
          </w:pPr>
          <w:hyperlink w:anchor="_Toc86755067" w:history="1">
            <w:r w:rsidR="00C44130" w:rsidRPr="009C41BB">
              <w:rPr>
                <w:rStyle w:val="Hyperlink"/>
                <w:rFonts w:ascii="Cambria" w:hAnsi="Cambria"/>
                <w:b/>
                <w:noProof/>
                <w:lang w:val="sr-Latn-RS"/>
              </w:rPr>
              <w:t>METODOLOGIJA KORIŠĆENA PRI ANALIZI</w:t>
            </w:r>
            <w:r w:rsidR="00C44130">
              <w:rPr>
                <w:noProof/>
                <w:webHidden/>
              </w:rPr>
              <w:tab/>
            </w:r>
            <w:r w:rsidR="00C44130">
              <w:rPr>
                <w:noProof/>
                <w:webHidden/>
              </w:rPr>
              <w:fldChar w:fldCharType="begin"/>
            </w:r>
            <w:r w:rsidR="00C44130">
              <w:rPr>
                <w:noProof/>
                <w:webHidden/>
              </w:rPr>
              <w:instrText xml:space="preserve"> PAGEREF _Toc86755067 \h </w:instrText>
            </w:r>
            <w:r w:rsidR="00C44130">
              <w:rPr>
                <w:noProof/>
                <w:webHidden/>
              </w:rPr>
            </w:r>
            <w:r w:rsidR="00C44130">
              <w:rPr>
                <w:noProof/>
                <w:webHidden/>
              </w:rPr>
              <w:fldChar w:fldCharType="separate"/>
            </w:r>
            <w:r w:rsidR="00C44130">
              <w:rPr>
                <w:noProof/>
                <w:webHidden/>
              </w:rPr>
              <w:t>4</w:t>
            </w:r>
            <w:r w:rsidR="00C44130">
              <w:rPr>
                <w:noProof/>
                <w:webHidden/>
              </w:rPr>
              <w:fldChar w:fldCharType="end"/>
            </w:r>
          </w:hyperlink>
        </w:p>
        <w:p w14:paraId="48A4662D" w14:textId="0982329C" w:rsidR="00C44130" w:rsidRDefault="0021611C">
          <w:pPr>
            <w:pStyle w:val="TOC1"/>
            <w:tabs>
              <w:tab w:val="right" w:leader="dot" w:pos="9061"/>
            </w:tabs>
            <w:rPr>
              <w:rFonts w:eastAsiaTheme="minorEastAsia"/>
              <w:noProof/>
              <w:lang w:val="en-US"/>
            </w:rPr>
          </w:pPr>
          <w:hyperlink w:anchor="_Toc86755068" w:history="1">
            <w:r w:rsidR="00C44130" w:rsidRPr="009C41BB">
              <w:rPr>
                <w:rStyle w:val="Hyperlink"/>
                <w:rFonts w:ascii="Cambria" w:hAnsi="Cambria"/>
                <w:b/>
                <w:noProof/>
                <w:lang w:val="sr-Latn-RS"/>
              </w:rPr>
              <w:t>PORESKO OPTEREĆENJE TROŠKOVA RADA U CRNOJ GORI</w:t>
            </w:r>
            <w:r w:rsidR="00C44130">
              <w:rPr>
                <w:noProof/>
                <w:webHidden/>
              </w:rPr>
              <w:tab/>
            </w:r>
            <w:r w:rsidR="00C44130">
              <w:rPr>
                <w:noProof/>
                <w:webHidden/>
              </w:rPr>
              <w:fldChar w:fldCharType="begin"/>
            </w:r>
            <w:r w:rsidR="00C44130">
              <w:rPr>
                <w:noProof/>
                <w:webHidden/>
              </w:rPr>
              <w:instrText xml:space="preserve"> PAGEREF _Toc86755068 \h </w:instrText>
            </w:r>
            <w:r w:rsidR="00C44130">
              <w:rPr>
                <w:noProof/>
                <w:webHidden/>
              </w:rPr>
            </w:r>
            <w:r w:rsidR="00C44130">
              <w:rPr>
                <w:noProof/>
                <w:webHidden/>
              </w:rPr>
              <w:fldChar w:fldCharType="separate"/>
            </w:r>
            <w:r w:rsidR="00C44130">
              <w:rPr>
                <w:noProof/>
                <w:webHidden/>
              </w:rPr>
              <w:t>4</w:t>
            </w:r>
            <w:r w:rsidR="00C44130">
              <w:rPr>
                <w:noProof/>
                <w:webHidden/>
              </w:rPr>
              <w:fldChar w:fldCharType="end"/>
            </w:r>
          </w:hyperlink>
        </w:p>
        <w:p w14:paraId="65F09CE5" w14:textId="3D935279" w:rsidR="00C44130" w:rsidRDefault="0021611C">
          <w:pPr>
            <w:pStyle w:val="TOC1"/>
            <w:tabs>
              <w:tab w:val="right" w:leader="dot" w:pos="9061"/>
            </w:tabs>
            <w:rPr>
              <w:rFonts w:eastAsiaTheme="minorEastAsia"/>
              <w:noProof/>
              <w:lang w:val="en-US"/>
            </w:rPr>
          </w:pPr>
          <w:hyperlink w:anchor="_Toc86755069" w:history="1">
            <w:r w:rsidR="00C44130" w:rsidRPr="009C41BB">
              <w:rPr>
                <w:rStyle w:val="Hyperlink"/>
                <w:rFonts w:ascii="Cambria" w:hAnsi="Cambria"/>
                <w:b/>
                <w:noProof/>
                <w:lang w:val="sr-Latn-RS"/>
              </w:rPr>
              <w:t>MINIMALNA ZARADA U CRNOJ GORI I UPOREDNA PRAKSA SA ZEMLJAMA REGIONA I EVROPSKE UNIJE</w:t>
            </w:r>
            <w:r w:rsidR="00C44130">
              <w:rPr>
                <w:noProof/>
                <w:webHidden/>
              </w:rPr>
              <w:tab/>
            </w:r>
            <w:r w:rsidR="00C44130">
              <w:rPr>
                <w:noProof/>
                <w:webHidden/>
              </w:rPr>
              <w:fldChar w:fldCharType="begin"/>
            </w:r>
            <w:r w:rsidR="00C44130">
              <w:rPr>
                <w:noProof/>
                <w:webHidden/>
              </w:rPr>
              <w:instrText xml:space="preserve"> PAGEREF _Toc86755069 \h </w:instrText>
            </w:r>
            <w:r w:rsidR="00C44130">
              <w:rPr>
                <w:noProof/>
                <w:webHidden/>
              </w:rPr>
            </w:r>
            <w:r w:rsidR="00C44130">
              <w:rPr>
                <w:noProof/>
                <w:webHidden/>
              </w:rPr>
              <w:fldChar w:fldCharType="separate"/>
            </w:r>
            <w:r w:rsidR="00C44130">
              <w:rPr>
                <w:noProof/>
                <w:webHidden/>
              </w:rPr>
              <w:t>8</w:t>
            </w:r>
            <w:r w:rsidR="00C44130">
              <w:rPr>
                <w:noProof/>
                <w:webHidden/>
              </w:rPr>
              <w:fldChar w:fldCharType="end"/>
            </w:r>
          </w:hyperlink>
        </w:p>
        <w:p w14:paraId="5ABFE125" w14:textId="1947601E" w:rsidR="00C44130" w:rsidRDefault="0021611C">
          <w:pPr>
            <w:pStyle w:val="TOC1"/>
            <w:tabs>
              <w:tab w:val="right" w:leader="dot" w:pos="9061"/>
            </w:tabs>
            <w:rPr>
              <w:rFonts w:eastAsiaTheme="minorEastAsia"/>
              <w:noProof/>
              <w:lang w:val="en-US"/>
            </w:rPr>
          </w:pPr>
          <w:hyperlink w:anchor="_Toc86755070" w:history="1">
            <w:r w:rsidR="00C44130" w:rsidRPr="009C41BB">
              <w:rPr>
                <w:rStyle w:val="Hyperlink"/>
                <w:rFonts w:ascii="Cambria" w:hAnsi="Cambria"/>
                <w:b/>
                <w:noProof/>
                <w:lang w:val="sr-Latn-RS"/>
              </w:rPr>
              <w:t>ANALIZA PROMJENE MINIMALNE ZARADE I PORESKOG OPTEREĆENJA RADA – PREDLOŽENI MODEL</w:t>
            </w:r>
            <w:r w:rsidR="00C44130">
              <w:rPr>
                <w:noProof/>
                <w:webHidden/>
              </w:rPr>
              <w:tab/>
            </w:r>
            <w:r w:rsidR="00C44130">
              <w:rPr>
                <w:noProof/>
                <w:webHidden/>
              </w:rPr>
              <w:fldChar w:fldCharType="begin"/>
            </w:r>
            <w:r w:rsidR="00C44130">
              <w:rPr>
                <w:noProof/>
                <w:webHidden/>
              </w:rPr>
              <w:instrText xml:space="preserve"> PAGEREF _Toc86755070 \h </w:instrText>
            </w:r>
            <w:r w:rsidR="00C44130">
              <w:rPr>
                <w:noProof/>
                <w:webHidden/>
              </w:rPr>
            </w:r>
            <w:r w:rsidR="00C44130">
              <w:rPr>
                <w:noProof/>
                <w:webHidden/>
              </w:rPr>
              <w:fldChar w:fldCharType="separate"/>
            </w:r>
            <w:r w:rsidR="00C44130">
              <w:rPr>
                <w:noProof/>
                <w:webHidden/>
              </w:rPr>
              <w:t>11</w:t>
            </w:r>
            <w:r w:rsidR="00C44130">
              <w:rPr>
                <w:noProof/>
                <w:webHidden/>
              </w:rPr>
              <w:fldChar w:fldCharType="end"/>
            </w:r>
          </w:hyperlink>
        </w:p>
        <w:p w14:paraId="0E2D2E1F" w14:textId="7FD4F887" w:rsidR="00C44130" w:rsidRDefault="0021611C">
          <w:pPr>
            <w:pStyle w:val="TOC2"/>
            <w:tabs>
              <w:tab w:val="right" w:leader="dot" w:pos="9061"/>
            </w:tabs>
            <w:rPr>
              <w:rFonts w:eastAsiaTheme="minorEastAsia"/>
              <w:noProof/>
              <w:lang w:val="en-US"/>
            </w:rPr>
          </w:pPr>
          <w:hyperlink w:anchor="_Toc86755071" w:history="1">
            <w:r w:rsidR="00C44130" w:rsidRPr="009C41BB">
              <w:rPr>
                <w:rStyle w:val="Hyperlink"/>
                <w:rFonts w:ascii="Cambria" w:hAnsi="Cambria"/>
                <w:noProof/>
                <w:lang w:val="sr-Latn-RS"/>
              </w:rPr>
              <w:t>Pregled poreskog opterećenja rada nakon sprovedene reforme</w:t>
            </w:r>
            <w:r w:rsidR="00C44130">
              <w:rPr>
                <w:noProof/>
                <w:webHidden/>
              </w:rPr>
              <w:tab/>
            </w:r>
            <w:r w:rsidR="00C44130">
              <w:rPr>
                <w:noProof/>
                <w:webHidden/>
              </w:rPr>
              <w:fldChar w:fldCharType="begin"/>
            </w:r>
            <w:r w:rsidR="00C44130">
              <w:rPr>
                <w:noProof/>
                <w:webHidden/>
              </w:rPr>
              <w:instrText xml:space="preserve"> PAGEREF _Toc86755071 \h </w:instrText>
            </w:r>
            <w:r w:rsidR="00C44130">
              <w:rPr>
                <w:noProof/>
                <w:webHidden/>
              </w:rPr>
            </w:r>
            <w:r w:rsidR="00C44130">
              <w:rPr>
                <w:noProof/>
                <w:webHidden/>
              </w:rPr>
              <w:fldChar w:fldCharType="separate"/>
            </w:r>
            <w:r w:rsidR="00C44130">
              <w:rPr>
                <w:noProof/>
                <w:webHidden/>
              </w:rPr>
              <w:t>13</w:t>
            </w:r>
            <w:r w:rsidR="00C44130">
              <w:rPr>
                <w:noProof/>
                <w:webHidden/>
              </w:rPr>
              <w:fldChar w:fldCharType="end"/>
            </w:r>
          </w:hyperlink>
        </w:p>
        <w:p w14:paraId="764F2164" w14:textId="32777F99" w:rsidR="00C44130" w:rsidRDefault="0021611C">
          <w:pPr>
            <w:pStyle w:val="TOC2"/>
            <w:tabs>
              <w:tab w:val="right" w:leader="dot" w:pos="9061"/>
            </w:tabs>
            <w:rPr>
              <w:rFonts w:eastAsiaTheme="minorEastAsia"/>
              <w:noProof/>
              <w:lang w:val="en-US"/>
            </w:rPr>
          </w:pPr>
          <w:hyperlink w:anchor="_Toc86755072" w:history="1">
            <w:r w:rsidR="00C44130" w:rsidRPr="009C41BB">
              <w:rPr>
                <w:rStyle w:val="Hyperlink"/>
                <w:rFonts w:ascii="Cambria" w:hAnsi="Cambria"/>
                <w:noProof/>
                <w:lang w:val="sr-Latn-RS"/>
              </w:rPr>
              <w:t>Zarade zaposlenih u javnom sektoru</w:t>
            </w:r>
            <w:r w:rsidR="00C44130">
              <w:rPr>
                <w:noProof/>
                <w:webHidden/>
              </w:rPr>
              <w:tab/>
            </w:r>
            <w:r w:rsidR="00C44130">
              <w:rPr>
                <w:noProof/>
                <w:webHidden/>
              </w:rPr>
              <w:fldChar w:fldCharType="begin"/>
            </w:r>
            <w:r w:rsidR="00C44130">
              <w:rPr>
                <w:noProof/>
                <w:webHidden/>
              </w:rPr>
              <w:instrText xml:space="preserve"> PAGEREF _Toc86755072 \h </w:instrText>
            </w:r>
            <w:r w:rsidR="00C44130">
              <w:rPr>
                <w:noProof/>
                <w:webHidden/>
              </w:rPr>
            </w:r>
            <w:r w:rsidR="00C44130">
              <w:rPr>
                <w:noProof/>
                <w:webHidden/>
              </w:rPr>
              <w:fldChar w:fldCharType="separate"/>
            </w:r>
            <w:r w:rsidR="00C44130">
              <w:rPr>
                <w:noProof/>
                <w:webHidden/>
              </w:rPr>
              <w:t>14</w:t>
            </w:r>
            <w:r w:rsidR="00C44130">
              <w:rPr>
                <w:noProof/>
                <w:webHidden/>
              </w:rPr>
              <w:fldChar w:fldCharType="end"/>
            </w:r>
          </w:hyperlink>
        </w:p>
        <w:p w14:paraId="54C0FA21" w14:textId="3B67F743" w:rsidR="00C44130" w:rsidRDefault="0021611C">
          <w:pPr>
            <w:pStyle w:val="TOC1"/>
            <w:tabs>
              <w:tab w:val="right" w:leader="dot" w:pos="9061"/>
            </w:tabs>
            <w:rPr>
              <w:rFonts w:eastAsiaTheme="minorEastAsia"/>
              <w:noProof/>
              <w:lang w:val="en-US"/>
            </w:rPr>
          </w:pPr>
          <w:hyperlink w:anchor="_Toc86755073" w:history="1">
            <w:r w:rsidR="00C44130" w:rsidRPr="009C41BB">
              <w:rPr>
                <w:rStyle w:val="Hyperlink"/>
                <w:rFonts w:ascii="Cambria" w:hAnsi="Cambria"/>
                <w:b/>
                <w:noProof/>
                <w:lang w:val="sr-Latn-RS"/>
              </w:rPr>
              <w:t>OSTALE MJERE PORESKE POLITIKE SA PROCIJENJENIM EFEKTIMA (predložene izmjene zakonske regulative)</w:t>
            </w:r>
            <w:r w:rsidR="00C44130">
              <w:rPr>
                <w:noProof/>
                <w:webHidden/>
              </w:rPr>
              <w:tab/>
            </w:r>
            <w:r w:rsidR="00C44130">
              <w:rPr>
                <w:noProof/>
                <w:webHidden/>
              </w:rPr>
              <w:fldChar w:fldCharType="begin"/>
            </w:r>
            <w:r w:rsidR="00C44130">
              <w:rPr>
                <w:noProof/>
                <w:webHidden/>
              </w:rPr>
              <w:instrText xml:space="preserve"> PAGEREF _Toc86755073 \h </w:instrText>
            </w:r>
            <w:r w:rsidR="00C44130">
              <w:rPr>
                <w:noProof/>
                <w:webHidden/>
              </w:rPr>
            </w:r>
            <w:r w:rsidR="00C44130">
              <w:rPr>
                <w:noProof/>
                <w:webHidden/>
              </w:rPr>
              <w:fldChar w:fldCharType="separate"/>
            </w:r>
            <w:r w:rsidR="00C44130">
              <w:rPr>
                <w:noProof/>
                <w:webHidden/>
              </w:rPr>
              <w:t>15</w:t>
            </w:r>
            <w:r w:rsidR="00C44130">
              <w:rPr>
                <w:noProof/>
                <w:webHidden/>
              </w:rPr>
              <w:fldChar w:fldCharType="end"/>
            </w:r>
          </w:hyperlink>
        </w:p>
        <w:p w14:paraId="0A48A71F" w14:textId="65019D1D" w:rsidR="00C44130" w:rsidRDefault="0021611C">
          <w:pPr>
            <w:pStyle w:val="TOC1"/>
            <w:tabs>
              <w:tab w:val="right" w:leader="dot" w:pos="9061"/>
            </w:tabs>
            <w:rPr>
              <w:rFonts w:eastAsiaTheme="minorEastAsia"/>
              <w:noProof/>
              <w:lang w:val="en-US"/>
            </w:rPr>
          </w:pPr>
          <w:hyperlink w:anchor="_Toc86755074" w:history="1">
            <w:r w:rsidR="00C44130" w:rsidRPr="009C41BB">
              <w:rPr>
                <w:rStyle w:val="Hyperlink"/>
                <w:rFonts w:ascii="Cambria" w:hAnsi="Cambria"/>
                <w:b/>
                <w:noProof/>
                <w:lang w:val="sr-Latn-RS"/>
              </w:rPr>
              <w:t xml:space="preserve">UTICAJ PROGRAMA </w:t>
            </w:r>
            <w:r w:rsidR="00C44130" w:rsidRPr="009C41BB">
              <w:rPr>
                <w:rStyle w:val="Hyperlink"/>
                <w:rFonts w:ascii="Calibri" w:hAnsi="Calibri" w:cs="Calibri"/>
                <w:b/>
                <w:noProof/>
                <w:lang w:val="sr-Latn-RS"/>
              </w:rPr>
              <w:t>"</w:t>
            </w:r>
            <w:r w:rsidR="00C44130" w:rsidRPr="009C41BB">
              <w:rPr>
                <w:rStyle w:val="Hyperlink"/>
                <w:rFonts w:ascii="Cambria" w:hAnsi="Cambria"/>
                <w:b/>
                <w:noProof/>
                <w:lang w:val="sr-Latn-RS"/>
              </w:rPr>
              <w:t>EVROPA SAD!</w:t>
            </w:r>
            <w:r w:rsidR="00C44130" w:rsidRPr="009C41BB">
              <w:rPr>
                <w:rStyle w:val="Hyperlink"/>
                <w:rFonts w:ascii="Calibri" w:hAnsi="Calibri" w:cs="Calibri"/>
                <w:b/>
                <w:noProof/>
                <w:lang w:val="sr-Latn-RS"/>
              </w:rPr>
              <w:t>"</w:t>
            </w:r>
            <w:r w:rsidR="00C44130" w:rsidRPr="009C41BB">
              <w:rPr>
                <w:rStyle w:val="Hyperlink"/>
                <w:rFonts w:ascii="Cambria" w:hAnsi="Cambria"/>
                <w:b/>
                <w:noProof/>
                <w:lang w:val="sr-Latn-RS"/>
              </w:rPr>
              <w:t xml:space="preserve"> NA BUDŽET CRNE GORE</w:t>
            </w:r>
            <w:r w:rsidR="00C44130">
              <w:rPr>
                <w:noProof/>
                <w:webHidden/>
              </w:rPr>
              <w:tab/>
            </w:r>
            <w:r w:rsidR="00C44130">
              <w:rPr>
                <w:noProof/>
                <w:webHidden/>
              </w:rPr>
              <w:fldChar w:fldCharType="begin"/>
            </w:r>
            <w:r w:rsidR="00C44130">
              <w:rPr>
                <w:noProof/>
                <w:webHidden/>
              </w:rPr>
              <w:instrText xml:space="preserve"> PAGEREF _Toc86755074 \h </w:instrText>
            </w:r>
            <w:r w:rsidR="00C44130">
              <w:rPr>
                <w:noProof/>
                <w:webHidden/>
              </w:rPr>
            </w:r>
            <w:r w:rsidR="00C44130">
              <w:rPr>
                <w:noProof/>
                <w:webHidden/>
              </w:rPr>
              <w:fldChar w:fldCharType="separate"/>
            </w:r>
            <w:r w:rsidR="00C44130">
              <w:rPr>
                <w:noProof/>
                <w:webHidden/>
              </w:rPr>
              <w:t>24</w:t>
            </w:r>
            <w:r w:rsidR="00C44130">
              <w:rPr>
                <w:noProof/>
                <w:webHidden/>
              </w:rPr>
              <w:fldChar w:fldCharType="end"/>
            </w:r>
          </w:hyperlink>
        </w:p>
        <w:p w14:paraId="7874FE72" w14:textId="5FCC92AD" w:rsidR="000125F4" w:rsidRPr="007F0242" w:rsidRDefault="008032CA" w:rsidP="007F0242">
          <w:pPr>
            <w:rPr>
              <w:rFonts w:ascii="Cambria" w:hAnsi="Cambria"/>
              <w:lang w:val="sr-Latn-RS"/>
            </w:rPr>
          </w:pPr>
          <w:r w:rsidRPr="00B14584">
            <w:rPr>
              <w:rFonts w:ascii="Cambria" w:hAnsi="Cambria"/>
              <w:b/>
              <w:bCs/>
              <w:noProof/>
              <w:lang w:val="sr-Latn-RS"/>
            </w:rPr>
            <w:fldChar w:fldCharType="end"/>
          </w:r>
        </w:p>
      </w:sdtContent>
    </w:sdt>
    <w:p w14:paraId="3B52521A" w14:textId="7CDF26EB" w:rsidR="000125F4" w:rsidRDefault="000125F4" w:rsidP="000125F4">
      <w:pPr>
        <w:pStyle w:val="ListParagraph"/>
        <w:rPr>
          <w:rFonts w:ascii="Cambria" w:hAnsi="Cambria"/>
          <w:b/>
          <w:i/>
          <w:sz w:val="24"/>
          <w:szCs w:val="24"/>
          <w:lang w:val="sr-Latn-RS"/>
        </w:rPr>
      </w:pPr>
    </w:p>
    <w:p w14:paraId="17E4F58B" w14:textId="1AD739B6" w:rsidR="007F0242" w:rsidRDefault="007F0242" w:rsidP="000125F4">
      <w:pPr>
        <w:pStyle w:val="ListParagraph"/>
        <w:rPr>
          <w:rFonts w:ascii="Cambria" w:hAnsi="Cambria"/>
          <w:b/>
          <w:i/>
          <w:sz w:val="24"/>
          <w:szCs w:val="24"/>
          <w:lang w:val="sr-Latn-RS"/>
        </w:rPr>
      </w:pPr>
    </w:p>
    <w:p w14:paraId="4DCDB303" w14:textId="5576E088" w:rsidR="007F0242" w:rsidRDefault="007F0242" w:rsidP="000125F4">
      <w:pPr>
        <w:pStyle w:val="ListParagraph"/>
        <w:rPr>
          <w:rFonts w:ascii="Cambria" w:hAnsi="Cambria"/>
          <w:b/>
          <w:i/>
          <w:sz w:val="24"/>
          <w:szCs w:val="24"/>
          <w:lang w:val="sr-Latn-RS"/>
        </w:rPr>
      </w:pPr>
    </w:p>
    <w:p w14:paraId="4C90A3A3" w14:textId="6EF093FD" w:rsidR="007F0242" w:rsidRDefault="007F0242" w:rsidP="000125F4">
      <w:pPr>
        <w:pStyle w:val="ListParagraph"/>
        <w:rPr>
          <w:rFonts w:ascii="Cambria" w:hAnsi="Cambria"/>
          <w:b/>
          <w:i/>
          <w:sz w:val="24"/>
          <w:szCs w:val="24"/>
          <w:lang w:val="sr-Latn-RS"/>
        </w:rPr>
      </w:pPr>
    </w:p>
    <w:p w14:paraId="1E6A3DA2" w14:textId="2E057E94" w:rsidR="007F0242" w:rsidRDefault="007F0242" w:rsidP="000125F4">
      <w:pPr>
        <w:pStyle w:val="ListParagraph"/>
        <w:rPr>
          <w:rFonts w:ascii="Cambria" w:hAnsi="Cambria"/>
          <w:b/>
          <w:i/>
          <w:sz w:val="24"/>
          <w:szCs w:val="24"/>
          <w:lang w:val="sr-Latn-RS"/>
        </w:rPr>
      </w:pPr>
    </w:p>
    <w:p w14:paraId="23D5CF55" w14:textId="37D00A79" w:rsidR="007F0242" w:rsidRDefault="007F0242" w:rsidP="000125F4">
      <w:pPr>
        <w:pStyle w:val="ListParagraph"/>
        <w:rPr>
          <w:rFonts w:ascii="Cambria" w:hAnsi="Cambria"/>
          <w:b/>
          <w:i/>
          <w:sz w:val="24"/>
          <w:szCs w:val="24"/>
          <w:lang w:val="sr-Latn-RS"/>
        </w:rPr>
      </w:pPr>
    </w:p>
    <w:p w14:paraId="432E87EB" w14:textId="2BCA46EE" w:rsidR="007F0242" w:rsidRDefault="007F0242" w:rsidP="000125F4">
      <w:pPr>
        <w:pStyle w:val="ListParagraph"/>
        <w:rPr>
          <w:rFonts w:ascii="Cambria" w:hAnsi="Cambria"/>
          <w:b/>
          <w:i/>
          <w:sz w:val="24"/>
          <w:szCs w:val="24"/>
          <w:lang w:val="sr-Latn-RS"/>
        </w:rPr>
      </w:pPr>
    </w:p>
    <w:p w14:paraId="0A0FD921" w14:textId="7B16DAF9" w:rsidR="007F0242" w:rsidRDefault="007F0242" w:rsidP="000125F4">
      <w:pPr>
        <w:pStyle w:val="ListParagraph"/>
        <w:rPr>
          <w:rFonts w:ascii="Cambria" w:hAnsi="Cambria"/>
          <w:b/>
          <w:i/>
          <w:sz w:val="24"/>
          <w:szCs w:val="24"/>
          <w:lang w:val="sr-Latn-RS"/>
        </w:rPr>
      </w:pPr>
    </w:p>
    <w:p w14:paraId="36DB6E94" w14:textId="636FC508" w:rsidR="007F0242" w:rsidRDefault="007F0242" w:rsidP="000125F4">
      <w:pPr>
        <w:pStyle w:val="ListParagraph"/>
        <w:rPr>
          <w:rFonts w:ascii="Cambria" w:hAnsi="Cambria"/>
          <w:b/>
          <w:i/>
          <w:sz w:val="24"/>
          <w:szCs w:val="24"/>
          <w:lang w:val="sr-Latn-RS"/>
        </w:rPr>
      </w:pPr>
    </w:p>
    <w:p w14:paraId="51E6A3D0" w14:textId="1E7DE8C2" w:rsidR="007F0242" w:rsidRDefault="007F0242" w:rsidP="000125F4">
      <w:pPr>
        <w:pStyle w:val="ListParagraph"/>
        <w:rPr>
          <w:rFonts w:ascii="Cambria" w:hAnsi="Cambria"/>
          <w:b/>
          <w:i/>
          <w:sz w:val="24"/>
          <w:szCs w:val="24"/>
          <w:lang w:val="sr-Latn-RS"/>
        </w:rPr>
      </w:pPr>
    </w:p>
    <w:p w14:paraId="5F571585" w14:textId="761F90B3" w:rsidR="007F0242" w:rsidRDefault="007F0242" w:rsidP="000125F4">
      <w:pPr>
        <w:pStyle w:val="ListParagraph"/>
        <w:rPr>
          <w:rFonts w:ascii="Cambria" w:hAnsi="Cambria"/>
          <w:b/>
          <w:i/>
          <w:sz w:val="24"/>
          <w:szCs w:val="24"/>
          <w:lang w:val="sr-Latn-RS"/>
        </w:rPr>
      </w:pPr>
    </w:p>
    <w:p w14:paraId="33FF276D" w14:textId="25751EB5" w:rsidR="007F0242" w:rsidRDefault="007F0242" w:rsidP="000125F4">
      <w:pPr>
        <w:pStyle w:val="ListParagraph"/>
        <w:rPr>
          <w:rFonts w:ascii="Cambria" w:hAnsi="Cambria"/>
          <w:b/>
          <w:i/>
          <w:sz w:val="24"/>
          <w:szCs w:val="24"/>
          <w:lang w:val="sr-Latn-RS"/>
        </w:rPr>
      </w:pPr>
    </w:p>
    <w:p w14:paraId="1927C4B2" w14:textId="44E6E0C7" w:rsidR="007F0242" w:rsidRDefault="007F0242" w:rsidP="000125F4">
      <w:pPr>
        <w:pStyle w:val="ListParagraph"/>
        <w:rPr>
          <w:rFonts w:ascii="Cambria" w:hAnsi="Cambria"/>
          <w:b/>
          <w:i/>
          <w:sz w:val="24"/>
          <w:szCs w:val="24"/>
          <w:lang w:val="sr-Latn-RS"/>
        </w:rPr>
      </w:pPr>
    </w:p>
    <w:p w14:paraId="6849FC52" w14:textId="25B91BDF" w:rsidR="007F0242" w:rsidRDefault="007F0242" w:rsidP="000125F4">
      <w:pPr>
        <w:pStyle w:val="ListParagraph"/>
        <w:rPr>
          <w:rFonts w:ascii="Cambria" w:hAnsi="Cambria"/>
          <w:b/>
          <w:i/>
          <w:sz w:val="24"/>
          <w:szCs w:val="24"/>
          <w:lang w:val="sr-Latn-RS"/>
        </w:rPr>
      </w:pPr>
    </w:p>
    <w:p w14:paraId="496EFB80" w14:textId="4C398E5A" w:rsidR="007F0242" w:rsidRDefault="007F0242" w:rsidP="000125F4">
      <w:pPr>
        <w:pStyle w:val="ListParagraph"/>
        <w:rPr>
          <w:rFonts w:ascii="Cambria" w:hAnsi="Cambria"/>
          <w:b/>
          <w:i/>
          <w:sz w:val="24"/>
          <w:szCs w:val="24"/>
          <w:lang w:val="sr-Latn-RS"/>
        </w:rPr>
      </w:pPr>
    </w:p>
    <w:p w14:paraId="5716E411" w14:textId="5EA67B5D" w:rsidR="007F0242" w:rsidRDefault="007F0242" w:rsidP="000125F4">
      <w:pPr>
        <w:pStyle w:val="ListParagraph"/>
        <w:rPr>
          <w:rFonts w:ascii="Cambria" w:hAnsi="Cambria"/>
          <w:b/>
          <w:i/>
          <w:sz w:val="24"/>
          <w:szCs w:val="24"/>
          <w:lang w:val="sr-Latn-RS"/>
        </w:rPr>
      </w:pPr>
    </w:p>
    <w:p w14:paraId="33D778DA" w14:textId="1BE4635E" w:rsidR="007F0242" w:rsidRDefault="007F0242" w:rsidP="000125F4">
      <w:pPr>
        <w:pStyle w:val="ListParagraph"/>
        <w:rPr>
          <w:rFonts w:ascii="Cambria" w:hAnsi="Cambria"/>
          <w:b/>
          <w:i/>
          <w:sz w:val="24"/>
          <w:szCs w:val="24"/>
          <w:lang w:val="sr-Latn-RS"/>
        </w:rPr>
      </w:pPr>
    </w:p>
    <w:p w14:paraId="23C4DFF2" w14:textId="4EAE0762" w:rsidR="007F0242" w:rsidRDefault="007F0242" w:rsidP="000125F4">
      <w:pPr>
        <w:pStyle w:val="ListParagraph"/>
        <w:rPr>
          <w:rFonts w:ascii="Cambria" w:hAnsi="Cambria"/>
          <w:b/>
          <w:i/>
          <w:sz w:val="24"/>
          <w:szCs w:val="24"/>
          <w:lang w:val="sr-Latn-RS"/>
        </w:rPr>
      </w:pPr>
    </w:p>
    <w:p w14:paraId="055E20F5" w14:textId="316CE6AB" w:rsidR="007F0242" w:rsidRDefault="007F0242" w:rsidP="000125F4">
      <w:pPr>
        <w:pStyle w:val="ListParagraph"/>
        <w:rPr>
          <w:rFonts w:ascii="Cambria" w:hAnsi="Cambria"/>
          <w:b/>
          <w:i/>
          <w:sz w:val="24"/>
          <w:szCs w:val="24"/>
          <w:lang w:val="sr-Latn-RS"/>
        </w:rPr>
      </w:pPr>
    </w:p>
    <w:p w14:paraId="39D9F9CD" w14:textId="6AF8C1FC" w:rsidR="007F0242" w:rsidRDefault="007F0242" w:rsidP="000125F4">
      <w:pPr>
        <w:pStyle w:val="ListParagraph"/>
        <w:rPr>
          <w:rFonts w:ascii="Cambria" w:hAnsi="Cambria"/>
          <w:b/>
          <w:i/>
          <w:sz w:val="24"/>
          <w:szCs w:val="24"/>
          <w:lang w:val="sr-Latn-RS"/>
        </w:rPr>
      </w:pPr>
    </w:p>
    <w:p w14:paraId="6436E35F" w14:textId="6AF60A43" w:rsidR="007F0242" w:rsidRDefault="007F0242" w:rsidP="000125F4">
      <w:pPr>
        <w:pStyle w:val="ListParagraph"/>
        <w:rPr>
          <w:rFonts w:ascii="Cambria" w:hAnsi="Cambria"/>
          <w:b/>
          <w:i/>
          <w:sz w:val="24"/>
          <w:szCs w:val="24"/>
          <w:lang w:val="sr-Latn-RS"/>
        </w:rPr>
      </w:pPr>
    </w:p>
    <w:p w14:paraId="7BF4A56C" w14:textId="1284E8B0" w:rsidR="007F0242" w:rsidRDefault="007F0242" w:rsidP="000125F4">
      <w:pPr>
        <w:pStyle w:val="ListParagraph"/>
        <w:rPr>
          <w:rFonts w:ascii="Cambria" w:hAnsi="Cambria"/>
          <w:b/>
          <w:i/>
          <w:sz w:val="24"/>
          <w:szCs w:val="24"/>
          <w:lang w:val="sr-Latn-RS"/>
        </w:rPr>
      </w:pPr>
    </w:p>
    <w:p w14:paraId="0FDF6B60" w14:textId="151567BC" w:rsidR="007F0242" w:rsidRDefault="007F0242" w:rsidP="000125F4">
      <w:pPr>
        <w:pStyle w:val="ListParagraph"/>
        <w:rPr>
          <w:rFonts w:ascii="Cambria" w:hAnsi="Cambria"/>
          <w:b/>
          <w:i/>
          <w:sz w:val="24"/>
          <w:szCs w:val="24"/>
          <w:lang w:val="sr-Latn-RS"/>
        </w:rPr>
      </w:pPr>
    </w:p>
    <w:p w14:paraId="71394201" w14:textId="5E89262C" w:rsidR="007F0242" w:rsidRDefault="007F0242" w:rsidP="000125F4">
      <w:pPr>
        <w:pStyle w:val="ListParagraph"/>
        <w:rPr>
          <w:rFonts w:ascii="Cambria" w:hAnsi="Cambria"/>
          <w:b/>
          <w:i/>
          <w:sz w:val="24"/>
          <w:szCs w:val="24"/>
          <w:lang w:val="sr-Latn-RS"/>
        </w:rPr>
      </w:pPr>
    </w:p>
    <w:p w14:paraId="4E8A4CDC" w14:textId="77777777" w:rsidR="007F0242" w:rsidRPr="004E5CDC" w:rsidRDefault="007F0242" w:rsidP="000125F4">
      <w:pPr>
        <w:pStyle w:val="ListParagraph"/>
        <w:rPr>
          <w:rFonts w:ascii="Cambria" w:hAnsi="Cambria"/>
          <w:b/>
          <w:i/>
          <w:sz w:val="24"/>
          <w:szCs w:val="24"/>
          <w:lang w:val="sr-Latn-RS"/>
        </w:rPr>
      </w:pPr>
    </w:p>
    <w:p w14:paraId="38DBAE03" w14:textId="77777777" w:rsidR="00E014FC" w:rsidRPr="004E5CDC" w:rsidRDefault="000125F4" w:rsidP="000710F0">
      <w:pPr>
        <w:pStyle w:val="Heading1"/>
        <w:jc w:val="both"/>
        <w:rPr>
          <w:rFonts w:ascii="Cambria" w:hAnsi="Cambria"/>
          <w:b/>
          <w:lang w:val="sr-Latn-RS"/>
        </w:rPr>
      </w:pPr>
      <w:bookmarkStart w:id="0" w:name="_Toc86755066"/>
      <w:r w:rsidRPr="004E5CDC">
        <w:rPr>
          <w:rFonts w:ascii="Cambria" w:hAnsi="Cambria"/>
          <w:b/>
          <w:lang w:val="sr-Latn-RS"/>
        </w:rPr>
        <w:lastRenderedPageBreak/>
        <w:t xml:space="preserve">UVODNE NAPOMENE - </w:t>
      </w:r>
      <w:r w:rsidR="00044D7A" w:rsidRPr="004E5CDC">
        <w:rPr>
          <w:rFonts w:ascii="Cambria" w:hAnsi="Cambria"/>
          <w:b/>
          <w:lang w:val="sr-Latn-RS"/>
        </w:rPr>
        <w:t xml:space="preserve">CILJ </w:t>
      </w:r>
      <w:r w:rsidR="00E84CF1" w:rsidRPr="004E5CDC">
        <w:rPr>
          <w:rFonts w:ascii="Cambria" w:hAnsi="Cambria"/>
          <w:b/>
          <w:lang w:val="sr-Latn-RS"/>
        </w:rPr>
        <w:t>PROGRAMA</w:t>
      </w:r>
      <w:bookmarkEnd w:id="0"/>
    </w:p>
    <w:p w14:paraId="5EAF8BFE" w14:textId="77777777" w:rsidR="00E84CF1" w:rsidRPr="004E5CDC" w:rsidRDefault="00E84CF1" w:rsidP="00E84CF1">
      <w:pPr>
        <w:pStyle w:val="Style1"/>
        <w:jc w:val="both"/>
        <w:rPr>
          <w:rFonts w:ascii="Cambria" w:hAnsi="Cambria" w:cs="Calibri"/>
          <w:b w:val="0"/>
          <w:color w:val="auto"/>
          <w:sz w:val="24"/>
          <w:szCs w:val="24"/>
          <w:lang w:val="sr-Latn-RS"/>
        </w:rPr>
      </w:pPr>
    </w:p>
    <w:p w14:paraId="0F9A867D" w14:textId="75E23A00" w:rsidR="00E84CF1" w:rsidRPr="004E5CDC" w:rsidRDefault="00E84CF1" w:rsidP="00E84CF1">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 xml:space="preserve">Polazeći od identifikovanih izazova koji stoje pred Crnom Gorom na putu održivog rasta i razvoja, a uvažavajući pet principa na kojima se temelji rad 42. Vlade (“vladavina prava i jednake šanse“, “zdrave finansije i ekonomski razvoj“, “zdravlje i zdrava životna sredina“, “obrazovanje i društvo zasnovano na znanju“ i “digitalno društvo“), strateški cilj ekonomske politike Crne Gore je: </w:t>
      </w:r>
      <w:r w:rsidRPr="004E5CDC">
        <w:rPr>
          <w:rFonts w:ascii="Cambria" w:hAnsi="Cambria" w:cs="Calibri"/>
          <w:color w:val="auto"/>
          <w:sz w:val="24"/>
          <w:szCs w:val="24"/>
          <w:lang w:val="sr-Latn-RS"/>
        </w:rPr>
        <w:t>"ostvarenje pametnog, održivog i inkluzivnog ekonomskog rasta koji će doprinijeti unapređenju kvaliteta života svih njenih građana</w:t>
      </w:r>
      <w:r w:rsidRPr="004E5CDC">
        <w:rPr>
          <w:rFonts w:ascii="Cambria" w:hAnsi="Cambria" w:cs="Calibri"/>
          <w:b w:val="0"/>
          <w:color w:val="auto"/>
          <w:sz w:val="24"/>
          <w:szCs w:val="24"/>
          <w:lang w:val="sr-Latn-RS"/>
        </w:rPr>
        <w:t>".</w:t>
      </w:r>
    </w:p>
    <w:p w14:paraId="36261C83" w14:textId="46EC34DF" w:rsidR="00EF5D62" w:rsidRPr="004E5CDC" w:rsidRDefault="007633AD" w:rsidP="00E84CF1">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Kvalitet života građan</w:t>
      </w:r>
      <w:r w:rsidR="00E84CF1" w:rsidRPr="004E5CDC">
        <w:rPr>
          <w:rFonts w:ascii="Cambria" w:hAnsi="Cambria" w:cs="Calibri"/>
          <w:b w:val="0"/>
          <w:color w:val="auto"/>
          <w:sz w:val="24"/>
          <w:szCs w:val="24"/>
          <w:lang w:val="sr-Latn-RS"/>
        </w:rPr>
        <w:t xml:space="preserve">a, u </w:t>
      </w:r>
      <w:r w:rsidRPr="004E5CDC">
        <w:rPr>
          <w:rFonts w:ascii="Cambria" w:hAnsi="Cambria" w:cs="Calibri"/>
          <w:b w:val="0"/>
          <w:color w:val="auto"/>
          <w:sz w:val="24"/>
          <w:szCs w:val="24"/>
          <w:lang w:val="sr-Latn-RS"/>
        </w:rPr>
        <w:t>najvećoj</w:t>
      </w:r>
      <w:r w:rsidR="00E84CF1" w:rsidRPr="004E5CDC">
        <w:rPr>
          <w:rFonts w:ascii="Cambria" w:hAnsi="Cambria" w:cs="Calibri"/>
          <w:b w:val="0"/>
          <w:color w:val="auto"/>
          <w:sz w:val="24"/>
          <w:szCs w:val="24"/>
          <w:lang w:val="sr-Latn-RS"/>
        </w:rPr>
        <w:t xml:space="preserve"> mjeri, opredjeljuje visina </w:t>
      </w:r>
      <w:r w:rsidR="005A7999">
        <w:rPr>
          <w:rFonts w:ascii="Cambria" w:hAnsi="Cambria" w:cs="Calibri"/>
          <w:b w:val="0"/>
          <w:color w:val="auto"/>
          <w:sz w:val="24"/>
          <w:szCs w:val="24"/>
          <w:lang w:val="sr-Latn-RS"/>
        </w:rPr>
        <w:t xml:space="preserve">raspoloživog </w:t>
      </w:r>
      <w:r w:rsidR="00E84CF1" w:rsidRPr="004E5CDC">
        <w:rPr>
          <w:rFonts w:ascii="Cambria" w:hAnsi="Cambria" w:cs="Calibri"/>
          <w:b w:val="0"/>
          <w:color w:val="auto"/>
          <w:sz w:val="24"/>
          <w:szCs w:val="24"/>
          <w:lang w:val="sr-Latn-RS"/>
        </w:rPr>
        <w:t>dohotka</w:t>
      </w:r>
      <w:r w:rsidRPr="004E5CDC">
        <w:rPr>
          <w:rFonts w:ascii="Cambria" w:hAnsi="Cambria" w:cs="Calibri"/>
          <w:b w:val="0"/>
          <w:color w:val="auto"/>
          <w:sz w:val="24"/>
          <w:szCs w:val="24"/>
          <w:lang w:val="sr-Latn-RS"/>
        </w:rPr>
        <w:t xml:space="preserve"> koji ostvaruju</w:t>
      </w:r>
      <w:r w:rsidR="00015443">
        <w:rPr>
          <w:rFonts w:ascii="Cambria" w:hAnsi="Cambria" w:cs="Calibri"/>
          <w:b w:val="0"/>
          <w:color w:val="auto"/>
          <w:sz w:val="24"/>
          <w:szCs w:val="24"/>
          <w:lang w:val="sr-Latn-RS"/>
        </w:rPr>
        <w:t>,</w:t>
      </w:r>
      <w:r w:rsidR="00375869" w:rsidRPr="004E5CDC">
        <w:rPr>
          <w:rFonts w:ascii="Cambria" w:hAnsi="Cambria" w:cs="Calibri"/>
          <w:b w:val="0"/>
          <w:color w:val="auto"/>
          <w:sz w:val="24"/>
          <w:szCs w:val="24"/>
          <w:lang w:val="sr-Latn-RS"/>
        </w:rPr>
        <w:t xml:space="preserve"> dok poresko opterećenje na rad predstavlja </w:t>
      </w:r>
      <w:r w:rsidR="003242E2">
        <w:rPr>
          <w:rFonts w:ascii="Cambria" w:hAnsi="Cambria" w:cs="Calibri"/>
          <w:b w:val="0"/>
          <w:color w:val="auto"/>
          <w:sz w:val="24"/>
          <w:szCs w:val="24"/>
          <w:lang w:val="sr-Latn-RS"/>
        </w:rPr>
        <w:t xml:space="preserve">jednu od njegovih </w:t>
      </w:r>
      <w:r w:rsidR="00375869" w:rsidRPr="004E5CDC">
        <w:rPr>
          <w:rFonts w:ascii="Cambria" w:hAnsi="Cambria" w:cs="Calibri"/>
          <w:b w:val="0"/>
          <w:color w:val="auto"/>
          <w:sz w:val="24"/>
          <w:szCs w:val="24"/>
          <w:lang w:val="sr-Latn-RS"/>
        </w:rPr>
        <w:t>osnovn</w:t>
      </w:r>
      <w:r w:rsidR="003242E2">
        <w:rPr>
          <w:rFonts w:ascii="Cambria" w:hAnsi="Cambria" w:cs="Calibri"/>
          <w:b w:val="0"/>
          <w:color w:val="auto"/>
          <w:sz w:val="24"/>
          <w:szCs w:val="24"/>
          <w:lang w:val="sr-Latn-RS"/>
        </w:rPr>
        <w:t>i</w:t>
      </w:r>
      <w:r w:rsidR="00AE7DC2">
        <w:rPr>
          <w:rFonts w:ascii="Cambria" w:hAnsi="Cambria" w:cs="Calibri"/>
          <w:b w:val="0"/>
          <w:color w:val="auto"/>
          <w:sz w:val="24"/>
          <w:szCs w:val="24"/>
          <w:lang w:val="sr-Latn-RS"/>
        </w:rPr>
        <w:t>h</w:t>
      </w:r>
      <w:r w:rsidR="00375869" w:rsidRPr="004E5CDC">
        <w:rPr>
          <w:rFonts w:ascii="Cambria" w:hAnsi="Cambria" w:cs="Calibri"/>
          <w:b w:val="0"/>
          <w:color w:val="auto"/>
          <w:sz w:val="24"/>
          <w:szCs w:val="24"/>
          <w:lang w:val="sr-Latn-RS"/>
        </w:rPr>
        <w:t xml:space="preserve"> determinant</w:t>
      </w:r>
      <w:r w:rsidR="003242E2">
        <w:rPr>
          <w:rFonts w:ascii="Cambria" w:hAnsi="Cambria" w:cs="Calibri"/>
          <w:b w:val="0"/>
          <w:color w:val="auto"/>
          <w:sz w:val="24"/>
          <w:szCs w:val="24"/>
          <w:lang w:val="sr-Latn-RS"/>
        </w:rPr>
        <w:t>i</w:t>
      </w:r>
      <w:r w:rsidR="00375869" w:rsidRPr="004E5CDC">
        <w:rPr>
          <w:rFonts w:ascii="Cambria" w:hAnsi="Cambria" w:cs="Calibri"/>
          <w:b w:val="0"/>
          <w:color w:val="auto"/>
          <w:sz w:val="24"/>
          <w:szCs w:val="24"/>
          <w:lang w:val="sr-Latn-RS"/>
        </w:rPr>
        <w:t xml:space="preserve">. </w:t>
      </w:r>
      <w:r w:rsidR="00EF5D62" w:rsidRPr="004E5CDC">
        <w:rPr>
          <w:rFonts w:ascii="Cambria" w:hAnsi="Cambria" w:cs="Calibri"/>
          <w:b w:val="0"/>
          <w:color w:val="auto"/>
          <w:sz w:val="24"/>
          <w:szCs w:val="24"/>
          <w:lang w:val="sr-Latn-RS"/>
        </w:rPr>
        <w:t xml:space="preserve">Ujedno, Crna Gora kao zemlja koja </w:t>
      </w:r>
      <w:r w:rsidR="001B536F">
        <w:rPr>
          <w:rFonts w:ascii="Cambria" w:hAnsi="Cambria" w:cs="Calibri"/>
          <w:b w:val="0"/>
          <w:color w:val="auto"/>
          <w:sz w:val="24"/>
          <w:szCs w:val="24"/>
          <w:lang w:val="sr-Latn-RS"/>
        </w:rPr>
        <w:t xml:space="preserve">svoj </w:t>
      </w:r>
      <w:r w:rsidR="00E602A0">
        <w:rPr>
          <w:rFonts w:ascii="Cambria" w:hAnsi="Cambria" w:cs="Calibri"/>
          <w:b w:val="0"/>
          <w:color w:val="auto"/>
          <w:sz w:val="24"/>
          <w:szCs w:val="24"/>
          <w:lang w:val="sr-Latn-RS"/>
        </w:rPr>
        <w:t>b</w:t>
      </w:r>
      <w:r w:rsidR="001B536F">
        <w:rPr>
          <w:rFonts w:ascii="Cambria" w:hAnsi="Cambria" w:cs="Calibri"/>
          <w:b w:val="0"/>
          <w:color w:val="auto"/>
          <w:sz w:val="24"/>
          <w:szCs w:val="24"/>
          <w:lang w:val="sr-Latn-RS"/>
        </w:rPr>
        <w:t>ruto doma</w:t>
      </w:r>
      <w:r w:rsidR="001B536F">
        <w:rPr>
          <w:rFonts w:ascii="Cambria" w:hAnsi="Cambria" w:cs="Calibri"/>
          <w:b w:val="0"/>
          <w:color w:val="auto"/>
          <w:sz w:val="24"/>
          <w:szCs w:val="24"/>
          <w:lang w:val="sr-Latn-ME"/>
        </w:rPr>
        <w:t>ći</w:t>
      </w:r>
      <w:r w:rsidRPr="004E5CDC">
        <w:rPr>
          <w:rFonts w:ascii="Cambria" w:hAnsi="Cambria" w:cs="Calibri"/>
          <w:b w:val="0"/>
          <w:color w:val="auto"/>
          <w:sz w:val="24"/>
          <w:szCs w:val="24"/>
          <w:lang w:val="sr-Latn-RS"/>
        </w:rPr>
        <w:t xml:space="preserve"> proizvod značajnim</w:t>
      </w:r>
      <w:r w:rsidR="00EF5D62" w:rsidRPr="004E5CDC">
        <w:rPr>
          <w:rFonts w:ascii="Cambria" w:hAnsi="Cambria" w:cs="Calibri"/>
          <w:b w:val="0"/>
          <w:color w:val="auto"/>
          <w:sz w:val="24"/>
          <w:szCs w:val="24"/>
          <w:lang w:val="sr-Latn-RS"/>
        </w:rPr>
        <w:t xml:space="preserve"> dijelom temelji na stranim direktnim investicijama, kroz odgovarajuću poresku politiku, treba da stvori uslove ka većem prilivu investicija i generisanju novih radnih mjesta.</w:t>
      </w:r>
    </w:p>
    <w:p w14:paraId="6F20A2C8" w14:textId="15546836" w:rsidR="00E84CF1" w:rsidRPr="004E5CDC" w:rsidRDefault="00EF5D62" w:rsidP="00E84CF1">
      <w:pPr>
        <w:pStyle w:val="Style1"/>
        <w:jc w:val="both"/>
        <w:rPr>
          <w:rFonts w:ascii="Cambria" w:hAnsi="Cambria" w:cs="Calibri"/>
          <w:color w:val="auto"/>
          <w:sz w:val="24"/>
          <w:szCs w:val="24"/>
          <w:lang w:val="sr-Latn-RS"/>
        </w:rPr>
      </w:pPr>
      <w:r w:rsidRPr="004E5CDC">
        <w:rPr>
          <w:rFonts w:ascii="Cambria" w:hAnsi="Cambria" w:cs="Calibri"/>
          <w:color w:val="auto"/>
          <w:sz w:val="24"/>
          <w:szCs w:val="24"/>
          <w:lang w:val="sr-Latn-RS"/>
        </w:rPr>
        <w:t>Sve navedeno, opredijelilo je Vladu da predloži ekonomski program – "Evropa sad!" čiji su glavni ciljevi:</w:t>
      </w:r>
      <w:r w:rsidR="005A7999">
        <w:rPr>
          <w:rFonts w:ascii="Cambria" w:hAnsi="Cambria" w:cs="Calibri"/>
          <w:color w:val="auto"/>
          <w:sz w:val="24"/>
          <w:szCs w:val="24"/>
          <w:lang w:val="sr-Latn-RS"/>
        </w:rPr>
        <w:t xml:space="preserve"> </w:t>
      </w:r>
      <w:r w:rsidR="00155CF3">
        <w:rPr>
          <w:rFonts w:ascii="Cambria" w:hAnsi="Cambria" w:cs="Calibri"/>
          <w:color w:val="auto"/>
          <w:sz w:val="24"/>
          <w:szCs w:val="24"/>
          <w:lang w:val="sr-Latn-RS"/>
        </w:rPr>
        <w:t xml:space="preserve">povećanje životnog standarda građana, </w:t>
      </w:r>
      <w:r w:rsidR="005A7999">
        <w:rPr>
          <w:rFonts w:ascii="Cambria" w:hAnsi="Cambria" w:cs="Calibri"/>
          <w:color w:val="auto"/>
          <w:sz w:val="24"/>
          <w:szCs w:val="24"/>
          <w:lang w:val="sr-Latn-RS"/>
        </w:rPr>
        <w:t xml:space="preserve">rast zaposlenosti, </w:t>
      </w:r>
      <w:r w:rsidR="00155CF3">
        <w:rPr>
          <w:rFonts w:ascii="Cambria" w:hAnsi="Cambria" w:cs="Calibri"/>
          <w:color w:val="auto"/>
          <w:sz w:val="24"/>
          <w:szCs w:val="24"/>
          <w:lang w:val="sr-Latn-RS"/>
        </w:rPr>
        <w:t>smanjenje</w:t>
      </w:r>
      <w:r w:rsidR="005A7999">
        <w:rPr>
          <w:rFonts w:ascii="Cambria" w:hAnsi="Cambria" w:cs="Calibri"/>
          <w:color w:val="auto"/>
          <w:sz w:val="24"/>
          <w:szCs w:val="24"/>
          <w:lang w:val="sr-Latn-RS"/>
        </w:rPr>
        <w:t xml:space="preserve"> </w:t>
      </w:r>
      <w:r w:rsidR="00155CF3">
        <w:rPr>
          <w:rFonts w:ascii="Calibri" w:hAnsi="Calibri" w:cs="Calibri"/>
          <w:color w:val="auto"/>
          <w:sz w:val="24"/>
          <w:szCs w:val="24"/>
          <w:lang w:val="sr-Latn-RS"/>
        </w:rPr>
        <w:t>"</w:t>
      </w:r>
      <w:r w:rsidR="005A7999">
        <w:rPr>
          <w:rFonts w:ascii="Cambria" w:hAnsi="Cambria" w:cs="Calibri"/>
          <w:color w:val="auto"/>
          <w:sz w:val="24"/>
          <w:szCs w:val="24"/>
          <w:lang w:val="sr-Latn-RS"/>
        </w:rPr>
        <w:t>sive ekonomije</w:t>
      </w:r>
      <w:r w:rsidR="00155CF3">
        <w:rPr>
          <w:rFonts w:ascii="Calibri" w:hAnsi="Calibri" w:cs="Calibri"/>
          <w:color w:val="auto"/>
          <w:sz w:val="24"/>
          <w:szCs w:val="24"/>
          <w:lang w:val="sr-Latn-RS"/>
        </w:rPr>
        <w:t>"</w:t>
      </w:r>
      <w:r w:rsidR="005A7999">
        <w:rPr>
          <w:rFonts w:ascii="Cambria" w:hAnsi="Cambria" w:cs="Calibri"/>
          <w:color w:val="auto"/>
          <w:sz w:val="24"/>
          <w:szCs w:val="24"/>
          <w:lang w:val="sr-Latn-RS"/>
        </w:rPr>
        <w:t xml:space="preserve"> na tržištu rada, unapr</w:t>
      </w:r>
      <w:r w:rsidR="009D541A">
        <w:rPr>
          <w:rFonts w:ascii="Cambria" w:hAnsi="Cambria" w:cs="Calibri"/>
          <w:color w:val="auto"/>
          <w:sz w:val="24"/>
          <w:szCs w:val="24"/>
          <w:lang w:val="sr-Latn-RS"/>
        </w:rPr>
        <w:t>e</w:t>
      </w:r>
      <w:r w:rsidR="009D541A">
        <w:rPr>
          <w:rFonts w:ascii="Cambria" w:hAnsi="Cambria" w:cs="Calibri"/>
          <w:color w:val="auto"/>
          <w:sz w:val="24"/>
          <w:szCs w:val="24"/>
          <w:lang w:val="sr-Latn-ME"/>
        </w:rPr>
        <w:t>đ</w:t>
      </w:r>
      <w:r w:rsidR="005A7999">
        <w:rPr>
          <w:rFonts w:ascii="Cambria" w:hAnsi="Cambria" w:cs="Calibri"/>
          <w:color w:val="auto"/>
          <w:sz w:val="24"/>
          <w:szCs w:val="24"/>
          <w:lang w:val="sr-Latn-RS"/>
        </w:rPr>
        <w:t xml:space="preserve">enje poslovnog i investicionog ambijenta. Set predloženih mjera, prvenstveno u dijelu poreske politike, je sljedeći: </w:t>
      </w:r>
    </w:p>
    <w:p w14:paraId="5211C0A6" w14:textId="77777777" w:rsidR="00EF5D62" w:rsidRPr="004E5CDC" w:rsidRDefault="00EF5D62" w:rsidP="00EF5D62">
      <w:pPr>
        <w:pStyle w:val="Style1"/>
        <w:numPr>
          <w:ilvl w:val="0"/>
          <w:numId w:val="7"/>
        </w:numPr>
        <w:jc w:val="both"/>
        <w:rPr>
          <w:rFonts w:ascii="Cambria" w:hAnsi="Cambria" w:cs="Calibri"/>
          <w:color w:val="auto"/>
          <w:sz w:val="24"/>
          <w:szCs w:val="24"/>
          <w:lang w:val="sr-Latn-RS"/>
        </w:rPr>
      </w:pPr>
      <w:r w:rsidRPr="004E5CDC">
        <w:rPr>
          <w:rFonts w:ascii="Cambria" w:hAnsi="Cambria" w:cs="Calibri"/>
          <w:color w:val="auto"/>
          <w:sz w:val="24"/>
          <w:szCs w:val="24"/>
          <w:lang w:val="sr-Latn-RS"/>
        </w:rPr>
        <w:t>povećanje minimalne zarade;</w:t>
      </w:r>
    </w:p>
    <w:p w14:paraId="0E189306" w14:textId="4978AB13" w:rsidR="00EF5D62" w:rsidRDefault="00EF5D62" w:rsidP="00EF5D62">
      <w:pPr>
        <w:pStyle w:val="Style1"/>
        <w:numPr>
          <w:ilvl w:val="0"/>
          <w:numId w:val="7"/>
        </w:numPr>
        <w:jc w:val="both"/>
        <w:rPr>
          <w:rFonts w:ascii="Cambria" w:hAnsi="Cambria" w:cs="Calibri"/>
          <w:color w:val="auto"/>
          <w:sz w:val="24"/>
          <w:szCs w:val="24"/>
          <w:lang w:val="sr-Latn-RS"/>
        </w:rPr>
      </w:pPr>
      <w:r w:rsidRPr="004E5CDC">
        <w:rPr>
          <w:rFonts w:ascii="Cambria" w:hAnsi="Cambria" w:cs="Calibri"/>
          <w:color w:val="auto"/>
          <w:sz w:val="24"/>
          <w:szCs w:val="24"/>
          <w:lang w:val="sr-Latn-RS"/>
        </w:rPr>
        <w:t>smanjenje</w:t>
      </w:r>
      <w:r w:rsidR="00155CF3">
        <w:rPr>
          <w:rFonts w:ascii="Cambria" w:hAnsi="Cambria" w:cs="Calibri"/>
          <w:color w:val="auto"/>
          <w:sz w:val="24"/>
          <w:szCs w:val="24"/>
          <w:lang w:val="sr-Latn-RS"/>
        </w:rPr>
        <w:t xml:space="preserve"> troškova za poslodavce kroz niže</w:t>
      </w:r>
      <w:r w:rsidRPr="004E5CDC">
        <w:rPr>
          <w:rFonts w:ascii="Cambria" w:hAnsi="Cambria" w:cs="Calibri"/>
          <w:color w:val="auto"/>
          <w:sz w:val="24"/>
          <w:szCs w:val="24"/>
          <w:lang w:val="sr-Latn-RS"/>
        </w:rPr>
        <w:t xml:space="preserve"> poresk</w:t>
      </w:r>
      <w:r w:rsidR="00155CF3">
        <w:rPr>
          <w:rFonts w:ascii="Cambria" w:hAnsi="Cambria" w:cs="Calibri"/>
          <w:color w:val="auto"/>
          <w:sz w:val="24"/>
          <w:szCs w:val="24"/>
          <w:lang w:val="sr-Latn-RS"/>
        </w:rPr>
        <w:t>o</w:t>
      </w:r>
      <w:r w:rsidRPr="004E5CDC">
        <w:rPr>
          <w:rFonts w:ascii="Cambria" w:hAnsi="Cambria" w:cs="Calibri"/>
          <w:color w:val="auto"/>
          <w:sz w:val="24"/>
          <w:szCs w:val="24"/>
          <w:lang w:val="sr-Latn-RS"/>
        </w:rPr>
        <w:t xml:space="preserve"> opterećenj</w:t>
      </w:r>
      <w:r w:rsidR="00155CF3">
        <w:rPr>
          <w:rFonts w:ascii="Cambria" w:hAnsi="Cambria" w:cs="Calibri"/>
          <w:color w:val="auto"/>
          <w:sz w:val="24"/>
          <w:szCs w:val="24"/>
          <w:lang w:val="sr-Latn-RS"/>
        </w:rPr>
        <w:t>e</w:t>
      </w:r>
      <w:r w:rsidRPr="004E5CDC">
        <w:rPr>
          <w:rFonts w:ascii="Cambria" w:hAnsi="Cambria" w:cs="Calibri"/>
          <w:color w:val="auto"/>
          <w:sz w:val="24"/>
          <w:szCs w:val="24"/>
          <w:lang w:val="sr-Latn-RS"/>
        </w:rPr>
        <w:t xml:space="preserve"> na rad</w:t>
      </w:r>
      <w:r w:rsidR="00224AC8" w:rsidRPr="004E5CDC">
        <w:rPr>
          <w:rFonts w:ascii="Cambria" w:hAnsi="Cambria" w:cs="Calibri"/>
          <w:color w:val="auto"/>
          <w:sz w:val="24"/>
          <w:szCs w:val="24"/>
          <w:lang w:val="sr-Latn-RS"/>
        </w:rPr>
        <w:t>;</w:t>
      </w:r>
    </w:p>
    <w:p w14:paraId="572618A0" w14:textId="2649627A" w:rsidR="00224AC8" w:rsidRPr="00155CF3" w:rsidRDefault="005A7999" w:rsidP="00155CF3">
      <w:pPr>
        <w:pStyle w:val="Style1"/>
        <w:numPr>
          <w:ilvl w:val="0"/>
          <w:numId w:val="7"/>
        </w:numPr>
        <w:jc w:val="both"/>
        <w:rPr>
          <w:rFonts w:ascii="Cambria" w:hAnsi="Cambria" w:cs="Calibri"/>
          <w:color w:val="auto"/>
          <w:sz w:val="24"/>
          <w:szCs w:val="24"/>
          <w:lang w:val="sr-Latn-RS"/>
        </w:rPr>
      </w:pPr>
      <w:r>
        <w:rPr>
          <w:rFonts w:ascii="Cambria" w:hAnsi="Cambria" w:cs="Calibri"/>
          <w:color w:val="auto"/>
          <w:sz w:val="24"/>
          <w:szCs w:val="24"/>
          <w:lang w:val="sr-Latn-RS"/>
        </w:rPr>
        <w:t xml:space="preserve">uvodjenje progresivnog oporezivanja </w:t>
      </w:r>
      <w:r w:rsidR="00155CF3">
        <w:rPr>
          <w:rFonts w:ascii="Cambria" w:hAnsi="Cambria" w:cs="Calibri"/>
          <w:color w:val="auto"/>
          <w:sz w:val="24"/>
          <w:szCs w:val="24"/>
          <w:lang w:val="sr-Latn-RS"/>
        </w:rPr>
        <w:t>kao efikasnijeg modela oporezivanja.</w:t>
      </w:r>
    </w:p>
    <w:p w14:paraId="6B8B89A4" w14:textId="60BC3920" w:rsidR="00224AC8" w:rsidRPr="004E5CDC" w:rsidRDefault="00224AC8" w:rsidP="00224AC8">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Ovim programom prezentuju se sve mjere poreske polit</w:t>
      </w:r>
      <w:r w:rsidR="00E259B0">
        <w:rPr>
          <w:rFonts w:ascii="Cambria" w:hAnsi="Cambria" w:cs="Calibri"/>
          <w:b w:val="0"/>
          <w:color w:val="auto"/>
          <w:sz w:val="24"/>
          <w:szCs w:val="24"/>
          <w:lang w:val="sr-Latn-RS"/>
        </w:rPr>
        <w:t>i</w:t>
      </w:r>
      <w:r w:rsidRPr="004E5CDC">
        <w:rPr>
          <w:rFonts w:ascii="Cambria" w:hAnsi="Cambria" w:cs="Calibri"/>
          <w:b w:val="0"/>
          <w:color w:val="auto"/>
          <w:sz w:val="24"/>
          <w:szCs w:val="24"/>
          <w:lang w:val="sr-Latn-RS"/>
        </w:rPr>
        <w:t xml:space="preserve">ke koje će biti </w:t>
      </w:r>
      <w:r w:rsidR="007633AD" w:rsidRPr="004E5CDC">
        <w:rPr>
          <w:rFonts w:ascii="Cambria" w:hAnsi="Cambria" w:cs="Calibri"/>
          <w:b w:val="0"/>
          <w:color w:val="auto"/>
          <w:sz w:val="24"/>
          <w:szCs w:val="24"/>
          <w:lang w:val="sr-Latn-RS"/>
        </w:rPr>
        <w:t>implementirane</w:t>
      </w:r>
      <w:r w:rsidRPr="004E5CDC">
        <w:rPr>
          <w:rFonts w:ascii="Cambria" w:hAnsi="Cambria" w:cs="Calibri"/>
          <w:b w:val="0"/>
          <w:color w:val="auto"/>
          <w:sz w:val="24"/>
          <w:szCs w:val="24"/>
          <w:lang w:val="sr-Latn-RS"/>
        </w:rPr>
        <w:t xml:space="preserve"> kako bi krajnji ciljevi programa bili ispunjeni, poštujući principe makroekonomske stabilnosti</w:t>
      </w:r>
      <w:r w:rsidR="0044436C" w:rsidRPr="004E5CDC">
        <w:rPr>
          <w:rFonts w:ascii="Cambria" w:hAnsi="Cambria" w:cs="Calibri"/>
          <w:b w:val="0"/>
          <w:color w:val="auto"/>
          <w:sz w:val="24"/>
          <w:szCs w:val="24"/>
          <w:lang w:val="sr-Latn-RS"/>
        </w:rPr>
        <w:t>,</w:t>
      </w:r>
      <w:r w:rsidRPr="004E5CDC">
        <w:rPr>
          <w:rFonts w:ascii="Cambria" w:hAnsi="Cambria" w:cs="Calibri"/>
          <w:b w:val="0"/>
          <w:color w:val="auto"/>
          <w:sz w:val="24"/>
          <w:szCs w:val="24"/>
          <w:lang w:val="sr-Latn-RS"/>
        </w:rPr>
        <w:t xml:space="preserve"> dugoročne od</w:t>
      </w:r>
      <w:r w:rsidR="0044436C" w:rsidRPr="004E5CDC">
        <w:rPr>
          <w:rFonts w:ascii="Cambria" w:hAnsi="Cambria" w:cs="Calibri"/>
          <w:b w:val="0"/>
          <w:color w:val="auto"/>
          <w:sz w:val="24"/>
          <w:szCs w:val="24"/>
          <w:lang w:val="sr-Latn-RS"/>
        </w:rPr>
        <w:t xml:space="preserve">rživosti javnih finansija </w:t>
      </w:r>
      <w:r w:rsidR="00862916">
        <w:rPr>
          <w:rFonts w:ascii="Cambria" w:hAnsi="Cambria" w:cs="Calibri"/>
          <w:b w:val="0"/>
          <w:color w:val="auto"/>
          <w:sz w:val="24"/>
          <w:szCs w:val="24"/>
          <w:lang w:val="sr-Latn-RS"/>
        </w:rPr>
        <w:t xml:space="preserve">i </w:t>
      </w:r>
      <w:r w:rsidR="008E5AF8" w:rsidRPr="004E5CDC">
        <w:rPr>
          <w:rFonts w:ascii="Cambria" w:hAnsi="Cambria" w:cs="Calibri"/>
          <w:b w:val="0"/>
          <w:color w:val="auto"/>
          <w:sz w:val="24"/>
          <w:szCs w:val="24"/>
          <w:lang w:val="sr-Latn-RS"/>
        </w:rPr>
        <w:t>atraktivnost</w:t>
      </w:r>
      <w:r w:rsidR="0044436C" w:rsidRPr="004E5CDC">
        <w:rPr>
          <w:rFonts w:ascii="Cambria" w:hAnsi="Cambria" w:cs="Calibri"/>
          <w:b w:val="0"/>
          <w:color w:val="auto"/>
          <w:sz w:val="24"/>
          <w:szCs w:val="24"/>
          <w:lang w:val="sr-Latn-RS"/>
        </w:rPr>
        <w:t xml:space="preserve"> </w:t>
      </w:r>
      <w:r w:rsidR="008E5AF8" w:rsidRPr="004E5CDC">
        <w:rPr>
          <w:rFonts w:ascii="Cambria" w:hAnsi="Cambria" w:cs="Calibri"/>
          <w:b w:val="0"/>
          <w:color w:val="auto"/>
          <w:sz w:val="24"/>
          <w:szCs w:val="24"/>
          <w:lang w:val="sr-Latn-RS"/>
        </w:rPr>
        <w:t>Crne Gore kao investicione destinacije</w:t>
      </w:r>
      <w:r w:rsidR="0044436C" w:rsidRPr="004E5CDC">
        <w:rPr>
          <w:rFonts w:ascii="Cambria" w:hAnsi="Cambria" w:cs="Calibri"/>
          <w:b w:val="0"/>
          <w:color w:val="auto"/>
          <w:sz w:val="24"/>
          <w:szCs w:val="24"/>
          <w:lang w:val="sr-Latn-RS"/>
        </w:rPr>
        <w:t>.</w:t>
      </w:r>
      <w:r w:rsidR="002D7327" w:rsidRPr="004E5CDC">
        <w:rPr>
          <w:rFonts w:ascii="Cambria" w:hAnsi="Cambria" w:cs="Calibri"/>
          <w:b w:val="0"/>
          <w:color w:val="auto"/>
          <w:sz w:val="24"/>
          <w:szCs w:val="24"/>
          <w:lang w:val="sr-Latn-RS"/>
        </w:rPr>
        <w:t xml:space="preserve"> Takođe, program</w:t>
      </w:r>
      <w:r w:rsidR="00AD4E41" w:rsidRPr="004E5CDC">
        <w:rPr>
          <w:rFonts w:ascii="Cambria" w:hAnsi="Cambria" w:cs="Calibri"/>
          <w:b w:val="0"/>
          <w:color w:val="auto"/>
          <w:sz w:val="24"/>
          <w:szCs w:val="24"/>
          <w:lang w:val="sr-Latn-RS"/>
        </w:rPr>
        <w:t>om se stvara osnov za smanjenje</w:t>
      </w:r>
      <w:r w:rsidR="002D7327" w:rsidRPr="004E5CDC">
        <w:rPr>
          <w:rFonts w:ascii="Cambria" w:hAnsi="Cambria" w:cs="Calibri"/>
          <w:b w:val="0"/>
          <w:color w:val="auto"/>
          <w:sz w:val="24"/>
          <w:szCs w:val="24"/>
          <w:lang w:val="sr-Latn-RS"/>
        </w:rPr>
        <w:t xml:space="preserve"> nelojalne konkurencije odnosno "sive ekonomije"</w:t>
      </w:r>
      <w:r w:rsidR="008E5AF8" w:rsidRPr="004E5CDC">
        <w:rPr>
          <w:rFonts w:ascii="Cambria" w:hAnsi="Cambria" w:cs="Calibri"/>
          <w:b w:val="0"/>
          <w:color w:val="auto"/>
          <w:sz w:val="24"/>
          <w:szCs w:val="24"/>
          <w:lang w:val="sr-Latn-RS"/>
        </w:rPr>
        <w:t xml:space="preserve"> </w:t>
      </w:r>
      <w:r w:rsidR="00AD4E41" w:rsidRPr="004E5CDC">
        <w:rPr>
          <w:rFonts w:ascii="Cambria" w:hAnsi="Cambria" w:cs="Calibri"/>
          <w:b w:val="0"/>
          <w:color w:val="auto"/>
          <w:sz w:val="24"/>
          <w:szCs w:val="24"/>
          <w:lang w:val="sr-Latn-RS"/>
        </w:rPr>
        <w:t>i to posebno na tržištu rada što posljedično obezbjeđuje zaposlenima veću pravnu sigurnost.</w:t>
      </w:r>
    </w:p>
    <w:p w14:paraId="632C3869" w14:textId="77777777" w:rsidR="00AD4E41" w:rsidRPr="004E5CDC" w:rsidRDefault="00AD4E41" w:rsidP="00224AC8">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Dakle, program se zasniva na spremnosti države da se odrekne dijela prihoda u korist zaposlenog i poslodavca stvarajući na taj način ambijent za otvaranje novih radnih mjesta i proširenje poreske baze.</w:t>
      </w:r>
    </w:p>
    <w:p w14:paraId="327CFA46" w14:textId="77777777" w:rsidR="006237E2" w:rsidRPr="004E5CDC" w:rsidRDefault="006237E2" w:rsidP="00224AC8">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Program predstavlja osnov za vođenje socijalnog dijaloga na tripartitnoj osnovi u cilju postizanja opšteg konsenzusa.</w:t>
      </w:r>
    </w:p>
    <w:p w14:paraId="7F9A1901" w14:textId="016F4758" w:rsidR="005376F8" w:rsidRPr="004E5CDC" w:rsidRDefault="006237E2" w:rsidP="0044436C">
      <w:pPr>
        <w:pStyle w:val="Style1"/>
        <w:jc w:val="both"/>
        <w:rPr>
          <w:rFonts w:ascii="Cambria" w:hAnsi="Cambria" w:cs="Calibri"/>
          <w:b w:val="0"/>
          <w:color w:val="auto"/>
          <w:sz w:val="24"/>
          <w:szCs w:val="24"/>
          <w:lang w:val="sr-Latn-RS"/>
        </w:rPr>
      </w:pPr>
      <w:r w:rsidRPr="004E5CDC">
        <w:rPr>
          <w:rFonts w:ascii="Cambria" w:hAnsi="Cambria" w:cs="Calibri"/>
          <w:b w:val="0"/>
          <w:color w:val="auto"/>
          <w:sz w:val="24"/>
          <w:szCs w:val="24"/>
          <w:lang w:val="sr-Latn-RS"/>
        </w:rPr>
        <w:t xml:space="preserve">Polazna osnova za pripremu programa predstavljao je rad u okviru Radne grupe za </w:t>
      </w:r>
      <w:r w:rsidR="00E918EA" w:rsidRPr="004E5CDC">
        <w:rPr>
          <w:rFonts w:ascii="Cambria" w:hAnsi="Cambria" w:cs="Calibri"/>
          <w:b w:val="0"/>
          <w:color w:val="auto"/>
          <w:sz w:val="24"/>
          <w:szCs w:val="24"/>
          <w:lang w:val="sr-Latn-RS"/>
        </w:rPr>
        <w:t>a</w:t>
      </w:r>
      <w:r w:rsidRPr="004E5CDC">
        <w:rPr>
          <w:rFonts w:ascii="Cambria" w:hAnsi="Cambria" w:cs="Calibri"/>
          <w:b w:val="0"/>
          <w:color w:val="auto"/>
          <w:sz w:val="24"/>
          <w:szCs w:val="24"/>
          <w:lang w:val="sr-Latn-RS"/>
        </w:rPr>
        <w:t xml:space="preserve">nalizu svih fiskaliteta i parafiskaliteta na rad, formirane od strane Ministarstva ekonomskog razvoja, a kojom </w:t>
      </w:r>
      <w:r w:rsidR="0044436C" w:rsidRPr="004E5CDC">
        <w:rPr>
          <w:rFonts w:ascii="Cambria" w:hAnsi="Cambria" w:cs="Calibri"/>
          <w:b w:val="0"/>
          <w:color w:val="auto"/>
          <w:sz w:val="24"/>
          <w:szCs w:val="24"/>
          <w:lang w:val="sr-Latn-RS"/>
        </w:rPr>
        <w:t xml:space="preserve">je </w:t>
      </w:r>
      <w:r w:rsidRPr="004E5CDC">
        <w:rPr>
          <w:rFonts w:ascii="Cambria" w:hAnsi="Cambria" w:cs="Calibri"/>
          <w:b w:val="0"/>
          <w:color w:val="auto"/>
          <w:sz w:val="24"/>
          <w:szCs w:val="24"/>
          <w:lang w:val="sr-Latn-RS"/>
        </w:rPr>
        <w:t>koordinira</w:t>
      </w:r>
      <w:r w:rsidR="0044436C" w:rsidRPr="004E5CDC">
        <w:rPr>
          <w:rFonts w:ascii="Cambria" w:hAnsi="Cambria" w:cs="Calibri"/>
          <w:b w:val="0"/>
          <w:color w:val="auto"/>
          <w:sz w:val="24"/>
          <w:szCs w:val="24"/>
          <w:lang w:val="sr-Latn-RS"/>
        </w:rPr>
        <w:t>lo</w:t>
      </w:r>
      <w:r w:rsidRPr="004E5CDC">
        <w:rPr>
          <w:rFonts w:ascii="Cambria" w:hAnsi="Cambria" w:cs="Calibri"/>
          <w:b w:val="0"/>
          <w:color w:val="auto"/>
          <w:sz w:val="24"/>
          <w:szCs w:val="24"/>
          <w:lang w:val="sr-Latn-RS"/>
        </w:rPr>
        <w:t xml:space="preserve"> Ministarstvo finansija i socijalnog staranja</w:t>
      </w:r>
      <w:r w:rsidR="0044436C" w:rsidRPr="004E5CDC">
        <w:rPr>
          <w:rFonts w:ascii="Cambria" w:hAnsi="Cambria" w:cs="Calibri"/>
          <w:b w:val="0"/>
          <w:color w:val="auto"/>
          <w:sz w:val="24"/>
          <w:szCs w:val="24"/>
          <w:lang w:val="sr-Latn-RS"/>
        </w:rPr>
        <w:t>. Radna grupa je</w:t>
      </w:r>
      <w:r w:rsidRPr="004E5CDC">
        <w:rPr>
          <w:rFonts w:ascii="Cambria" w:hAnsi="Cambria" w:cs="Calibri"/>
          <w:b w:val="0"/>
          <w:color w:val="auto"/>
          <w:sz w:val="24"/>
          <w:szCs w:val="24"/>
          <w:lang w:val="sr-Latn-RS"/>
        </w:rPr>
        <w:t xml:space="preserve"> razmatrala predlo</w:t>
      </w:r>
      <w:r w:rsidR="0044436C" w:rsidRPr="004E5CDC">
        <w:rPr>
          <w:rFonts w:ascii="Cambria" w:hAnsi="Cambria" w:cs="Calibri"/>
          <w:b w:val="0"/>
          <w:color w:val="auto"/>
          <w:sz w:val="24"/>
          <w:szCs w:val="24"/>
          <w:lang w:val="sr-Latn-RS"/>
        </w:rPr>
        <w:t>ge</w:t>
      </w:r>
      <w:r w:rsidRPr="004E5CDC">
        <w:rPr>
          <w:rFonts w:ascii="Cambria" w:hAnsi="Cambria" w:cs="Calibri"/>
          <w:b w:val="0"/>
          <w:color w:val="auto"/>
          <w:sz w:val="24"/>
          <w:szCs w:val="24"/>
          <w:lang w:val="sr-Latn-RS"/>
        </w:rPr>
        <w:t xml:space="preserve"> svih socijalnih partnera i ostalih stejkholdera kako bi se došlo do zajedničkog optimalnog predloga koji će</w:t>
      </w:r>
      <w:r w:rsidR="0044436C" w:rsidRPr="004E5CDC">
        <w:rPr>
          <w:rFonts w:ascii="Cambria" w:hAnsi="Cambria" w:cs="Calibri"/>
          <w:b w:val="0"/>
          <w:color w:val="auto"/>
          <w:sz w:val="24"/>
          <w:szCs w:val="24"/>
          <w:lang w:val="sr-Latn-RS"/>
        </w:rPr>
        <w:t xml:space="preserve"> biti osnov za donošenje odluka</w:t>
      </w:r>
      <w:r w:rsidR="00903152">
        <w:rPr>
          <w:rFonts w:ascii="Cambria" w:hAnsi="Cambria" w:cs="Calibri"/>
          <w:b w:val="0"/>
          <w:color w:val="auto"/>
          <w:sz w:val="24"/>
          <w:szCs w:val="24"/>
          <w:lang w:val="sr-Latn-RS"/>
        </w:rPr>
        <w:t>,</w:t>
      </w:r>
      <w:r w:rsidR="0044436C" w:rsidRPr="004E5CDC">
        <w:rPr>
          <w:rFonts w:ascii="Cambria" w:hAnsi="Cambria" w:cs="Calibri"/>
          <w:b w:val="0"/>
          <w:color w:val="auto"/>
          <w:sz w:val="24"/>
          <w:szCs w:val="24"/>
          <w:lang w:val="sr-Latn-RS"/>
        </w:rPr>
        <w:t xml:space="preserve"> a polazeći od trendov</w:t>
      </w:r>
      <w:r w:rsidR="005376F8" w:rsidRPr="004E5CDC">
        <w:rPr>
          <w:rFonts w:ascii="Cambria" w:hAnsi="Cambria" w:cs="Calibri"/>
          <w:b w:val="0"/>
          <w:color w:val="auto"/>
          <w:sz w:val="24"/>
          <w:szCs w:val="24"/>
          <w:lang w:val="sr-Latn-RS"/>
        </w:rPr>
        <w:t xml:space="preserve">a na tržištu rada, </w:t>
      </w:r>
      <w:r w:rsidR="00903152">
        <w:rPr>
          <w:rFonts w:ascii="Cambria" w:hAnsi="Cambria" w:cs="Calibri"/>
          <w:b w:val="0"/>
          <w:color w:val="auto"/>
          <w:sz w:val="24"/>
          <w:szCs w:val="24"/>
          <w:lang w:val="sr-Latn-RS"/>
        </w:rPr>
        <w:t xml:space="preserve">iznosa </w:t>
      </w:r>
      <w:r w:rsidR="005376F8" w:rsidRPr="004E5CDC">
        <w:rPr>
          <w:rFonts w:ascii="Cambria" w:hAnsi="Cambria" w:cs="Calibri"/>
          <w:b w:val="0"/>
          <w:color w:val="auto"/>
          <w:sz w:val="24"/>
          <w:szCs w:val="24"/>
          <w:lang w:val="sr-Latn-RS"/>
        </w:rPr>
        <w:t>minimaln</w:t>
      </w:r>
      <w:r w:rsidR="00903152">
        <w:rPr>
          <w:rFonts w:ascii="Cambria" w:hAnsi="Cambria" w:cs="Calibri"/>
          <w:b w:val="0"/>
          <w:color w:val="auto"/>
          <w:sz w:val="24"/>
          <w:szCs w:val="24"/>
          <w:lang w:val="sr-Latn-RS"/>
        </w:rPr>
        <w:t>e</w:t>
      </w:r>
      <w:r w:rsidR="00115D90">
        <w:rPr>
          <w:rFonts w:ascii="Cambria" w:hAnsi="Cambria" w:cs="Calibri"/>
          <w:b w:val="0"/>
          <w:color w:val="auto"/>
          <w:sz w:val="24"/>
          <w:szCs w:val="24"/>
          <w:lang w:val="sr-Latn-RS"/>
        </w:rPr>
        <w:t xml:space="preserve"> </w:t>
      </w:r>
      <w:r w:rsidR="005376F8" w:rsidRPr="004E5CDC">
        <w:rPr>
          <w:rFonts w:ascii="Cambria" w:hAnsi="Cambria" w:cs="Calibri"/>
          <w:b w:val="0"/>
          <w:color w:val="auto"/>
          <w:sz w:val="24"/>
          <w:szCs w:val="24"/>
          <w:lang w:val="sr-Latn-RS"/>
        </w:rPr>
        <w:t>zarad</w:t>
      </w:r>
      <w:r w:rsidR="00903152">
        <w:rPr>
          <w:rFonts w:ascii="Cambria" w:hAnsi="Cambria" w:cs="Calibri"/>
          <w:b w:val="0"/>
          <w:color w:val="auto"/>
          <w:sz w:val="24"/>
          <w:szCs w:val="24"/>
          <w:lang w:val="sr-Latn-RS"/>
        </w:rPr>
        <w:t>e</w:t>
      </w:r>
      <w:r w:rsidR="0044436C" w:rsidRPr="004E5CDC">
        <w:rPr>
          <w:rFonts w:ascii="Cambria" w:hAnsi="Cambria" w:cs="Calibri"/>
          <w:b w:val="0"/>
          <w:color w:val="auto"/>
          <w:sz w:val="24"/>
          <w:szCs w:val="24"/>
          <w:lang w:val="sr-Latn-RS"/>
        </w:rPr>
        <w:t>, trenutn</w:t>
      </w:r>
      <w:r w:rsidR="00903152">
        <w:rPr>
          <w:rFonts w:ascii="Cambria" w:hAnsi="Cambria" w:cs="Calibri"/>
          <w:b w:val="0"/>
          <w:color w:val="auto"/>
          <w:sz w:val="24"/>
          <w:szCs w:val="24"/>
          <w:lang w:val="sr-Latn-RS"/>
        </w:rPr>
        <w:t>og nivoa</w:t>
      </w:r>
      <w:r w:rsidR="0044436C" w:rsidRPr="004E5CDC">
        <w:rPr>
          <w:rFonts w:ascii="Cambria" w:hAnsi="Cambria" w:cs="Calibri"/>
          <w:b w:val="0"/>
          <w:color w:val="auto"/>
          <w:sz w:val="24"/>
          <w:szCs w:val="24"/>
          <w:lang w:val="sr-Latn-RS"/>
        </w:rPr>
        <w:t xml:space="preserve"> opterećenj</w:t>
      </w:r>
      <w:r w:rsidR="00903152">
        <w:rPr>
          <w:rFonts w:ascii="Cambria" w:hAnsi="Cambria" w:cs="Calibri"/>
          <w:b w:val="0"/>
          <w:color w:val="auto"/>
          <w:sz w:val="24"/>
          <w:szCs w:val="24"/>
          <w:lang w:val="sr-Latn-RS"/>
        </w:rPr>
        <w:t>a</w:t>
      </w:r>
      <w:r w:rsidR="0044436C" w:rsidRPr="004E5CDC">
        <w:rPr>
          <w:rFonts w:ascii="Cambria" w:hAnsi="Cambria" w:cs="Calibri"/>
          <w:b w:val="0"/>
          <w:color w:val="auto"/>
          <w:sz w:val="24"/>
          <w:szCs w:val="24"/>
          <w:lang w:val="sr-Latn-RS"/>
        </w:rPr>
        <w:t xml:space="preserve"> na rad</w:t>
      </w:r>
      <w:r w:rsidR="005376F8" w:rsidRPr="004E5CDC">
        <w:rPr>
          <w:rFonts w:ascii="Cambria" w:hAnsi="Cambria" w:cs="Calibri"/>
          <w:b w:val="0"/>
          <w:color w:val="auto"/>
          <w:sz w:val="24"/>
          <w:szCs w:val="24"/>
          <w:lang w:val="sr-Latn-RS"/>
        </w:rPr>
        <w:t xml:space="preserve"> i unapređ</w:t>
      </w:r>
      <w:r w:rsidR="0044436C" w:rsidRPr="004E5CDC">
        <w:rPr>
          <w:rFonts w:ascii="Cambria" w:hAnsi="Cambria" w:cs="Calibri"/>
          <w:b w:val="0"/>
          <w:color w:val="auto"/>
          <w:sz w:val="24"/>
          <w:szCs w:val="24"/>
          <w:lang w:val="sr-Latn-RS"/>
        </w:rPr>
        <w:t>enj</w:t>
      </w:r>
      <w:r w:rsidR="00903152">
        <w:rPr>
          <w:rFonts w:ascii="Cambria" w:hAnsi="Cambria" w:cs="Calibri"/>
          <w:b w:val="0"/>
          <w:color w:val="auto"/>
          <w:sz w:val="24"/>
          <w:szCs w:val="24"/>
          <w:lang w:val="sr-Latn-RS"/>
        </w:rPr>
        <w:t>a</w:t>
      </w:r>
      <w:r w:rsidR="0044436C" w:rsidRPr="004E5CDC">
        <w:rPr>
          <w:rFonts w:ascii="Cambria" w:hAnsi="Cambria" w:cs="Calibri"/>
          <w:b w:val="0"/>
          <w:color w:val="auto"/>
          <w:sz w:val="24"/>
          <w:szCs w:val="24"/>
          <w:lang w:val="sr-Latn-RS"/>
        </w:rPr>
        <w:t xml:space="preserve"> životnog standarda građana.</w:t>
      </w:r>
      <w:r w:rsidR="005376F8" w:rsidRPr="004E5CDC">
        <w:rPr>
          <w:rFonts w:ascii="Cambria" w:hAnsi="Cambria"/>
          <w:sz w:val="24"/>
          <w:szCs w:val="24"/>
          <w:lang w:val="sr-Latn-RS"/>
        </w:rPr>
        <w:t xml:space="preserve"> </w:t>
      </w:r>
    </w:p>
    <w:p w14:paraId="55BE49CD" w14:textId="77777777" w:rsidR="004D26BC" w:rsidRPr="004E5CDC" w:rsidRDefault="004D26BC" w:rsidP="005376F8">
      <w:pPr>
        <w:jc w:val="both"/>
        <w:rPr>
          <w:rFonts w:ascii="Cambria" w:hAnsi="Cambria"/>
          <w:sz w:val="24"/>
          <w:szCs w:val="24"/>
          <w:lang w:val="sr-Latn-RS"/>
        </w:rPr>
      </w:pPr>
      <w:r w:rsidRPr="004E5CDC">
        <w:rPr>
          <w:rFonts w:ascii="Cambria" w:hAnsi="Cambria"/>
          <w:sz w:val="24"/>
          <w:szCs w:val="24"/>
          <w:lang w:val="sr-Latn-RS"/>
        </w:rPr>
        <w:lastRenderedPageBreak/>
        <w:t xml:space="preserve">Osim predstavnika ministarstava, učešće u radu Radne grupe uzeli su i predstavnici Unije poslodavaca Crne Gore, Unije slobodnih sindikata Crne Gore, Saveza sindikata Crne Gore, Sekretarijata savjeta za konkurentnost, Montenegro biznis alijanse i Privredne komore Crne Gore. </w:t>
      </w:r>
    </w:p>
    <w:p w14:paraId="002222DB" w14:textId="3554DA08" w:rsidR="00135473" w:rsidRDefault="00677087" w:rsidP="005376F8">
      <w:pPr>
        <w:jc w:val="both"/>
        <w:rPr>
          <w:rFonts w:ascii="Cambria" w:hAnsi="Cambria"/>
          <w:sz w:val="24"/>
          <w:szCs w:val="24"/>
          <w:lang w:val="sr-Latn-RS"/>
        </w:rPr>
      </w:pPr>
      <w:r w:rsidRPr="004E5CDC">
        <w:rPr>
          <w:rFonts w:ascii="Cambria" w:hAnsi="Cambria"/>
          <w:sz w:val="24"/>
          <w:szCs w:val="24"/>
          <w:lang w:val="sr-Latn-RS"/>
        </w:rPr>
        <w:t>Imajući u vidu opredjeljenje Vlade Crne Gore za dalj</w:t>
      </w:r>
      <w:r w:rsidR="001D6822">
        <w:rPr>
          <w:rFonts w:ascii="Cambria" w:hAnsi="Cambria"/>
          <w:sz w:val="24"/>
          <w:szCs w:val="24"/>
          <w:lang w:val="sr-Latn-RS"/>
        </w:rPr>
        <w:t>e</w:t>
      </w:r>
      <w:r w:rsidRPr="004E5CDC">
        <w:rPr>
          <w:rFonts w:ascii="Cambria" w:hAnsi="Cambria"/>
          <w:sz w:val="24"/>
          <w:szCs w:val="24"/>
          <w:lang w:val="sr-Latn-RS"/>
        </w:rPr>
        <w:t xml:space="preserve"> unapređenje poslovnog ambijenta i stvaranje uslova za povećanje broja zaposlenih, kontinuirano će se pratiti efekti predloženih izmjena </w:t>
      </w:r>
      <w:r w:rsidR="0044436C" w:rsidRPr="004E5CDC">
        <w:rPr>
          <w:rFonts w:ascii="Cambria" w:hAnsi="Cambria"/>
          <w:sz w:val="24"/>
          <w:szCs w:val="24"/>
          <w:lang w:val="sr-Latn-RS"/>
        </w:rPr>
        <w:t xml:space="preserve">poreske politike u ovom dijelu. </w:t>
      </w:r>
      <w:r w:rsidR="00E918EA" w:rsidRPr="004E5CDC">
        <w:rPr>
          <w:rFonts w:ascii="Cambria" w:hAnsi="Cambria"/>
          <w:sz w:val="24"/>
          <w:szCs w:val="24"/>
          <w:lang w:val="sr-Latn-RS"/>
        </w:rPr>
        <w:t>Budući da</w:t>
      </w:r>
      <w:r w:rsidR="00135473" w:rsidRPr="004E5CDC">
        <w:rPr>
          <w:rFonts w:ascii="Cambria" w:hAnsi="Cambria"/>
          <w:sz w:val="24"/>
          <w:szCs w:val="24"/>
          <w:lang w:val="sr-Latn-RS"/>
        </w:rPr>
        <w:t xml:space="preserve"> je shodno dosadašnjim procjenama, najveći dio sive ekonomije identifikovan upravo kod kategorij</w:t>
      </w:r>
      <w:r w:rsidR="0076076D" w:rsidRPr="004E5CDC">
        <w:rPr>
          <w:rFonts w:ascii="Cambria" w:hAnsi="Cambria"/>
          <w:sz w:val="24"/>
          <w:szCs w:val="24"/>
          <w:lang w:val="sr-Latn-RS"/>
        </w:rPr>
        <w:t>e</w:t>
      </w:r>
      <w:r w:rsidR="00135473" w:rsidRPr="004E5CDC">
        <w:rPr>
          <w:rFonts w:ascii="Cambria" w:hAnsi="Cambria"/>
          <w:sz w:val="24"/>
          <w:szCs w:val="24"/>
          <w:lang w:val="sr-Latn-RS"/>
        </w:rPr>
        <w:t xml:space="preserve"> poreza i doprinosa na zarade, posebna pažnja biće posvećena jačanju inspekcijskog nadzora i na taj način </w:t>
      </w:r>
      <w:r w:rsidR="00F82D73" w:rsidRPr="004E5CDC">
        <w:rPr>
          <w:rFonts w:ascii="Cambria" w:hAnsi="Cambria"/>
          <w:sz w:val="24"/>
          <w:szCs w:val="24"/>
          <w:lang w:val="sr-Latn-RS"/>
        </w:rPr>
        <w:t>svođenja na najnižu</w:t>
      </w:r>
      <w:r w:rsidR="0076076D" w:rsidRPr="004E5CDC">
        <w:rPr>
          <w:rFonts w:ascii="Cambria" w:hAnsi="Cambria"/>
          <w:sz w:val="24"/>
          <w:szCs w:val="24"/>
          <w:lang w:val="sr-Latn-RS"/>
        </w:rPr>
        <w:t xml:space="preserve"> moguću</w:t>
      </w:r>
      <w:r w:rsidR="00F82D73" w:rsidRPr="004E5CDC">
        <w:rPr>
          <w:rFonts w:ascii="Cambria" w:hAnsi="Cambria"/>
          <w:sz w:val="24"/>
          <w:szCs w:val="24"/>
          <w:lang w:val="sr-Latn-RS"/>
        </w:rPr>
        <w:t xml:space="preserve"> mjeru</w:t>
      </w:r>
      <w:r w:rsidR="00135473" w:rsidRPr="004E5CDC">
        <w:rPr>
          <w:rFonts w:ascii="Cambria" w:hAnsi="Cambria"/>
          <w:sz w:val="24"/>
          <w:szCs w:val="24"/>
          <w:lang w:val="sr-Latn-RS"/>
        </w:rPr>
        <w:t xml:space="preserve"> obuhvata neformalnog zapošljavanja.</w:t>
      </w:r>
    </w:p>
    <w:p w14:paraId="389FD5D2" w14:textId="199910BD" w:rsidR="001B536F" w:rsidRPr="004E5CDC" w:rsidRDefault="009921C6" w:rsidP="005376F8">
      <w:pPr>
        <w:jc w:val="both"/>
        <w:rPr>
          <w:rFonts w:ascii="Cambria" w:hAnsi="Cambria"/>
          <w:sz w:val="24"/>
          <w:szCs w:val="24"/>
          <w:lang w:val="sr-Latn-RS"/>
        </w:rPr>
      </w:pPr>
      <w:r>
        <w:rPr>
          <w:rFonts w:ascii="Cambria" w:hAnsi="Cambria"/>
          <w:sz w:val="24"/>
          <w:szCs w:val="24"/>
          <w:lang w:val="sr-Latn-RS"/>
        </w:rPr>
        <w:t>Polazeći od veoma niskog poreskog opterećenja rada koje se omogućava ovom reformom, na</w:t>
      </w:r>
      <w:r w:rsidR="001B536F">
        <w:rPr>
          <w:rFonts w:ascii="Cambria" w:hAnsi="Cambria"/>
          <w:sz w:val="24"/>
          <w:szCs w:val="24"/>
          <w:lang w:val="sr-Latn-RS"/>
        </w:rPr>
        <w:t xml:space="preserve">redni korak </w:t>
      </w:r>
      <w:r>
        <w:rPr>
          <w:rFonts w:ascii="Cambria" w:hAnsi="Cambria"/>
          <w:sz w:val="24"/>
          <w:szCs w:val="24"/>
          <w:lang w:val="sr-Latn-RS"/>
        </w:rPr>
        <w:t>bi bio da neuplaćivanj</w:t>
      </w:r>
      <w:r w:rsidR="00862916">
        <w:rPr>
          <w:rFonts w:ascii="Cambria" w:hAnsi="Cambria"/>
          <w:sz w:val="24"/>
          <w:szCs w:val="24"/>
          <w:lang w:val="sr-Latn-RS"/>
        </w:rPr>
        <w:t>e</w:t>
      </w:r>
      <w:r>
        <w:rPr>
          <w:rFonts w:ascii="Cambria" w:hAnsi="Cambria"/>
          <w:sz w:val="24"/>
          <w:szCs w:val="24"/>
          <w:lang w:val="sr-Latn-RS"/>
        </w:rPr>
        <w:t xml:space="preserve"> poreza i doprinosa na zarade bu</w:t>
      </w:r>
      <w:r w:rsidR="00EE5EA3">
        <w:rPr>
          <w:rFonts w:ascii="Cambria" w:hAnsi="Cambria"/>
          <w:sz w:val="24"/>
          <w:szCs w:val="24"/>
          <w:lang w:val="sr-Latn-RS"/>
        </w:rPr>
        <w:t>de tretirano kao krivično djelo</w:t>
      </w:r>
      <w:r w:rsidR="00862916">
        <w:rPr>
          <w:rFonts w:ascii="Cambria" w:hAnsi="Cambria"/>
          <w:sz w:val="24"/>
          <w:szCs w:val="24"/>
          <w:lang w:val="sr-Latn-RS"/>
        </w:rPr>
        <w:t xml:space="preserve"> kroz izmjene i dopune postojeće zakonske regulative</w:t>
      </w:r>
      <w:r w:rsidR="00EE5EA3">
        <w:rPr>
          <w:rFonts w:ascii="Cambria" w:hAnsi="Cambria"/>
          <w:sz w:val="24"/>
          <w:szCs w:val="24"/>
          <w:lang w:val="sr-Latn-RS"/>
        </w:rPr>
        <w:t>.</w:t>
      </w:r>
    </w:p>
    <w:p w14:paraId="66DA9DD9" w14:textId="17488ABE" w:rsidR="00046E80" w:rsidRPr="004E5CDC" w:rsidRDefault="000B6EB1" w:rsidP="005376F8">
      <w:pPr>
        <w:jc w:val="both"/>
        <w:rPr>
          <w:rFonts w:ascii="Cambria" w:hAnsi="Cambria"/>
          <w:sz w:val="24"/>
          <w:szCs w:val="24"/>
          <w:lang w:val="sr-Latn-RS"/>
        </w:rPr>
      </w:pPr>
      <w:r>
        <w:rPr>
          <w:rFonts w:ascii="Cambria" w:hAnsi="Cambria"/>
          <w:sz w:val="24"/>
          <w:szCs w:val="24"/>
          <w:lang w:val="sr-Latn-RS"/>
        </w:rPr>
        <w:t>Vlada predvi</w:t>
      </w:r>
      <w:r w:rsidR="00903152">
        <w:rPr>
          <w:rFonts w:ascii="Cambria" w:hAnsi="Cambria"/>
          <w:sz w:val="24"/>
          <w:szCs w:val="24"/>
          <w:lang w:val="sr-Latn-RS"/>
        </w:rPr>
        <w:t>đ</w:t>
      </w:r>
      <w:r>
        <w:rPr>
          <w:rFonts w:ascii="Cambria" w:hAnsi="Cambria"/>
          <w:sz w:val="24"/>
          <w:szCs w:val="24"/>
          <w:lang w:val="sr-Latn-RS"/>
        </w:rPr>
        <w:t>a da će predložene mjere unijeti neophodnu do</w:t>
      </w:r>
      <w:r w:rsidR="005A7999">
        <w:rPr>
          <w:rFonts w:ascii="Cambria" w:hAnsi="Cambria"/>
          <w:sz w:val="24"/>
          <w:szCs w:val="24"/>
          <w:lang w:val="sr-Latn-RS"/>
        </w:rPr>
        <w:t xml:space="preserve">zu optimizma u društvu, </w:t>
      </w:r>
      <w:r>
        <w:rPr>
          <w:rFonts w:ascii="Cambria" w:hAnsi="Cambria"/>
          <w:sz w:val="24"/>
          <w:szCs w:val="24"/>
          <w:lang w:val="sr-Latn-RS"/>
        </w:rPr>
        <w:t xml:space="preserve">ohrabriti mlade da ostanu u </w:t>
      </w:r>
      <w:r w:rsidR="00115D90">
        <w:rPr>
          <w:rFonts w:ascii="Cambria" w:hAnsi="Cambria"/>
          <w:sz w:val="24"/>
          <w:szCs w:val="24"/>
          <w:lang w:val="sr-Latn-RS"/>
        </w:rPr>
        <w:t>Crnoj Gori, a pogotovo u</w:t>
      </w:r>
      <w:r>
        <w:rPr>
          <w:rFonts w:ascii="Cambria" w:hAnsi="Cambria"/>
          <w:sz w:val="24"/>
          <w:szCs w:val="24"/>
          <w:lang w:val="sr-Latn-RS"/>
        </w:rPr>
        <w:t xml:space="preserve"> njenim manje razvijenim djelovima, a istovremeno i omogućiti povećanje lične potrošnje domaćinstava, kroz povećanje raspoloživog dohotka.</w:t>
      </w:r>
      <w:r w:rsidRPr="004E5CDC">
        <w:rPr>
          <w:rFonts w:ascii="Cambria" w:hAnsi="Cambria"/>
          <w:sz w:val="24"/>
          <w:szCs w:val="24"/>
          <w:lang w:val="sr-Latn-RS"/>
        </w:rPr>
        <w:t xml:space="preserve"> </w:t>
      </w:r>
      <w:r>
        <w:rPr>
          <w:rFonts w:ascii="Cambria" w:hAnsi="Cambria"/>
          <w:sz w:val="24"/>
          <w:szCs w:val="24"/>
          <w:lang w:val="sr-Latn-RS"/>
        </w:rPr>
        <w:t>Medjutim, k</w:t>
      </w:r>
      <w:r w:rsidR="00046E80" w:rsidRPr="004E5CDC">
        <w:rPr>
          <w:rFonts w:ascii="Cambria" w:hAnsi="Cambria"/>
          <w:sz w:val="24"/>
          <w:szCs w:val="24"/>
          <w:lang w:val="sr-Latn-RS"/>
        </w:rPr>
        <w:t xml:space="preserve">ako u </w:t>
      </w:r>
      <w:r w:rsidR="0062156B">
        <w:rPr>
          <w:rFonts w:ascii="Cambria" w:hAnsi="Cambria"/>
          <w:sz w:val="24"/>
          <w:szCs w:val="24"/>
          <w:lang w:val="sr-Latn-RS"/>
        </w:rPr>
        <w:t>kratkom</w:t>
      </w:r>
      <w:r w:rsidR="00046E80" w:rsidRPr="004E5CDC">
        <w:rPr>
          <w:rFonts w:ascii="Cambria" w:hAnsi="Cambria"/>
          <w:sz w:val="24"/>
          <w:szCs w:val="24"/>
          <w:lang w:val="sr-Latn-RS"/>
        </w:rPr>
        <w:t xml:space="preserve"> roku nije moguće nadoknaditi izgubljene prihode Budžeta usljed smanjenja poreskog opterećenja rada, Vlada Crne Gore će kroz instrumente fiskalne politike</w:t>
      </w:r>
      <w:r w:rsidR="001F1BFE" w:rsidRPr="004E5CDC">
        <w:rPr>
          <w:rFonts w:ascii="Cambria" w:hAnsi="Cambria"/>
          <w:sz w:val="24"/>
          <w:szCs w:val="24"/>
          <w:lang w:val="sr-Latn-RS"/>
        </w:rPr>
        <w:t xml:space="preserve"> u dijelu </w:t>
      </w:r>
      <w:r w:rsidR="00601EA7" w:rsidRPr="004E5CDC">
        <w:rPr>
          <w:rFonts w:ascii="Cambria" w:hAnsi="Cambria"/>
          <w:sz w:val="24"/>
          <w:szCs w:val="24"/>
          <w:lang w:val="sr-Latn-RS"/>
        </w:rPr>
        <w:t xml:space="preserve">oporezivanja </w:t>
      </w:r>
      <w:r w:rsidR="001F1BFE" w:rsidRPr="004E5CDC">
        <w:rPr>
          <w:rFonts w:ascii="Cambria" w:hAnsi="Cambria"/>
          <w:sz w:val="24"/>
          <w:szCs w:val="24"/>
          <w:lang w:val="sr-Latn-RS"/>
        </w:rPr>
        <w:t>proizvoda k</w:t>
      </w:r>
      <w:r w:rsidR="00314A9A" w:rsidRPr="004E5CDC">
        <w:rPr>
          <w:rFonts w:ascii="Cambria" w:hAnsi="Cambria"/>
          <w:sz w:val="24"/>
          <w:szCs w:val="24"/>
          <w:lang w:val="sr-Latn-RS"/>
        </w:rPr>
        <w:t xml:space="preserve">oji </w:t>
      </w:r>
      <w:r w:rsidR="00601EA7" w:rsidRPr="004E5CDC">
        <w:rPr>
          <w:rFonts w:ascii="Cambria" w:hAnsi="Cambria"/>
          <w:sz w:val="24"/>
          <w:szCs w:val="24"/>
          <w:lang w:val="sr-Latn-RS"/>
        </w:rPr>
        <w:t xml:space="preserve">imaju negativan uticaj na </w:t>
      </w:r>
      <w:r w:rsidR="00314A9A" w:rsidRPr="004E5CDC">
        <w:rPr>
          <w:rFonts w:ascii="Cambria" w:hAnsi="Cambria"/>
          <w:sz w:val="24"/>
          <w:szCs w:val="24"/>
          <w:lang w:val="sr-Latn-RS"/>
        </w:rPr>
        <w:t>zdravlj</w:t>
      </w:r>
      <w:r w:rsidR="00601EA7" w:rsidRPr="004E5CDC">
        <w:rPr>
          <w:rFonts w:ascii="Cambria" w:hAnsi="Cambria"/>
          <w:sz w:val="24"/>
          <w:szCs w:val="24"/>
          <w:lang w:val="sr-Latn-RS"/>
        </w:rPr>
        <w:t>e</w:t>
      </w:r>
      <w:r w:rsidR="00314A9A" w:rsidRPr="004E5CDC">
        <w:rPr>
          <w:rFonts w:ascii="Cambria" w:hAnsi="Cambria"/>
          <w:sz w:val="24"/>
          <w:szCs w:val="24"/>
          <w:lang w:val="sr-Latn-RS"/>
        </w:rPr>
        <w:t xml:space="preserve"> stanovništva, </w:t>
      </w:r>
      <w:r w:rsidR="0044436C" w:rsidRPr="004E5CDC">
        <w:rPr>
          <w:rFonts w:ascii="Cambria" w:hAnsi="Cambria"/>
          <w:sz w:val="24"/>
          <w:szCs w:val="24"/>
          <w:lang w:val="sr-Latn-RS"/>
        </w:rPr>
        <w:t>progresivno oporezivanje</w:t>
      </w:r>
      <w:r w:rsidR="00862916">
        <w:rPr>
          <w:rFonts w:ascii="Cambria" w:hAnsi="Cambria"/>
          <w:sz w:val="24"/>
          <w:szCs w:val="24"/>
          <w:lang w:val="sr-Latn-RS"/>
        </w:rPr>
        <w:t xml:space="preserve"> dohotka i</w:t>
      </w:r>
      <w:r w:rsidR="0044436C" w:rsidRPr="004E5CDC">
        <w:rPr>
          <w:rFonts w:ascii="Cambria" w:hAnsi="Cambria"/>
          <w:sz w:val="24"/>
          <w:szCs w:val="24"/>
          <w:lang w:val="sr-Latn-RS"/>
        </w:rPr>
        <w:t xml:space="preserve"> </w:t>
      </w:r>
      <w:r w:rsidR="00F530AD" w:rsidRPr="004E5CDC">
        <w:rPr>
          <w:rFonts w:ascii="Cambria" w:hAnsi="Cambria"/>
          <w:sz w:val="24"/>
          <w:szCs w:val="24"/>
          <w:lang w:val="sr-Latn-RS"/>
        </w:rPr>
        <w:t xml:space="preserve">ostvarene </w:t>
      </w:r>
      <w:r w:rsidR="0044436C" w:rsidRPr="004E5CDC">
        <w:rPr>
          <w:rFonts w:ascii="Cambria" w:hAnsi="Cambria"/>
          <w:sz w:val="24"/>
          <w:szCs w:val="24"/>
          <w:lang w:val="sr-Latn-RS"/>
        </w:rPr>
        <w:t>dobiti</w:t>
      </w:r>
      <w:r w:rsidR="00AF7F0B">
        <w:rPr>
          <w:rFonts w:ascii="Cambria" w:hAnsi="Cambria"/>
          <w:sz w:val="24"/>
          <w:szCs w:val="24"/>
          <w:lang w:val="sr-Latn-RS"/>
        </w:rPr>
        <w:t>, oporezivanje neprijavljene imovine</w:t>
      </w:r>
      <w:r w:rsidR="0044436C" w:rsidRPr="004E5CDC">
        <w:rPr>
          <w:rFonts w:ascii="Cambria" w:hAnsi="Cambria"/>
          <w:sz w:val="24"/>
          <w:szCs w:val="24"/>
          <w:lang w:val="sr-Latn-RS"/>
        </w:rPr>
        <w:t xml:space="preserve"> i dr</w:t>
      </w:r>
      <w:r w:rsidR="00E918EA" w:rsidRPr="004E5CDC">
        <w:rPr>
          <w:rFonts w:ascii="Cambria" w:hAnsi="Cambria"/>
          <w:sz w:val="24"/>
          <w:szCs w:val="24"/>
          <w:lang w:val="sr-Latn-RS"/>
        </w:rPr>
        <w:t>uge mjere sadržane u ovom dokum</w:t>
      </w:r>
      <w:r w:rsidR="0044436C" w:rsidRPr="004E5CDC">
        <w:rPr>
          <w:rFonts w:ascii="Cambria" w:hAnsi="Cambria"/>
          <w:sz w:val="24"/>
          <w:szCs w:val="24"/>
          <w:lang w:val="sr-Latn-RS"/>
        </w:rPr>
        <w:t>e</w:t>
      </w:r>
      <w:r w:rsidR="00E918EA" w:rsidRPr="004E5CDC">
        <w:rPr>
          <w:rFonts w:ascii="Cambria" w:hAnsi="Cambria"/>
          <w:sz w:val="24"/>
          <w:szCs w:val="24"/>
          <w:lang w:val="sr-Latn-RS"/>
        </w:rPr>
        <w:t>n</w:t>
      </w:r>
      <w:r w:rsidR="0044436C" w:rsidRPr="004E5CDC">
        <w:rPr>
          <w:rFonts w:ascii="Cambria" w:hAnsi="Cambria"/>
          <w:sz w:val="24"/>
          <w:szCs w:val="24"/>
          <w:lang w:val="sr-Latn-RS"/>
        </w:rPr>
        <w:t xml:space="preserve">tu </w:t>
      </w:r>
      <w:r w:rsidR="00314A9A" w:rsidRPr="004E5CDC">
        <w:rPr>
          <w:rFonts w:ascii="Cambria" w:hAnsi="Cambria"/>
          <w:sz w:val="24"/>
          <w:szCs w:val="24"/>
          <w:lang w:val="sr-Latn-RS"/>
        </w:rPr>
        <w:t xml:space="preserve">kompenzovati </w:t>
      </w:r>
      <w:r w:rsidR="0044436C" w:rsidRPr="004E5CDC">
        <w:rPr>
          <w:rFonts w:ascii="Cambria" w:hAnsi="Cambria"/>
          <w:sz w:val="24"/>
          <w:szCs w:val="24"/>
          <w:lang w:val="sr-Latn-RS"/>
        </w:rPr>
        <w:t>najveći dio izgubljenih prihoda.</w:t>
      </w:r>
      <w:r w:rsidR="00AF7F0B">
        <w:rPr>
          <w:rFonts w:ascii="Cambria" w:hAnsi="Cambria"/>
          <w:sz w:val="24"/>
          <w:szCs w:val="24"/>
          <w:lang w:val="sr-Latn-RS"/>
        </w:rPr>
        <w:t xml:space="preserve"> </w:t>
      </w:r>
      <w:r w:rsidR="00B50CD9">
        <w:rPr>
          <w:rFonts w:ascii="Cambria" w:hAnsi="Cambria"/>
          <w:sz w:val="24"/>
          <w:szCs w:val="24"/>
          <w:lang w:val="sr-Latn-RS"/>
        </w:rPr>
        <w:t xml:space="preserve">U </w:t>
      </w:r>
      <w:r w:rsidR="0062156B">
        <w:rPr>
          <w:rFonts w:ascii="Cambria" w:hAnsi="Cambria"/>
          <w:sz w:val="24"/>
          <w:szCs w:val="24"/>
          <w:lang w:val="sr-Latn-RS"/>
        </w:rPr>
        <w:t>srednjem</w:t>
      </w:r>
      <w:r w:rsidR="00B50CD9">
        <w:rPr>
          <w:rFonts w:ascii="Cambria" w:hAnsi="Cambria"/>
          <w:sz w:val="24"/>
          <w:szCs w:val="24"/>
          <w:lang w:val="sr-Latn-RS"/>
        </w:rPr>
        <w:t xml:space="preserve"> roku, set poreskih reformi omogućava multiplikativni efekat na eko</w:t>
      </w:r>
      <w:r w:rsidR="0041769E">
        <w:rPr>
          <w:rFonts w:ascii="Cambria" w:hAnsi="Cambria"/>
          <w:sz w:val="24"/>
          <w:szCs w:val="24"/>
          <w:lang w:val="sr-Latn-RS"/>
        </w:rPr>
        <w:t>no</w:t>
      </w:r>
      <w:r w:rsidR="00B50CD9">
        <w:rPr>
          <w:rFonts w:ascii="Cambria" w:hAnsi="Cambria"/>
          <w:sz w:val="24"/>
          <w:szCs w:val="24"/>
          <w:lang w:val="sr-Latn-RS"/>
        </w:rPr>
        <w:t>mske tokove kroz: otvaranje novih radnih mjesta, povećanje lične potrošnje domaćinstava, smanjen</w:t>
      </w:r>
      <w:r w:rsidR="00D579E9">
        <w:rPr>
          <w:rFonts w:ascii="Cambria" w:hAnsi="Cambria"/>
          <w:sz w:val="24"/>
          <w:szCs w:val="24"/>
          <w:lang w:val="sr-Latn-RS"/>
        </w:rPr>
        <w:t>je neformalne ekonomije, što će uticati na stvaranje uslova za povećanje budžetskih prihoda i dugoročnu održivost javnih finansija.</w:t>
      </w:r>
    </w:p>
    <w:p w14:paraId="6BE67DC6" w14:textId="4AD6D469" w:rsidR="00E90B0B" w:rsidRPr="004E5CDC" w:rsidRDefault="00E90B0B" w:rsidP="005376F8">
      <w:pPr>
        <w:jc w:val="both"/>
        <w:rPr>
          <w:rFonts w:ascii="Cambria" w:hAnsi="Cambria"/>
          <w:sz w:val="24"/>
          <w:szCs w:val="24"/>
          <w:lang w:val="sr-Latn-RS"/>
        </w:rPr>
      </w:pPr>
      <w:r w:rsidRPr="004E5CDC">
        <w:rPr>
          <w:rFonts w:ascii="Cambria" w:hAnsi="Cambria"/>
          <w:sz w:val="24"/>
          <w:szCs w:val="24"/>
          <w:lang w:val="sr-Latn-RS"/>
        </w:rPr>
        <w:t xml:space="preserve">Smanjenje poreskog opterećenja na rad predlaže se </w:t>
      </w:r>
      <w:r w:rsidR="00062A88" w:rsidRPr="004E5CDC">
        <w:rPr>
          <w:rFonts w:ascii="Cambria" w:hAnsi="Cambria"/>
          <w:sz w:val="24"/>
          <w:szCs w:val="24"/>
          <w:lang w:val="sr-Latn-RS"/>
        </w:rPr>
        <w:t>u cilju nastavka pružanja podršk</w:t>
      </w:r>
      <w:r w:rsidRPr="004E5CDC">
        <w:rPr>
          <w:rFonts w:ascii="Cambria" w:hAnsi="Cambria"/>
          <w:sz w:val="24"/>
          <w:szCs w:val="24"/>
          <w:lang w:val="sr-Latn-RS"/>
        </w:rPr>
        <w:t xml:space="preserve">e privredi u periodu oporavka ekonomske aktivnosti </w:t>
      </w:r>
      <w:r w:rsidR="00062A88" w:rsidRPr="004E5CDC">
        <w:rPr>
          <w:rFonts w:ascii="Cambria" w:hAnsi="Cambria"/>
          <w:sz w:val="24"/>
          <w:szCs w:val="24"/>
          <w:lang w:val="sr-Latn-RS"/>
        </w:rPr>
        <w:t>nakon pandemije virusa COVID-19</w:t>
      </w:r>
      <w:r w:rsidR="00601EA7" w:rsidRPr="004E5CDC">
        <w:rPr>
          <w:rFonts w:ascii="Cambria" w:hAnsi="Cambria"/>
          <w:sz w:val="24"/>
          <w:szCs w:val="24"/>
          <w:lang w:val="sr-Latn-RS"/>
        </w:rPr>
        <w:t xml:space="preserve"> sa jedne</w:t>
      </w:r>
      <w:r w:rsidR="0041769E">
        <w:rPr>
          <w:rFonts w:ascii="Cambria" w:hAnsi="Cambria"/>
          <w:sz w:val="24"/>
          <w:szCs w:val="24"/>
          <w:lang w:val="sr-Latn-RS"/>
        </w:rPr>
        <w:t>,</w:t>
      </w:r>
      <w:r w:rsidR="00601EA7" w:rsidRPr="004E5CDC">
        <w:rPr>
          <w:rFonts w:ascii="Cambria" w:hAnsi="Cambria"/>
          <w:sz w:val="24"/>
          <w:szCs w:val="24"/>
          <w:lang w:val="sr-Latn-RS"/>
        </w:rPr>
        <w:t xml:space="preserve"> odnosno unapređenja cjelokupnog poslo</w:t>
      </w:r>
      <w:r w:rsidR="00F530AD" w:rsidRPr="004E5CDC">
        <w:rPr>
          <w:rFonts w:ascii="Cambria" w:hAnsi="Cambria"/>
          <w:sz w:val="24"/>
          <w:szCs w:val="24"/>
          <w:lang w:val="sr-Latn-RS"/>
        </w:rPr>
        <w:t>vnog ambijenta sa druge strane.</w:t>
      </w:r>
      <w:r w:rsidR="000B6EB1">
        <w:rPr>
          <w:rFonts w:ascii="Cambria" w:hAnsi="Cambria"/>
          <w:sz w:val="24"/>
          <w:szCs w:val="24"/>
          <w:lang w:val="sr-Latn-RS"/>
        </w:rPr>
        <w:t xml:space="preserve"> Na ovaj </w:t>
      </w:r>
      <w:r w:rsidR="0041769E">
        <w:rPr>
          <w:rFonts w:ascii="Cambria" w:hAnsi="Cambria"/>
          <w:sz w:val="24"/>
          <w:szCs w:val="24"/>
          <w:lang w:val="sr-Latn-RS"/>
        </w:rPr>
        <w:t xml:space="preserve">način, </w:t>
      </w:r>
      <w:r w:rsidR="000B6EB1">
        <w:rPr>
          <w:rFonts w:ascii="Cambria" w:hAnsi="Cambria"/>
          <w:sz w:val="24"/>
          <w:szCs w:val="24"/>
          <w:lang w:val="sr-Latn-RS"/>
        </w:rPr>
        <w:t>kroz smanjenje poreskog opterećenja na rad, Vlada tako</w:t>
      </w:r>
      <w:r w:rsidR="0041769E">
        <w:rPr>
          <w:rFonts w:ascii="Cambria" w:hAnsi="Cambria"/>
          <w:sz w:val="24"/>
          <w:szCs w:val="24"/>
          <w:lang w:val="sr-Latn-RS"/>
        </w:rPr>
        <w:t>đ</w:t>
      </w:r>
      <w:r w:rsidR="000B6EB1">
        <w:rPr>
          <w:rFonts w:ascii="Cambria" w:hAnsi="Cambria"/>
          <w:sz w:val="24"/>
          <w:szCs w:val="24"/>
          <w:lang w:val="sr-Latn-RS"/>
        </w:rPr>
        <w:t>e promoviše rad i zapošljavanje</w:t>
      </w:r>
      <w:r w:rsidR="005D47E1">
        <w:rPr>
          <w:rFonts w:ascii="Cambria" w:hAnsi="Cambria"/>
          <w:sz w:val="24"/>
          <w:szCs w:val="24"/>
          <w:lang w:val="sr-Latn-RS"/>
        </w:rPr>
        <w:t xml:space="preserve">, ali </w:t>
      </w:r>
      <w:r w:rsidR="00C36CE4">
        <w:rPr>
          <w:rFonts w:ascii="Cambria" w:hAnsi="Cambria"/>
          <w:sz w:val="24"/>
          <w:szCs w:val="24"/>
          <w:lang w:val="sr-Latn-RS"/>
        </w:rPr>
        <w:t xml:space="preserve">i </w:t>
      </w:r>
      <w:r w:rsidR="005D47E1">
        <w:rPr>
          <w:rFonts w:ascii="Cambria" w:hAnsi="Cambria"/>
          <w:sz w:val="24"/>
          <w:szCs w:val="24"/>
          <w:lang w:val="sr-Latn-RS"/>
        </w:rPr>
        <w:t>podsti</w:t>
      </w:r>
      <w:r w:rsidR="005D47E1">
        <w:rPr>
          <w:rFonts w:ascii="Cambria" w:hAnsi="Cambria"/>
          <w:sz w:val="24"/>
          <w:szCs w:val="24"/>
          <w:lang w:val="sr-Latn-ME"/>
        </w:rPr>
        <w:t>če investicije.</w:t>
      </w:r>
    </w:p>
    <w:p w14:paraId="0473FD02" w14:textId="2F67C835" w:rsidR="00953BDD" w:rsidRPr="008523FC" w:rsidRDefault="005E326C" w:rsidP="00C5306D">
      <w:pPr>
        <w:jc w:val="both"/>
        <w:rPr>
          <w:rFonts w:ascii="Cambria" w:hAnsi="Cambria"/>
          <w:sz w:val="24"/>
          <w:szCs w:val="24"/>
          <w:lang w:val="sr-Latn-RS"/>
        </w:rPr>
      </w:pPr>
      <w:r w:rsidRPr="004E5CDC">
        <w:rPr>
          <w:rFonts w:ascii="Cambria" w:hAnsi="Cambria"/>
          <w:sz w:val="24"/>
          <w:szCs w:val="24"/>
          <w:lang w:val="sr-Latn-RS"/>
        </w:rPr>
        <w:t>P</w:t>
      </w:r>
      <w:r w:rsidR="00574100" w:rsidRPr="004E5CDC">
        <w:rPr>
          <w:rFonts w:ascii="Cambria" w:hAnsi="Cambria"/>
          <w:sz w:val="24"/>
          <w:szCs w:val="24"/>
          <w:lang w:val="sr-Latn-RS"/>
        </w:rPr>
        <w:t>ovećanjem minimalne zarade pozitivno se utiče na standard zaposlenih sa najnižim primanjima</w:t>
      </w:r>
      <w:r w:rsidR="0041769E">
        <w:rPr>
          <w:rFonts w:ascii="Cambria" w:hAnsi="Cambria"/>
          <w:sz w:val="24"/>
          <w:szCs w:val="24"/>
          <w:lang w:val="sr-Latn-RS"/>
        </w:rPr>
        <w:t>,</w:t>
      </w:r>
      <w:r w:rsidR="000D05FC" w:rsidRPr="004E5CDC">
        <w:rPr>
          <w:rFonts w:ascii="Cambria" w:hAnsi="Cambria"/>
          <w:sz w:val="24"/>
          <w:szCs w:val="24"/>
          <w:lang w:val="sr-Latn-RS"/>
        </w:rPr>
        <w:t xml:space="preserve"> dok se uvođenjem pro</w:t>
      </w:r>
      <w:r w:rsidR="00BE46AD" w:rsidRPr="004E5CDC">
        <w:rPr>
          <w:rFonts w:ascii="Cambria" w:hAnsi="Cambria"/>
          <w:sz w:val="24"/>
          <w:szCs w:val="24"/>
          <w:lang w:val="sr-Latn-RS"/>
        </w:rPr>
        <w:t xml:space="preserve">gresivnog oporezivanja </w:t>
      </w:r>
      <w:r w:rsidR="00E13951">
        <w:rPr>
          <w:rFonts w:ascii="Cambria" w:hAnsi="Cambria"/>
          <w:sz w:val="24"/>
          <w:szCs w:val="24"/>
          <w:lang w:val="sr-Latn-RS"/>
        </w:rPr>
        <w:t xml:space="preserve">dohotka </w:t>
      </w:r>
      <w:r w:rsidR="00BE46AD" w:rsidRPr="004E5CDC">
        <w:rPr>
          <w:rFonts w:ascii="Cambria" w:hAnsi="Cambria"/>
          <w:sz w:val="24"/>
          <w:szCs w:val="24"/>
          <w:lang w:val="sr-Latn-RS"/>
        </w:rPr>
        <w:t>vrši redi</w:t>
      </w:r>
      <w:r w:rsidR="000D05FC" w:rsidRPr="004E5CDC">
        <w:rPr>
          <w:rFonts w:ascii="Cambria" w:hAnsi="Cambria"/>
          <w:sz w:val="24"/>
          <w:szCs w:val="24"/>
          <w:lang w:val="sr-Latn-RS"/>
        </w:rPr>
        <w:t>stribucija dohotka sa onih sa višim na one sa nižim primanjima.</w:t>
      </w:r>
      <w:r w:rsidR="00C5306D">
        <w:rPr>
          <w:rFonts w:ascii="Cambria" w:hAnsi="Cambria"/>
          <w:sz w:val="24"/>
          <w:szCs w:val="24"/>
          <w:lang w:val="sr-Latn-RS"/>
        </w:rPr>
        <w:t xml:space="preserve"> </w:t>
      </w:r>
      <w:r w:rsidR="00C5306D" w:rsidRPr="008523FC">
        <w:rPr>
          <w:rFonts w:ascii="Cambria" w:hAnsi="Cambria"/>
          <w:sz w:val="24"/>
          <w:szCs w:val="24"/>
          <w:lang w:val="sr-Latn-RS"/>
        </w:rPr>
        <w:t>Na ovaj način se utiče i na veću radnu aktivaciju korisnika socijalnih davanja, koji se najčešće nalaze u „sivoj“ ekonomiji. Naime trenutna minimalna zarada je na nivou socijalnih davanja, te korisnici nijesu motivisani da se formalno zaposle</w:t>
      </w:r>
      <w:r w:rsidR="00C5306D" w:rsidRPr="005A5C39">
        <w:rPr>
          <w:rFonts w:ascii="Cambria" w:hAnsi="Cambria"/>
          <w:sz w:val="24"/>
          <w:szCs w:val="24"/>
          <w:lang w:val="sr-Latn-RS"/>
        </w:rPr>
        <w:t>.</w:t>
      </w:r>
    </w:p>
    <w:p w14:paraId="70BDF4BD" w14:textId="77777777" w:rsidR="00953BDD" w:rsidRPr="004E5CDC" w:rsidRDefault="00953BDD">
      <w:pPr>
        <w:rPr>
          <w:rFonts w:ascii="Cambria" w:hAnsi="Cambria"/>
          <w:sz w:val="24"/>
          <w:szCs w:val="24"/>
          <w:lang w:val="sr-Latn-RS"/>
        </w:rPr>
      </w:pPr>
      <w:r w:rsidRPr="004E5CDC">
        <w:rPr>
          <w:rFonts w:ascii="Cambria" w:hAnsi="Cambria"/>
          <w:sz w:val="24"/>
          <w:szCs w:val="24"/>
          <w:lang w:val="sr-Latn-RS"/>
        </w:rPr>
        <w:br w:type="page"/>
      </w:r>
    </w:p>
    <w:p w14:paraId="4262EDA5" w14:textId="77777777" w:rsidR="00256A82" w:rsidRPr="004E5CDC" w:rsidRDefault="00044D7A" w:rsidP="000710F0">
      <w:pPr>
        <w:pStyle w:val="Heading1"/>
        <w:jc w:val="both"/>
        <w:rPr>
          <w:rFonts w:ascii="Cambria" w:hAnsi="Cambria"/>
          <w:b/>
          <w:sz w:val="24"/>
          <w:szCs w:val="24"/>
          <w:lang w:val="sr-Latn-RS"/>
        </w:rPr>
      </w:pPr>
      <w:bookmarkStart w:id="1" w:name="_Toc86755067"/>
      <w:r w:rsidRPr="004E5CDC">
        <w:rPr>
          <w:rFonts w:ascii="Cambria" w:hAnsi="Cambria"/>
          <w:b/>
          <w:lang w:val="sr-Latn-RS"/>
        </w:rPr>
        <w:lastRenderedPageBreak/>
        <w:t xml:space="preserve">METODOLOGIJA KORIŠĆENA </w:t>
      </w:r>
      <w:r w:rsidR="00B21B0A" w:rsidRPr="004E5CDC">
        <w:rPr>
          <w:rFonts w:ascii="Cambria" w:hAnsi="Cambria"/>
          <w:b/>
          <w:lang w:val="sr-Latn-RS"/>
        </w:rPr>
        <w:t>PRI</w:t>
      </w:r>
      <w:r w:rsidRPr="004E5CDC">
        <w:rPr>
          <w:rFonts w:ascii="Cambria" w:hAnsi="Cambria"/>
          <w:b/>
          <w:lang w:val="sr-Latn-RS"/>
        </w:rPr>
        <w:t xml:space="preserve"> ANALIZI</w:t>
      </w:r>
      <w:bookmarkEnd w:id="1"/>
    </w:p>
    <w:p w14:paraId="6843BDDD" w14:textId="77777777" w:rsidR="00B73883" w:rsidRPr="004E5CDC" w:rsidRDefault="00B73883" w:rsidP="00B73883">
      <w:pPr>
        <w:rPr>
          <w:rFonts w:ascii="Cambria" w:hAnsi="Cambria"/>
          <w:sz w:val="24"/>
          <w:szCs w:val="24"/>
          <w:lang w:val="sr-Latn-RS"/>
        </w:rPr>
      </w:pPr>
    </w:p>
    <w:p w14:paraId="09D7A8D8" w14:textId="77777777" w:rsidR="00256A82" w:rsidRPr="004E5CDC" w:rsidRDefault="00C10B8A" w:rsidP="000362CF">
      <w:pPr>
        <w:jc w:val="both"/>
        <w:rPr>
          <w:rFonts w:ascii="Cambria" w:hAnsi="Cambria"/>
          <w:sz w:val="24"/>
          <w:szCs w:val="24"/>
          <w:lang w:val="sr-Latn-RS"/>
        </w:rPr>
      </w:pPr>
      <w:r w:rsidRPr="004E5CDC">
        <w:rPr>
          <w:rFonts w:ascii="Cambria" w:hAnsi="Cambria"/>
          <w:sz w:val="24"/>
          <w:szCs w:val="24"/>
          <w:lang w:val="sr-Latn-RS"/>
        </w:rPr>
        <w:t>U izradi analize</w:t>
      </w:r>
      <w:r w:rsidR="00256A82" w:rsidRPr="004E5CDC">
        <w:rPr>
          <w:rFonts w:ascii="Cambria" w:hAnsi="Cambria"/>
          <w:sz w:val="24"/>
          <w:szCs w:val="24"/>
          <w:lang w:val="sr-Latn-RS"/>
        </w:rPr>
        <w:t xml:space="preserve"> efe</w:t>
      </w:r>
      <w:r w:rsidR="00F530AD" w:rsidRPr="004E5CDC">
        <w:rPr>
          <w:rFonts w:ascii="Cambria" w:hAnsi="Cambria"/>
          <w:sz w:val="24"/>
          <w:szCs w:val="24"/>
          <w:lang w:val="sr-Latn-RS"/>
        </w:rPr>
        <w:t>kata predloženog programa</w:t>
      </w:r>
      <w:r w:rsidRPr="004E5CDC">
        <w:rPr>
          <w:rFonts w:ascii="Cambria" w:hAnsi="Cambria"/>
          <w:sz w:val="24"/>
          <w:szCs w:val="24"/>
          <w:lang w:val="sr-Latn-RS"/>
        </w:rPr>
        <w:t xml:space="preserve">, prilikom kvantifikacije uticaja </w:t>
      </w:r>
      <w:r w:rsidR="00256A82" w:rsidRPr="004E5CDC">
        <w:rPr>
          <w:rFonts w:ascii="Cambria" w:hAnsi="Cambria"/>
          <w:sz w:val="24"/>
          <w:szCs w:val="24"/>
          <w:lang w:val="sr-Latn-RS"/>
        </w:rPr>
        <w:t xml:space="preserve">promjene minimalne zarade i </w:t>
      </w:r>
      <w:r w:rsidRPr="004E5CDC">
        <w:rPr>
          <w:rFonts w:ascii="Cambria" w:hAnsi="Cambria"/>
          <w:sz w:val="24"/>
          <w:szCs w:val="24"/>
          <w:lang w:val="sr-Latn-RS"/>
        </w:rPr>
        <w:t xml:space="preserve">poreskog opterećenja rada na prihode i rashode </w:t>
      </w:r>
      <w:r w:rsidR="00256A82" w:rsidRPr="004E5CDC">
        <w:rPr>
          <w:rFonts w:ascii="Cambria" w:hAnsi="Cambria"/>
          <w:sz w:val="24"/>
          <w:szCs w:val="24"/>
          <w:lang w:val="sr-Latn-RS"/>
        </w:rPr>
        <w:t xml:space="preserve">budžeta </w:t>
      </w:r>
      <w:r w:rsidRPr="004E5CDC">
        <w:rPr>
          <w:rFonts w:ascii="Cambria" w:hAnsi="Cambria"/>
          <w:sz w:val="24"/>
          <w:szCs w:val="24"/>
          <w:lang w:val="sr-Latn-RS"/>
        </w:rPr>
        <w:t xml:space="preserve">odnosno budžetski bilans, </w:t>
      </w:r>
      <w:r w:rsidR="00AB2EAB" w:rsidRPr="004E5CDC">
        <w:rPr>
          <w:rFonts w:ascii="Cambria" w:hAnsi="Cambria"/>
          <w:sz w:val="24"/>
          <w:szCs w:val="24"/>
          <w:lang w:val="sr-Latn-RS"/>
        </w:rPr>
        <w:t xml:space="preserve">kao i uticaja na poslovni ambijent, </w:t>
      </w:r>
      <w:r w:rsidRPr="004E5CDC">
        <w:rPr>
          <w:rFonts w:ascii="Cambria" w:hAnsi="Cambria"/>
          <w:sz w:val="24"/>
          <w:szCs w:val="24"/>
          <w:lang w:val="sr-Latn-RS"/>
        </w:rPr>
        <w:t>korišćeni su:</w:t>
      </w:r>
    </w:p>
    <w:p w14:paraId="31752CFA" w14:textId="77777777" w:rsidR="00C10B8A" w:rsidRPr="004E5CDC" w:rsidRDefault="00C10B8A" w:rsidP="00680428">
      <w:pPr>
        <w:pStyle w:val="ListParagraph"/>
        <w:numPr>
          <w:ilvl w:val="0"/>
          <w:numId w:val="7"/>
        </w:numPr>
        <w:jc w:val="both"/>
        <w:rPr>
          <w:rFonts w:ascii="Cambria" w:hAnsi="Cambria"/>
          <w:sz w:val="24"/>
          <w:szCs w:val="24"/>
          <w:lang w:val="sr-Latn-RS"/>
        </w:rPr>
      </w:pPr>
      <w:r w:rsidRPr="004E5CDC">
        <w:rPr>
          <w:rFonts w:ascii="Cambria" w:hAnsi="Cambria"/>
          <w:sz w:val="24"/>
          <w:szCs w:val="24"/>
          <w:lang w:val="sr-Latn-RS"/>
        </w:rPr>
        <w:t xml:space="preserve">mikrosimulacioni model razvijen u okviru tehničke podrške </w:t>
      </w:r>
      <w:r w:rsidR="00DA7951" w:rsidRPr="004E5CDC">
        <w:rPr>
          <w:rFonts w:ascii="Cambria" w:hAnsi="Cambria"/>
          <w:sz w:val="24"/>
          <w:szCs w:val="24"/>
          <w:lang w:val="sr-Latn-RS"/>
        </w:rPr>
        <w:t xml:space="preserve">pružene od strane </w:t>
      </w:r>
      <w:r w:rsidRPr="004E5CDC">
        <w:rPr>
          <w:rFonts w:ascii="Cambria" w:hAnsi="Cambria"/>
          <w:sz w:val="24"/>
          <w:szCs w:val="24"/>
          <w:lang w:val="sr-Latn-RS"/>
        </w:rPr>
        <w:t>Međunarodnog monetarnog fonda (MMF) Ministarstvu finansija</w:t>
      </w:r>
      <w:r w:rsidR="00AB2EAB" w:rsidRPr="004E5CDC">
        <w:rPr>
          <w:rFonts w:ascii="Cambria" w:hAnsi="Cambria"/>
          <w:sz w:val="24"/>
          <w:szCs w:val="24"/>
          <w:lang w:val="sr-Latn-RS"/>
        </w:rPr>
        <w:t xml:space="preserve"> i socijalnog staranja;</w:t>
      </w:r>
    </w:p>
    <w:p w14:paraId="774B49BC" w14:textId="0A12C50C" w:rsidR="00C10B8A" w:rsidRPr="004E5CDC" w:rsidRDefault="00C10B8A" w:rsidP="00680428">
      <w:pPr>
        <w:pStyle w:val="ListParagraph"/>
        <w:numPr>
          <w:ilvl w:val="0"/>
          <w:numId w:val="7"/>
        </w:numPr>
        <w:jc w:val="both"/>
        <w:rPr>
          <w:rFonts w:ascii="Cambria" w:hAnsi="Cambria"/>
          <w:sz w:val="24"/>
          <w:szCs w:val="24"/>
          <w:lang w:val="sr-Latn-RS"/>
        </w:rPr>
      </w:pPr>
      <w:r w:rsidRPr="004E5CDC">
        <w:rPr>
          <w:rFonts w:ascii="Cambria" w:hAnsi="Cambria"/>
          <w:sz w:val="24"/>
          <w:szCs w:val="24"/>
          <w:lang w:val="sr-Latn-RS"/>
        </w:rPr>
        <w:t xml:space="preserve">metodologija </w:t>
      </w:r>
      <w:r w:rsidR="00414B9F" w:rsidRPr="004E5CDC">
        <w:rPr>
          <w:rFonts w:ascii="Cambria" w:hAnsi="Cambria"/>
          <w:sz w:val="24"/>
          <w:szCs w:val="24"/>
          <w:lang w:val="sr-Latn-RS"/>
        </w:rPr>
        <w:t>Uprave za statistiku (</w:t>
      </w:r>
      <w:r w:rsidRPr="004E5CDC">
        <w:rPr>
          <w:rFonts w:ascii="Cambria" w:hAnsi="Cambria"/>
          <w:sz w:val="24"/>
          <w:szCs w:val="24"/>
          <w:lang w:val="sr-Latn-RS"/>
        </w:rPr>
        <w:t>MONSTAT</w:t>
      </w:r>
      <w:r w:rsidR="00414B9F" w:rsidRPr="004E5CDC">
        <w:rPr>
          <w:rFonts w:ascii="Cambria" w:hAnsi="Cambria"/>
          <w:sz w:val="24"/>
          <w:szCs w:val="24"/>
          <w:lang w:val="sr-Latn-RS"/>
        </w:rPr>
        <w:t>)</w:t>
      </w:r>
      <w:r w:rsidR="00256A82" w:rsidRPr="004E5CDC">
        <w:rPr>
          <w:rFonts w:ascii="Cambria" w:hAnsi="Cambria"/>
          <w:sz w:val="24"/>
          <w:szCs w:val="24"/>
          <w:lang w:val="sr-Latn-RS"/>
        </w:rPr>
        <w:t>,</w:t>
      </w:r>
      <w:r w:rsidR="00414B9F" w:rsidRPr="004E5CDC">
        <w:rPr>
          <w:rFonts w:ascii="Cambria" w:hAnsi="Cambria"/>
          <w:sz w:val="24"/>
          <w:szCs w:val="24"/>
          <w:lang w:val="sr-Latn-RS"/>
        </w:rPr>
        <w:t xml:space="preserve"> </w:t>
      </w:r>
      <w:r w:rsidRPr="004E5CDC">
        <w:rPr>
          <w:rFonts w:ascii="Cambria" w:hAnsi="Cambria"/>
          <w:sz w:val="24"/>
          <w:szCs w:val="24"/>
          <w:lang w:val="sr-Latn-RS"/>
        </w:rPr>
        <w:t xml:space="preserve">prilikom </w:t>
      </w:r>
      <w:r w:rsidR="00256A82" w:rsidRPr="004E5CDC">
        <w:rPr>
          <w:rFonts w:ascii="Cambria" w:hAnsi="Cambria"/>
          <w:sz w:val="24"/>
          <w:szCs w:val="24"/>
          <w:lang w:val="sr-Latn-RS"/>
        </w:rPr>
        <w:t xml:space="preserve">procjene uticaja rasta </w:t>
      </w:r>
      <w:r w:rsidR="00E13951">
        <w:rPr>
          <w:rFonts w:ascii="Cambria" w:hAnsi="Cambria"/>
          <w:sz w:val="24"/>
          <w:szCs w:val="24"/>
          <w:lang w:val="sr-Latn-RS"/>
        </w:rPr>
        <w:t>minimalne zarade</w:t>
      </w:r>
      <w:r w:rsidR="00414B9F" w:rsidRPr="004E5CDC">
        <w:rPr>
          <w:rFonts w:ascii="Cambria" w:hAnsi="Cambria"/>
          <w:sz w:val="24"/>
          <w:szCs w:val="24"/>
          <w:lang w:val="sr-Latn-RS"/>
        </w:rPr>
        <w:t xml:space="preserve"> </w:t>
      </w:r>
      <w:r w:rsidR="006C3F87" w:rsidRPr="004E5CDC">
        <w:rPr>
          <w:rFonts w:ascii="Cambria" w:hAnsi="Cambria"/>
          <w:sz w:val="24"/>
          <w:szCs w:val="24"/>
          <w:lang w:val="sr-Latn-RS"/>
        </w:rPr>
        <w:t xml:space="preserve">i </w:t>
      </w:r>
      <w:r w:rsidR="00414B9F" w:rsidRPr="004E5CDC">
        <w:rPr>
          <w:rFonts w:ascii="Cambria" w:hAnsi="Cambria"/>
          <w:sz w:val="24"/>
          <w:szCs w:val="24"/>
          <w:lang w:val="sr-Latn-RS"/>
        </w:rPr>
        <w:t xml:space="preserve">promjene poreskog opterećenja rada na </w:t>
      </w:r>
      <w:r w:rsidR="00AB2EAB" w:rsidRPr="004E5CDC">
        <w:rPr>
          <w:rFonts w:ascii="Cambria" w:hAnsi="Cambria"/>
          <w:sz w:val="24"/>
          <w:szCs w:val="24"/>
          <w:lang w:val="sr-Latn-RS"/>
        </w:rPr>
        <w:t>prosječn</w:t>
      </w:r>
      <w:r w:rsidR="00414B9F" w:rsidRPr="004E5CDC">
        <w:rPr>
          <w:rFonts w:ascii="Cambria" w:hAnsi="Cambria"/>
          <w:sz w:val="24"/>
          <w:szCs w:val="24"/>
          <w:lang w:val="sr-Latn-RS"/>
        </w:rPr>
        <w:t>u</w:t>
      </w:r>
      <w:r w:rsidR="00AB2EAB" w:rsidRPr="004E5CDC">
        <w:rPr>
          <w:rFonts w:ascii="Cambria" w:hAnsi="Cambria"/>
          <w:sz w:val="24"/>
          <w:szCs w:val="24"/>
          <w:lang w:val="sr-Latn-RS"/>
        </w:rPr>
        <w:t xml:space="preserve"> zarad</w:t>
      </w:r>
      <w:r w:rsidR="00414B9F" w:rsidRPr="004E5CDC">
        <w:rPr>
          <w:rFonts w:ascii="Cambria" w:hAnsi="Cambria"/>
          <w:sz w:val="24"/>
          <w:szCs w:val="24"/>
          <w:lang w:val="sr-Latn-RS"/>
        </w:rPr>
        <w:t>u</w:t>
      </w:r>
      <w:r w:rsidR="004F7A59">
        <w:rPr>
          <w:rFonts w:ascii="Cambria" w:hAnsi="Cambria"/>
          <w:sz w:val="24"/>
          <w:szCs w:val="24"/>
          <w:lang w:val="sr-Latn-RS"/>
        </w:rPr>
        <w:t>.</w:t>
      </w:r>
    </w:p>
    <w:p w14:paraId="1E58A61D" w14:textId="77777777" w:rsidR="00C10B8A" w:rsidRPr="004E5CDC" w:rsidRDefault="00C10B8A" w:rsidP="00C10B8A">
      <w:pPr>
        <w:jc w:val="both"/>
        <w:rPr>
          <w:rFonts w:ascii="Cambria" w:hAnsi="Cambria"/>
          <w:sz w:val="24"/>
          <w:szCs w:val="24"/>
          <w:lang w:val="sr-Latn-RS"/>
        </w:rPr>
      </w:pPr>
      <w:r w:rsidRPr="004E5CDC">
        <w:rPr>
          <w:rFonts w:ascii="Cambria" w:hAnsi="Cambria"/>
          <w:sz w:val="24"/>
          <w:szCs w:val="24"/>
          <w:lang w:val="sr-Latn-RS"/>
        </w:rPr>
        <w:t>Kao izvori podataka, korišćeni su:</w:t>
      </w:r>
    </w:p>
    <w:p w14:paraId="49E960E7" w14:textId="77777777" w:rsidR="00C10B8A" w:rsidRPr="004E5CDC" w:rsidRDefault="00C10B8A" w:rsidP="006501BB">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 xml:space="preserve">relevantna zakonska regulativa kojom se uređuju </w:t>
      </w:r>
      <w:r w:rsidR="00925864" w:rsidRPr="004E5CDC">
        <w:rPr>
          <w:rFonts w:ascii="Cambria" w:hAnsi="Cambria"/>
          <w:sz w:val="24"/>
          <w:szCs w:val="24"/>
          <w:lang w:val="sr-Latn-RS"/>
        </w:rPr>
        <w:t>izdvajanja</w:t>
      </w:r>
      <w:r w:rsidRPr="004E5CDC">
        <w:rPr>
          <w:rFonts w:ascii="Cambria" w:hAnsi="Cambria"/>
          <w:sz w:val="24"/>
          <w:szCs w:val="24"/>
          <w:lang w:val="sr-Latn-RS"/>
        </w:rPr>
        <w:t xml:space="preserve"> iz budžeta, a čija se visina usklađuje sa minimalnom odnosno prosječnom zaradom;</w:t>
      </w:r>
    </w:p>
    <w:p w14:paraId="19376ADE" w14:textId="77777777" w:rsidR="00C10B8A" w:rsidRPr="004E5CDC" w:rsidRDefault="00C10B8A" w:rsidP="006501BB">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 xml:space="preserve">podaci </w:t>
      </w:r>
      <w:r w:rsidR="003E5E6F" w:rsidRPr="004E5CDC">
        <w:rPr>
          <w:rFonts w:ascii="Cambria" w:hAnsi="Cambria"/>
          <w:sz w:val="24"/>
          <w:szCs w:val="24"/>
          <w:lang w:val="sr-Latn-RS"/>
        </w:rPr>
        <w:t>Uprave prihoda i carina</w:t>
      </w:r>
      <w:r w:rsidRPr="004E5CDC">
        <w:rPr>
          <w:rFonts w:ascii="Cambria" w:hAnsi="Cambria"/>
          <w:sz w:val="24"/>
          <w:szCs w:val="24"/>
          <w:lang w:val="sr-Latn-RS"/>
        </w:rPr>
        <w:t>;</w:t>
      </w:r>
    </w:p>
    <w:p w14:paraId="7E0B7E2B" w14:textId="0BD99086" w:rsidR="00C10B8A" w:rsidRPr="004E5CDC" w:rsidRDefault="00C10B8A" w:rsidP="006501BB">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analize koje su na ovu temu rađene od strane: MMF-a, UNDP-a, Svjetske ban</w:t>
      </w:r>
      <w:r w:rsidR="00256A82" w:rsidRPr="004E5CDC">
        <w:rPr>
          <w:rFonts w:ascii="Cambria" w:hAnsi="Cambria"/>
          <w:sz w:val="24"/>
          <w:szCs w:val="24"/>
          <w:lang w:val="sr-Latn-RS"/>
        </w:rPr>
        <w:t xml:space="preserve">ke, </w:t>
      </w:r>
      <w:r w:rsidRPr="004E5CDC">
        <w:rPr>
          <w:rFonts w:ascii="Cambria" w:hAnsi="Cambria"/>
          <w:sz w:val="24"/>
          <w:szCs w:val="24"/>
          <w:lang w:val="sr-Latn-RS"/>
        </w:rPr>
        <w:t>Evropske komisije</w:t>
      </w:r>
      <w:r w:rsidR="004F7A59">
        <w:rPr>
          <w:rFonts w:ascii="Cambria" w:hAnsi="Cambria"/>
          <w:sz w:val="24"/>
          <w:szCs w:val="24"/>
          <w:lang w:val="sr-Latn-RS"/>
        </w:rPr>
        <w:t>,</w:t>
      </w:r>
      <w:r w:rsidR="00256A82" w:rsidRPr="004E5CDC">
        <w:rPr>
          <w:rFonts w:ascii="Cambria" w:hAnsi="Cambria"/>
          <w:sz w:val="24"/>
          <w:szCs w:val="24"/>
          <w:lang w:val="sr-Latn-RS"/>
        </w:rPr>
        <w:t xml:space="preserve"> i socijalnih partnera</w:t>
      </w:r>
      <w:r w:rsidRPr="004E5CDC">
        <w:rPr>
          <w:rFonts w:ascii="Cambria" w:hAnsi="Cambria"/>
          <w:sz w:val="24"/>
          <w:szCs w:val="24"/>
          <w:lang w:val="sr-Latn-RS"/>
        </w:rPr>
        <w:t>;</w:t>
      </w:r>
    </w:p>
    <w:p w14:paraId="19F42851" w14:textId="77777777" w:rsidR="00C10B8A" w:rsidRPr="004E5CDC" w:rsidRDefault="00C10B8A" w:rsidP="006501BB">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 xml:space="preserve">podaci Ministarstva </w:t>
      </w:r>
      <w:r w:rsidR="003E5E6F" w:rsidRPr="004E5CDC">
        <w:rPr>
          <w:rFonts w:ascii="Cambria" w:hAnsi="Cambria"/>
          <w:sz w:val="24"/>
          <w:szCs w:val="24"/>
          <w:lang w:val="sr-Latn-RS"/>
        </w:rPr>
        <w:t>finansija i socijalnog staranja</w:t>
      </w:r>
      <w:r w:rsidRPr="004E5CDC">
        <w:rPr>
          <w:rFonts w:ascii="Cambria" w:hAnsi="Cambria"/>
          <w:sz w:val="24"/>
          <w:szCs w:val="24"/>
          <w:lang w:val="sr-Latn-RS"/>
        </w:rPr>
        <w:t xml:space="preserve"> i Fonda penzijskog i invalidskog osiguranja;</w:t>
      </w:r>
    </w:p>
    <w:p w14:paraId="46BB6618" w14:textId="6C698883" w:rsidR="003E5E6F" w:rsidRDefault="003E5E6F" w:rsidP="006501BB">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 xml:space="preserve">podaci Zavoda za zapošljavanje Crne </w:t>
      </w:r>
      <w:r w:rsidR="00A31A68" w:rsidRPr="004E5CDC">
        <w:rPr>
          <w:rFonts w:ascii="Cambria" w:hAnsi="Cambria"/>
          <w:sz w:val="24"/>
          <w:szCs w:val="24"/>
          <w:lang w:val="sr-Latn-RS"/>
        </w:rPr>
        <w:t>Gore</w:t>
      </w:r>
      <w:r w:rsidR="0041769E">
        <w:rPr>
          <w:rFonts w:ascii="Cambria" w:hAnsi="Cambria"/>
          <w:sz w:val="24"/>
          <w:szCs w:val="24"/>
          <w:lang w:val="sr-Latn-RS"/>
        </w:rPr>
        <w:t>;</w:t>
      </w:r>
    </w:p>
    <w:p w14:paraId="2A0A1896" w14:textId="428B86F6" w:rsidR="0041769E" w:rsidRPr="004E5CDC" w:rsidRDefault="0041769E" w:rsidP="006501BB">
      <w:pPr>
        <w:pStyle w:val="ListParagraph"/>
        <w:numPr>
          <w:ilvl w:val="0"/>
          <w:numId w:val="3"/>
        </w:numPr>
        <w:jc w:val="both"/>
        <w:rPr>
          <w:rFonts w:ascii="Cambria" w:hAnsi="Cambria"/>
          <w:sz w:val="24"/>
          <w:szCs w:val="24"/>
          <w:lang w:val="sr-Latn-RS"/>
        </w:rPr>
      </w:pPr>
      <w:r>
        <w:rPr>
          <w:rFonts w:ascii="Cambria" w:hAnsi="Cambria"/>
          <w:sz w:val="24"/>
          <w:szCs w:val="24"/>
          <w:lang w:val="sr-Latn-RS"/>
        </w:rPr>
        <w:t>mnogobrojna naučna literatura koja se bavi pitanjima politike tržišta rada i fiskalne politike.</w:t>
      </w:r>
    </w:p>
    <w:p w14:paraId="1E48892D" w14:textId="77777777" w:rsidR="00F530AD" w:rsidRPr="004E5CDC" w:rsidRDefault="00F530AD" w:rsidP="00F530AD">
      <w:pPr>
        <w:jc w:val="both"/>
        <w:rPr>
          <w:rFonts w:ascii="Cambria" w:hAnsi="Cambria"/>
          <w:sz w:val="24"/>
          <w:szCs w:val="24"/>
          <w:lang w:val="sr-Latn-RS"/>
        </w:rPr>
      </w:pPr>
      <w:r w:rsidRPr="004E5CDC">
        <w:rPr>
          <w:rFonts w:ascii="Cambria" w:hAnsi="Cambria"/>
          <w:sz w:val="24"/>
          <w:szCs w:val="24"/>
          <w:lang w:val="sr-Latn-RS"/>
        </w:rPr>
        <w:t xml:space="preserve">Efekti ostalih </w:t>
      </w:r>
      <w:r w:rsidR="00A113ED" w:rsidRPr="004E5CDC">
        <w:rPr>
          <w:rFonts w:ascii="Cambria" w:hAnsi="Cambria"/>
          <w:sz w:val="24"/>
          <w:szCs w:val="24"/>
          <w:lang w:val="sr-Latn-RS"/>
        </w:rPr>
        <w:t xml:space="preserve">predloženih </w:t>
      </w:r>
      <w:r w:rsidRPr="004E5CDC">
        <w:rPr>
          <w:rFonts w:ascii="Cambria" w:hAnsi="Cambria"/>
          <w:sz w:val="24"/>
          <w:szCs w:val="24"/>
          <w:lang w:val="sr-Latn-RS"/>
        </w:rPr>
        <w:t>mjera baziraju se na kalkulacijama Ministarstva finansija i socijalnog staranja, polazeći od podataka Uprave prihoda i carina.</w:t>
      </w:r>
    </w:p>
    <w:p w14:paraId="5FC350BF" w14:textId="6FE09859" w:rsidR="00953BDD" w:rsidRDefault="00F530AD" w:rsidP="00A113ED">
      <w:pPr>
        <w:jc w:val="both"/>
        <w:rPr>
          <w:rFonts w:ascii="Cambria" w:hAnsi="Cambria"/>
          <w:b/>
          <w:sz w:val="24"/>
          <w:szCs w:val="24"/>
          <w:lang w:val="sr-Latn-RS"/>
        </w:rPr>
      </w:pPr>
      <w:r w:rsidRPr="004E5CDC">
        <w:rPr>
          <w:rFonts w:ascii="Cambria" w:hAnsi="Cambria"/>
          <w:b/>
          <w:sz w:val="24"/>
          <w:szCs w:val="24"/>
          <w:lang w:val="sr-Latn-RS"/>
        </w:rPr>
        <w:t>Predstavljeni efekti svih mjera</w:t>
      </w:r>
      <w:r w:rsidR="006E5DA7" w:rsidRPr="004E5CDC">
        <w:rPr>
          <w:rFonts w:ascii="Cambria" w:hAnsi="Cambria"/>
          <w:b/>
          <w:sz w:val="24"/>
          <w:szCs w:val="24"/>
          <w:lang w:val="sr-Latn-RS"/>
        </w:rPr>
        <w:t xml:space="preserve"> prikazuju neto efekte predloženih polit</w:t>
      </w:r>
      <w:r w:rsidR="00EE1A42" w:rsidRPr="004E5CDC">
        <w:rPr>
          <w:rFonts w:ascii="Cambria" w:hAnsi="Cambria"/>
          <w:b/>
          <w:sz w:val="24"/>
          <w:szCs w:val="24"/>
          <w:lang w:val="sr-Latn-RS"/>
        </w:rPr>
        <w:t>i</w:t>
      </w:r>
      <w:r w:rsidR="006E5DA7" w:rsidRPr="004E5CDC">
        <w:rPr>
          <w:rFonts w:ascii="Cambria" w:hAnsi="Cambria"/>
          <w:b/>
          <w:sz w:val="24"/>
          <w:szCs w:val="24"/>
          <w:lang w:val="sr-Latn-RS"/>
        </w:rPr>
        <w:t>ka, uz nepromijenjene ostale okolnosti.</w:t>
      </w:r>
    </w:p>
    <w:p w14:paraId="16417C7B" w14:textId="38AF008E" w:rsidR="006A1F74" w:rsidRDefault="006A1F74" w:rsidP="00A113ED">
      <w:pPr>
        <w:jc w:val="both"/>
        <w:rPr>
          <w:rFonts w:ascii="Cambria" w:hAnsi="Cambria"/>
          <w:b/>
          <w:sz w:val="24"/>
          <w:szCs w:val="24"/>
          <w:lang w:val="sr-Latn-RS"/>
        </w:rPr>
      </w:pPr>
    </w:p>
    <w:p w14:paraId="2CB5149D" w14:textId="60D010D6" w:rsidR="006A1F74" w:rsidRDefault="006A1F74" w:rsidP="00A113ED">
      <w:pPr>
        <w:jc w:val="both"/>
        <w:rPr>
          <w:rFonts w:ascii="Cambria" w:hAnsi="Cambria"/>
          <w:b/>
          <w:sz w:val="24"/>
          <w:szCs w:val="24"/>
          <w:lang w:val="sr-Latn-RS"/>
        </w:rPr>
      </w:pPr>
    </w:p>
    <w:p w14:paraId="2922CEB1" w14:textId="7CFE9B09" w:rsidR="006A1F74" w:rsidRDefault="006A1F74" w:rsidP="00A113ED">
      <w:pPr>
        <w:jc w:val="both"/>
        <w:rPr>
          <w:rFonts w:ascii="Cambria" w:hAnsi="Cambria"/>
          <w:b/>
          <w:sz w:val="24"/>
          <w:szCs w:val="24"/>
          <w:lang w:val="sr-Latn-RS"/>
        </w:rPr>
      </w:pPr>
    </w:p>
    <w:p w14:paraId="4E8EA3E7" w14:textId="6C1E6239" w:rsidR="006A1F74" w:rsidRDefault="006A1F74" w:rsidP="00A113ED">
      <w:pPr>
        <w:jc w:val="both"/>
        <w:rPr>
          <w:rFonts w:ascii="Cambria" w:hAnsi="Cambria"/>
          <w:b/>
          <w:sz w:val="24"/>
          <w:szCs w:val="24"/>
          <w:lang w:val="sr-Latn-RS"/>
        </w:rPr>
      </w:pPr>
    </w:p>
    <w:p w14:paraId="64AB23EF" w14:textId="5D733EF0" w:rsidR="006A1F74" w:rsidRDefault="006A1F74" w:rsidP="00A113ED">
      <w:pPr>
        <w:jc w:val="both"/>
        <w:rPr>
          <w:rFonts w:ascii="Cambria" w:hAnsi="Cambria"/>
          <w:b/>
          <w:sz w:val="24"/>
          <w:szCs w:val="24"/>
          <w:lang w:val="sr-Latn-RS"/>
        </w:rPr>
      </w:pPr>
    </w:p>
    <w:p w14:paraId="294263EB" w14:textId="361808D1" w:rsidR="006A1F74" w:rsidRDefault="006A1F74" w:rsidP="00A113ED">
      <w:pPr>
        <w:jc w:val="both"/>
        <w:rPr>
          <w:rFonts w:ascii="Cambria" w:hAnsi="Cambria"/>
          <w:b/>
          <w:sz w:val="24"/>
          <w:szCs w:val="24"/>
          <w:lang w:val="sr-Latn-RS"/>
        </w:rPr>
      </w:pPr>
    </w:p>
    <w:p w14:paraId="5317102B" w14:textId="50F77B25" w:rsidR="006A1F74" w:rsidRDefault="006A1F74" w:rsidP="00A113ED">
      <w:pPr>
        <w:jc w:val="both"/>
        <w:rPr>
          <w:rFonts w:ascii="Cambria" w:hAnsi="Cambria"/>
          <w:b/>
          <w:sz w:val="24"/>
          <w:szCs w:val="24"/>
          <w:lang w:val="sr-Latn-RS"/>
        </w:rPr>
      </w:pPr>
    </w:p>
    <w:p w14:paraId="413C2224" w14:textId="79D072C2" w:rsidR="006A1F74" w:rsidRDefault="006A1F74" w:rsidP="00A113ED">
      <w:pPr>
        <w:jc w:val="both"/>
        <w:rPr>
          <w:rFonts w:ascii="Cambria" w:hAnsi="Cambria"/>
          <w:b/>
          <w:sz w:val="24"/>
          <w:szCs w:val="24"/>
          <w:lang w:val="sr-Latn-RS"/>
        </w:rPr>
      </w:pPr>
    </w:p>
    <w:p w14:paraId="4CCF7BB4" w14:textId="78BB154C" w:rsidR="006A1F74" w:rsidRDefault="006A1F74" w:rsidP="00A113ED">
      <w:pPr>
        <w:jc w:val="both"/>
        <w:rPr>
          <w:rFonts w:ascii="Cambria" w:hAnsi="Cambria"/>
          <w:b/>
          <w:sz w:val="24"/>
          <w:szCs w:val="24"/>
          <w:lang w:val="sr-Latn-RS"/>
        </w:rPr>
      </w:pPr>
    </w:p>
    <w:p w14:paraId="3C2CFAFF" w14:textId="77777777" w:rsidR="006A1F74" w:rsidRPr="004E5CDC" w:rsidRDefault="006A1F74" w:rsidP="00A113ED">
      <w:pPr>
        <w:jc w:val="both"/>
        <w:rPr>
          <w:rFonts w:ascii="Cambria" w:hAnsi="Cambria"/>
          <w:b/>
          <w:sz w:val="24"/>
          <w:szCs w:val="24"/>
          <w:lang w:val="sr-Latn-RS"/>
        </w:rPr>
      </w:pPr>
    </w:p>
    <w:p w14:paraId="62FDA193" w14:textId="77777777" w:rsidR="00361E20" w:rsidRDefault="00044D7A" w:rsidP="00361E20">
      <w:pPr>
        <w:pStyle w:val="Heading1"/>
        <w:jc w:val="both"/>
        <w:rPr>
          <w:rFonts w:ascii="Cambria" w:hAnsi="Cambria"/>
          <w:b/>
          <w:lang w:val="sr-Latn-RS"/>
        </w:rPr>
      </w:pPr>
      <w:bookmarkStart w:id="2" w:name="_Toc86755068"/>
      <w:r w:rsidRPr="00361E20">
        <w:rPr>
          <w:rFonts w:ascii="Cambria" w:hAnsi="Cambria"/>
          <w:b/>
          <w:lang w:val="sr-Latn-RS"/>
        </w:rPr>
        <w:lastRenderedPageBreak/>
        <w:t>PORESKO OPTEREĆENJE TROŠKOVA RADA U CRNOJ GORI</w:t>
      </w:r>
      <w:bookmarkEnd w:id="2"/>
      <w:r w:rsidRPr="00361E20">
        <w:rPr>
          <w:rFonts w:ascii="Cambria" w:hAnsi="Cambria"/>
          <w:b/>
          <w:lang w:val="sr-Latn-RS"/>
        </w:rPr>
        <w:t xml:space="preserve"> </w:t>
      </w:r>
    </w:p>
    <w:p w14:paraId="372C7DB6" w14:textId="77777777" w:rsidR="009B3AA6" w:rsidRDefault="009B3AA6" w:rsidP="009B3AA6">
      <w:pPr>
        <w:jc w:val="both"/>
        <w:rPr>
          <w:rFonts w:ascii="Cambria" w:hAnsi="Cambria"/>
          <w:sz w:val="24"/>
          <w:szCs w:val="24"/>
          <w:lang w:val="sr-Latn-RS"/>
        </w:rPr>
      </w:pPr>
    </w:p>
    <w:p w14:paraId="40DF8BE1" w14:textId="77777777" w:rsidR="00361E20" w:rsidRPr="009B3AA6" w:rsidRDefault="006778A3" w:rsidP="009B3AA6">
      <w:pPr>
        <w:jc w:val="both"/>
        <w:rPr>
          <w:rFonts w:ascii="Cambria" w:hAnsi="Cambria"/>
          <w:sz w:val="24"/>
          <w:szCs w:val="24"/>
          <w:lang w:val="sr-Latn-RS"/>
        </w:rPr>
      </w:pPr>
      <w:r w:rsidRPr="009B3AA6">
        <w:rPr>
          <w:rFonts w:ascii="Cambria" w:hAnsi="Cambria"/>
          <w:sz w:val="24"/>
          <w:szCs w:val="24"/>
          <w:lang w:val="sr-Latn-RS"/>
        </w:rPr>
        <w:t xml:space="preserve">Lični dohodci zaposlenih predstavljaju jednu od najznačajnijih stavki na troškovnoj strani većine privrednih subjekata. </w:t>
      </w:r>
      <w:r w:rsidR="002B1B33" w:rsidRPr="009B3AA6">
        <w:rPr>
          <w:rFonts w:ascii="Cambria" w:hAnsi="Cambria"/>
          <w:sz w:val="24"/>
          <w:szCs w:val="24"/>
          <w:lang w:val="sr-Latn-RS"/>
        </w:rPr>
        <w:t>Na drugoj strani, prihodi od poreza i doprinosa čine najznačajniji prihod Budž</w:t>
      </w:r>
      <w:r w:rsidR="001D5683" w:rsidRPr="009B3AA6">
        <w:rPr>
          <w:rFonts w:ascii="Cambria" w:hAnsi="Cambria"/>
          <w:sz w:val="24"/>
          <w:szCs w:val="24"/>
          <w:lang w:val="sr-Latn-RS"/>
        </w:rPr>
        <w:t xml:space="preserve">eta, koji je činio čak 39,6% </w:t>
      </w:r>
      <w:r w:rsidR="002B1B33" w:rsidRPr="009B3AA6">
        <w:rPr>
          <w:rFonts w:ascii="Cambria" w:hAnsi="Cambria"/>
          <w:sz w:val="24"/>
          <w:szCs w:val="24"/>
          <w:lang w:val="sr-Latn-RS"/>
        </w:rPr>
        <w:t>ukupnih prihoda u 2020. godini (godina pandemije), dok su isti prihodi imali učešće od 35% u 2019. godini.</w:t>
      </w:r>
    </w:p>
    <w:p w14:paraId="5B060BA1" w14:textId="77777777" w:rsidR="00361E20" w:rsidRPr="009B3AA6" w:rsidRDefault="006778A3" w:rsidP="009B3AA6">
      <w:pPr>
        <w:jc w:val="both"/>
        <w:rPr>
          <w:rFonts w:ascii="Cambria" w:hAnsi="Cambria"/>
          <w:sz w:val="24"/>
          <w:szCs w:val="24"/>
          <w:lang w:val="sr-Latn-RS"/>
        </w:rPr>
      </w:pPr>
      <w:r w:rsidRPr="009B3AA6">
        <w:rPr>
          <w:rFonts w:ascii="Cambria" w:hAnsi="Cambria"/>
          <w:sz w:val="24"/>
          <w:szCs w:val="24"/>
          <w:lang w:val="sr-Latn-RS"/>
        </w:rPr>
        <w:t>Imajući u vidu da se sistem obračuna zarada razlikuje po zemljama, odnosno da se koriste različite vrste i visine stopa poreza i doprinosa, osnovice na koje se primjenjuju, kao i različite vrste olakšica (poput neoporezivog dije</w:t>
      </w:r>
      <w:r w:rsidR="0065057A" w:rsidRPr="009B3AA6">
        <w:rPr>
          <w:rFonts w:ascii="Cambria" w:hAnsi="Cambria"/>
          <w:sz w:val="24"/>
          <w:szCs w:val="24"/>
          <w:lang w:val="sr-Latn-RS"/>
        </w:rPr>
        <w:t>la zarade), u praksi se za poređ</w:t>
      </w:r>
      <w:r w:rsidRPr="009B3AA6">
        <w:rPr>
          <w:rFonts w:ascii="Cambria" w:hAnsi="Cambria"/>
          <w:sz w:val="24"/>
          <w:szCs w:val="24"/>
          <w:lang w:val="sr-Latn-RS"/>
        </w:rPr>
        <w:t>enje poreskog opterećenja troškova rada koristi tzv. “poreski klin” (tax wedge) na zarade, kao najmjerodavnije sredstvo za uporedne analize.</w:t>
      </w:r>
    </w:p>
    <w:p w14:paraId="11F917FA" w14:textId="77777777" w:rsidR="00361E20" w:rsidRPr="009B3AA6" w:rsidRDefault="006778A3" w:rsidP="009B3AA6">
      <w:pPr>
        <w:jc w:val="both"/>
        <w:rPr>
          <w:rFonts w:ascii="Cambria" w:hAnsi="Cambria"/>
          <w:sz w:val="24"/>
          <w:szCs w:val="24"/>
          <w:lang w:val="sr-Latn-RS"/>
        </w:rPr>
      </w:pPr>
      <w:r w:rsidRPr="009B3AA6">
        <w:rPr>
          <w:rFonts w:ascii="Cambria" w:hAnsi="Cambria"/>
          <w:sz w:val="24"/>
          <w:szCs w:val="24"/>
          <w:lang w:val="sr-Latn-RS"/>
        </w:rPr>
        <w:t xml:space="preserve">Ukupno poresko opterećenje troškova rada ili </w:t>
      </w:r>
      <w:r w:rsidR="00187D64" w:rsidRPr="009B3AA6">
        <w:rPr>
          <w:rFonts w:ascii="Cambria" w:hAnsi="Cambria"/>
          <w:sz w:val="24"/>
          <w:szCs w:val="24"/>
          <w:lang w:val="sr-Latn-RS"/>
        </w:rPr>
        <w:t>"</w:t>
      </w:r>
      <w:r w:rsidRPr="009B3AA6">
        <w:rPr>
          <w:rFonts w:ascii="Cambria" w:hAnsi="Cambria"/>
          <w:sz w:val="24"/>
          <w:szCs w:val="24"/>
          <w:lang w:val="sr-Latn-RS"/>
        </w:rPr>
        <w:t>poreski klin</w:t>
      </w:r>
      <w:r w:rsidR="00187D64" w:rsidRPr="009B3AA6">
        <w:rPr>
          <w:rFonts w:ascii="Cambria" w:hAnsi="Cambria"/>
          <w:sz w:val="24"/>
          <w:szCs w:val="24"/>
          <w:lang w:val="sr-Latn-RS"/>
        </w:rPr>
        <w:t>"</w:t>
      </w:r>
      <w:r w:rsidRPr="009B3AA6">
        <w:rPr>
          <w:rFonts w:ascii="Cambria" w:hAnsi="Cambria"/>
          <w:sz w:val="24"/>
          <w:szCs w:val="24"/>
          <w:lang w:val="sr-Latn-RS"/>
        </w:rPr>
        <w:t xml:space="preserve"> predstavlja učešće poreza i doprinosa u ukupnim sredstvima potrebnim za isplatu </w:t>
      </w:r>
      <w:r w:rsidR="007D25DD" w:rsidRPr="009B3AA6">
        <w:rPr>
          <w:rFonts w:ascii="Cambria" w:hAnsi="Cambria"/>
          <w:sz w:val="24"/>
          <w:szCs w:val="24"/>
          <w:lang w:val="sr-Latn-RS"/>
        </w:rPr>
        <w:t xml:space="preserve">bruto </w:t>
      </w:r>
      <w:r w:rsidRPr="009B3AA6">
        <w:rPr>
          <w:rFonts w:ascii="Cambria" w:hAnsi="Cambria"/>
          <w:sz w:val="24"/>
          <w:szCs w:val="24"/>
          <w:lang w:val="sr-Latn-RS"/>
        </w:rPr>
        <w:t>zarade</w:t>
      </w:r>
      <w:r w:rsidR="007D25DD" w:rsidRPr="009B3AA6">
        <w:rPr>
          <w:rFonts w:ascii="Cambria" w:hAnsi="Cambria"/>
          <w:sz w:val="24"/>
          <w:szCs w:val="24"/>
          <w:lang w:val="sr-Latn-RS"/>
        </w:rPr>
        <w:t xml:space="preserve"> (razlika između bruto i neto dohotka)</w:t>
      </w:r>
      <w:r w:rsidRPr="009B3AA6">
        <w:rPr>
          <w:rFonts w:ascii="Cambria" w:hAnsi="Cambria"/>
          <w:sz w:val="24"/>
          <w:szCs w:val="24"/>
          <w:lang w:val="sr-Latn-RS"/>
        </w:rPr>
        <w:t xml:space="preserve">. </w:t>
      </w:r>
      <w:r w:rsidR="0065057A" w:rsidRPr="009B3AA6">
        <w:rPr>
          <w:rFonts w:ascii="Cambria" w:hAnsi="Cambria"/>
          <w:sz w:val="24"/>
          <w:szCs w:val="24"/>
          <w:lang w:val="sr-Latn-RS"/>
        </w:rPr>
        <w:t>To je indikator koji prikazuje sadašnju vrijednost troškova zarada koje se transferišu državi u obliku doprinosa za obavezno socijalno osiguranje i poreza na dohodak fizičkih lica, pri čemu se sastoji od tri glavne komponente: udio zaposlenih u doprinosima za socijalno osiguranje, udio poslodavaca u doprinosima za socijalno osiguranje i porez na dohodak fizičkih lica.</w:t>
      </w:r>
    </w:p>
    <w:p w14:paraId="1C19884C" w14:textId="77777777" w:rsidR="00361E20" w:rsidRPr="009B3AA6" w:rsidRDefault="006778A3" w:rsidP="009B3AA6">
      <w:pPr>
        <w:jc w:val="both"/>
        <w:rPr>
          <w:rFonts w:ascii="Cambria" w:hAnsi="Cambria"/>
          <w:sz w:val="24"/>
          <w:szCs w:val="24"/>
          <w:lang w:val="sr-Latn-RS"/>
        </w:rPr>
      </w:pPr>
      <w:r w:rsidRPr="009B3AA6">
        <w:rPr>
          <w:rFonts w:ascii="Cambria" w:hAnsi="Cambria"/>
          <w:sz w:val="24"/>
          <w:szCs w:val="24"/>
          <w:lang w:val="sr-Latn-RS"/>
        </w:rPr>
        <w:t xml:space="preserve">Poresko opterećenje troškova rada bitno utiče na mikro i makro konkurentnost, nivo investicija, te u krajnjem na ekonomski rast. Takođe, visina ovih nameta dovodi se u direktnu vezu sa stopom nezaposlenosti, kao i </w:t>
      </w:r>
      <w:r w:rsidR="001D5683" w:rsidRPr="009B3AA6">
        <w:rPr>
          <w:rFonts w:ascii="Cambria" w:hAnsi="Cambria"/>
          <w:sz w:val="24"/>
          <w:szCs w:val="24"/>
          <w:lang w:val="sr-Latn-RS"/>
        </w:rPr>
        <w:t>postojanjem</w:t>
      </w:r>
      <w:r w:rsidRPr="009B3AA6">
        <w:rPr>
          <w:rFonts w:ascii="Cambria" w:hAnsi="Cambria"/>
          <w:sz w:val="24"/>
          <w:szCs w:val="24"/>
          <w:lang w:val="sr-Latn-RS"/>
        </w:rPr>
        <w:t xml:space="preserve"> neformalne zaposlenosti.</w:t>
      </w:r>
    </w:p>
    <w:p w14:paraId="1A8E811C" w14:textId="77777777" w:rsidR="00361E20" w:rsidRPr="009B3AA6" w:rsidRDefault="009A12E9" w:rsidP="009B3AA6">
      <w:pPr>
        <w:jc w:val="both"/>
        <w:rPr>
          <w:rFonts w:ascii="Cambria" w:hAnsi="Cambria"/>
          <w:sz w:val="24"/>
          <w:szCs w:val="24"/>
          <w:lang w:val="sr-Latn-RS"/>
        </w:rPr>
      </w:pPr>
      <w:r w:rsidRPr="009B3AA6">
        <w:rPr>
          <w:rFonts w:ascii="Cambria" w:hAnsi="Cambria"/>
          <w:sz w:val="24"/>
          <w:szCs w:val="24"/>
          <w:lang w:val="sr-Latn-RS"/>
        </w:rPr>
        <w:t>Poresko opterećen</w:t>
      </w:r>
      <w:r w:rsidR="00596351" w:rsidRPr="009B3AA6">
        <w:rPr>
          <w:rFonts w:ascii="Cambria" w:hAnsi="Cambria"/>
          <w:sz w:val="24"/>
          <w:szCs w:val="24"/>
          <w:lang w:val="sr-Latn-RS"/>
        </w:rPr>
        <w:t>je troškova rada u Crnoj Gori</w:t>
      </w:r>
      <w:r w:rsidRPr="009B3AA6">
        <w:rPr>
          <w:rFonts w:ascii="Cambria" w:hAnsi="Cambria"/>
          <w:sz w:val="24"/>
          <w:szCs w:val="24"/>
          <w:lang w:val="sr-Latn-RS"/>
        </w:rPr>
        <w:t xml:space="preserve"> uređeno </w:t>
      </w:r>
      <w:r w:rsidR="00596351" w:rsidRPr="009B3AA6">
        <w:rPr>
          <w:rFonts w:ascii="Cambria" w:hAnsi="Cambria"/>
          <w:sz w:val="24"/>
          <w:szCs w:val="24"/>
          <w:lang w:val="sr-Latn-RS"/>
        </w:rPr>
        <w:t xml:space="preserve">je </w:t>
      </w:r>
      <w:r w:rsidRPr="009B3AA6">
        <w:rPr>
          <w:rFonts w:ascii="Cambria" w:hAnsi="Cambria"/>
          <w:sz w:val="24"/>
          <w:szCs w:val="24"/>
          <w:lang w:val="sr-Latn-RS"/>
        </w:rPr>
        <w:t>Zakonom o porezu na dohodak fizičkih lica i Zakonom o doprinosima za obavezno socijalno osiguranje</w:t>
      </w:r>
      <w:r w:rsidR="009D5510" w:rsidRPr="009B3AA6">
        <w:rPr>
          <w:rFonts w:ascii="Cambria" w:hAnsi="Cambria"/>
          <w:sz w:val="24"/>
          <w:szCs w:val="24"/>
          <w:lang w:val="sr-Latn-RS"/>
        </w:rPr>
        <w:t xml:space="preserve"> </w:t>
      </w:r>
      <w:r w:rsidRPr="009B3AA6">
        <w:rPr>
          <w:rFonts w:ascii="Cambria" w:hAnsi="Cambria"/>
          <w:sz w:val="24"/>
          <w:szCs w:val="24"/>
          <w:lang w:val="sr-Latn-RS"/>
        </w:rPr>
        <w:t>kojim</w:t>
      </w:r>
      <w:r w:rsidR="009D5510" w:rsidRPr="009B3AA6">
        <w:rPr>
          <w:rFonts w:ascii="Cambria" w:hAnsi="Cambria"/>
          <w:sz w:val="24"/>
          <w:szCs w:val="24"/>
          <w:lang w:val="sr-Latn-RS"/>
        </w:rPr>
        <w:t xml:space="preserve"> </w:t>
      </w:r>
      <w:r w:rsidRPr="009B3AA6">
        <w:rPr>
          <w:rFonts w:ascii="Cambria" w:hAnsi="Cambria"/>
          <w:sz w:val="24"/>
          <w:szCs w:val="24"/>
          <w:lang w:val="sr-Latn-RS"/>
        </w:rPr>
        <w:t>je utvrđena obaveza plaćanja doprinosa za obavezno socijalno osiguranje (penzijsko i invalidsko osiguranje, zdravstveno osiguranje i osiguranje od nezaposlenosti) i propisani obveznici plaćanja doprinosa, osnovice za obračun doprinosa, stope doprinosa, način obračuna, rokovi plaćanja i dr.</w:t>
      </w:r>
    </w:p>
    <w:p w14:paraId="4460BE32" w14:textId="467AEB97" w:rsidR="00361E20" w:rsidRPr="006E6509" w:rsidRDefault="00343204" w:rsidP="006E6509">
      <w:pPr>
        <w:jc w:val="both"/>
        <w:rPr>
          <w:rFonts w:ascii="Cambria" w:hAnsi="Cambria"/>
          <w:sz w:val="24"/>
          <w:szCs w:val="24"/>
          <w:lang w:val="sr-Latn-RS"/>
        </w:rPr>
      </w:pPr>
      <w:r w:rsidRPr="009B3AA6">
        <w:rPr>
          <w:rFonts w:ascii="Cambria" w:hAnsi="Cambria"/>
          <w:sz w:val="24"/>
          <w:szCs w:val="24"/>
          <w:lang w:val="sr-Latn-RS"/>
        </w:rPr>
        <w:t xml:space="preserve">Poresko opterećenje rada u Crnoj Gori </w:t>
      </w:r>
      <w:r w:rsidR="00596351" w:rsidRPr="009B3AA6">
        <w:rPr>
          <w:rFonts w:ascii="Cambria" w:hAnsi="Cambria"/>
          <w:sz w:val="24"/>
          <w:szCs w:val="24"/>
          <w:lang w:val="sr-Latn-RS"/>
        </w:rPr>
        <w:t xml:space="preserve">trenutno </w:t>
      </w:r>
      <w:r w:rsidRPr="009B3AA6">
        <w:rPr>
          <w:rFonts w:ascii="Cambria" w:hAnsi="Cambria"/>
          <w:sz w:val="24"/>
          <w:szCs w:val="24"/>
          <w:lang w:val="sr-Latn-RS"/>
        </w:rPr>
        <w:t>je na nivo</w:t>
      </w:r>
      <w:r w:rsidR="009A12E9" w:rsidRPr="009B3AA6">
        <w:rPr>
          <w:rFonts w:ascii="Cambria" w:hAnsi="Cambria"/>
          <w:sz w:val="24"/>
          <w:szCs w:val="24"/>
          <w:lang w:val="sr-Latn-RS"/>
        </w:rPr>
        <w:t xml:space="preserve">u prosjeka u Evropi i smanjeno </w:t>
      </w:r>
      <w:r w:rsidRPr="009B3AA6">
        <w:rPr>
          <w:rFonts w:ascii="Cambria" w:hAnsi="Cambria"/>
          <w:sz w:val="24"/>
          <w:szCs w:val="24"/>
          <w:lang w:val="sr-Latn-RS"/>
        </w:rPr>
        <w:t>je sa preko 60% na 1</w:t>
      </w:r>
      <w:r w:rsidR="009D5510" w:rsidRPr="009B3AA6">
        <w:rPr>
          <w:rFonts w:ascii="Cambria" w:hAnsi="Cambria"/>
          <w:sz w:val="24"/>
          <w:szCs w:val="24"/>
          <w:lang w:val="sr-Latn-RS"/>
        </w:rPr>
        <w:t>00 €</w:t>
      </w:r>
      <w:r w:rsidRPr="009B3AA6">
        <w:rPr>
          <w:rFonts w:ascii="Cambria" w:hAnsi="Cambria"/>
          <w:sz w:val="24"/>
          <w:szCs w:val="24"/>
          <w:lang w:val="sr-Latn-RS"/>
        </w:rPr>
        <w:t xml:space="preserve"> bruto zarade zaposlenog, devedeseti</w:t>
      </w:r>
      <w:r w:rsidR="009D5510" w:rsidRPr="009B3AA6">
        <w:rPr>
          <w:rFonts w:ascii="Cambria" w:hAnsi="Cambria"/>
          <w:sz w:val="24"/>
          <w:szCs w:val="24"/>
          <w:lang w:val="sr-Latn-RS"/>
        </w:rPr>
        <w:t xml:space="preserve">h godina, i oko 50% u godinama </w:t>
      </w:r>
      <w:r w:rsidRPr="009B3AA6">
        <w:rPr>
          <w:rFonts w:ascii="Cambria" w:hAnsi="Cambria"/>
          <w:sz w:val="24"/>
          <w:szCs w:val="24"/>
          <w:lang w:val="sr-Latn-RS"/>
        </w:rPr>
        <w:t xml:space="preserve">kada je uveden euro, na </w:t>
      </w:r>
      <w:r w:rsidR="001D5683" w:rsidRPr="009B3AA6">
        <w:rPr>
          <w:rFonts w:ascii="Cambria" w:hAnsi="Cambria"/>
          <w:sz w:val="24"/>
          <w:szCs w:val="24"/>
          <w:lang w:val="sr-Latn-RS"/>
        </w:rPr>
        <w:t>oko</w:t>
      </w:r>
      <w:r w:rsidRPr="009B3AA6">
        <w:rPr>
          <w:rFonts w:ascii="Cambria" w:hAnsi="Cambria"/>
          <w:sz w:val="24"/>
          <w:szCs w:val="24"/>
          <w:lang w:val="sr-Latn-RS"/>
        </w:rPr>
        <w:t xml:space="preserve"> 39% koliko </w:t>
      </w:r>
      <w:r w:rsidR="001D5683" w:rsidRPr="009B3AA6">
        <w:rPr>
          <w:rFonts w:ascii="Cambria" w:hAnsi="Cambria"/>
          <w:sz w:val="24"/>
          <w:szCs w:val="24"/>
          <w:lang w:val="sr-Latn-RS"/>
        </w:rPr>
        <w:t>iznosi</w:t>
      </w:r>
      <w:r w:rsidRPr="009B3AA6">
        <w:rPr>
          <w:rFonts w:ascii="Cambria" w:hAnsi="Cambria"/>
          <w:sz w:val="24"/>
          <w:szCs w:val="24"/>
          <w:lang w:val="sr-Latn-RS"/>
        </w:rPr>
        <w:t xml:space="preserve"> danas. </w:t>
      </w:r>
      <w:r w:rsidRPr="004C67AA">
        <w:rPr>
          <w:rFonts w:ascii="Cambria" w:hAnsi="Cambria"/>
          <w:sz w:val="24"/>
          <w:szCs w:val="24"/>
          <w:lang w:val="sr-Latn-RS"/>
        </w:rPr>
        <w:t>Međutim, kada su u pitanju OECD zemlje</w:t>
      </w:r>
      <w:r w:rsidR="001D5683" w:rsidRPr="004C67AA">
        <w:rPr>
          <w:rFonts w:ascii="Cambria" w:hAnsi="Cambria"/>
          <w:sz w:val="24"/>
          <w:szCs w:val="24"/>
          <w:lang w:val="sr-Latn-RS"/>
        </w:rPr>
        <w:t>,</w:t>
      </w:r>
      <w:r w:rsidRPr="004C67AA">
        <w:rPr>
          <w:rFonts w:ascii="Cambria" w:hAnsi="Cambria"/>
          <w:sz w:val="24"/>
          <w:szCs w:val="24"/>
          <w:lang w:val="sr-Latn-RS"/>
        </w:rPr>
        <w:t xml:space="preserve"> prosjek za 2020. godinu je iznosio </w:t>
      </w:r>
      <w:r w:rsidR="005E7572" w:rsidRPr="004C67AA">
        <w:rPr>
          <w:rFonts w:ascii="Cambria" w:hAnsi="Cambria"/>
          <w:sz w:val="24"/>
          <w:szCs w:val="24"/>
          <w:lang w:val="sr-Latn-RS"/>
        </w:rPr>
        <w:t>34,6</w:t>
      </w:r>
      <w:r w:rsidRPr="004C67AA">
        <w:rPr>
          <w:rFonts w:ascii="Cambria" w:hAnsi="Cambria"/>
          <w:sz w:val="24"/>
          <w:szCs w:val="24"/>
          <w:lang w:val="sr-Latn-RS"/>
        </w:rPr>
        <w:t xml:space="preserve">%, što znači da je od 100 </w:t>
      </w:r>
      <w:r w:rsidR="001047BF" w:rsidRPr="004C67AA">
        <w:rPr>
          <w:rFonts w:ascii="Cambria" w:hAnsi="Cambria"/>
          <w:sz w:val="24"/>
          <w:szCs w:val="24"/>
          <w:lang w:val="sr-Latn-RS"/>
        </w:rPr>
        <w:t>€</w:t>
      </w:r>
      <w:r w:rsidRPr="004C67AA">
        <w:rPr>
          <w:rFonts w:ascii="Cambria" w:hAnsi="Cambria"/>
          <w:sz w:val="24"/>
          <w:szCs w:val="24"/>
          <w:lang w:val="sr-Latn-RS"/>
        </w:rPr>
        <w:t xml:space="preserve"> potrošenog na zaposlenog </w:t>
      </w:r>
      <w:r w:rsidR="005E7572" w:rsidRPr="004C67AA">
        <w:rPr>
          <w:rFonts w:ascii="Cambria" w:hAnsi="Cambria"/>
          <w:sz w:val="24"/>
          <w:szCs w:val="24"/>
          <w:lang w:val="sr-Latn-RS"/>
        </w:rPr>
        <w:t>34,6</w:t>
      </w:r>
      <w:r w:rsidRPr="004C67AA">
        <w:rPr>
          <w:rFonts w:ascii="Cambria" w:hAnsi="Cambria"/>
          <w:sz w:val="24"/>
          <w:szCs w:val="24"/>
          <w:lang w:val="sr-Latn-RS"/>
        </w:rPr>
        <w:t xml:space="preserve"> </w:t>
      </w:r>
      <w:r w:rsidR="001047BF" w:rsidRPr="004C67AA">
        <w:rPr>
          <w:rFonts w:ascii="Cambria" w:hAnsi="Cambria"/>
          <w:sz w:val="24"/>
          <w:szCs w:val="24"/>
          <w:lang w:val="sr-Latn-RS"/>
        </w:rPr>
        <w:t>€</w:t>
      </w:r>
      <w:r w:rsidRPr="004C67AA">
        <w:rPr>
          <w:rFonts w:ascii="Cambria" w:hAnsi="Cambria"/>
          <w:sz w:val="24"/>
          <w:szCs w:val="24"/>
          <w:lang w:val="sr-Latn-RS"/>
        </w:rPr>
        <w:t xml:space="preserve"> dobijala država, a 6</w:t>
      </w:r>
      <w:r w:rsidR="005E7572" w:rsidRPr="004C67AA">
        <w:rPr>
          <w:rFonts w:ascii="Cambria" w:hAnsi="Cambria"/>
          <w:sz w:val="24"/>
          <w:szCs w:val="24"/>
          <w:lang w:val="sr-Latn-RS"/>
        </w:rPr>
        <w:t>5,4</w:t>
      </w:r>
      <w:r w:rsidRPr="004C67AA">
        <w:rPr>
          <w:rFonts w:ascii="Cambria" w:hAnsi="Cambria"/>
          <w:sz w:val="24"/>
          <w:szCs w:val="24"/>
          <w:lang w:val="sr-Latn-RS"/>
        </w:rPr>
        <w:t xml:space="preserve"> </w:t>
      </w:r>
      <w:r w:rsidR="001047BF" w:rsidRPr="004C67AA">
        <w:rPr>
          <w:rFonts w:ascii="Cambria" w:hAnsi="Cambria"/>
          <w:sz w:val="24"/>
          <w:szCs w:val="24"/>
          <w:lang w:val="sr-Latn-RS"/>
        </w:rPr>
        <w:t>€</w:t>
      </w:r>
      <w:r w:rsidRPr="004C67AA">
        <w:rPr>
          <w:rFonts w:ascii="Cambria" w:hAnsi="Cambria"/>
          <w:sz w:val="24"/>
          <w:szCs w:val="24"/>
          <w:lang w:val="sr-Latn-RS"/>
        </w:rPr>
        <w:t xml:space="preserve"> zadržavao zaposleni.</w:t>
      </w:r>
    </w:p>
    <w:p w14:paraId="6721EA70" w14:textId="3D518267" w:rsidR="006A1F74" w:rsidRDefault="006A1F74" w:rsidP="005E7572">
      <w:pPr>
        <w:pStyle w:val="Caption"/>
        <w:keepNext/>
        <w:rPr>
          <w:rFonts w:ascii="Cambria" w:hAnsi="Cambria"/>
          <w:sz w:val="20"/>
          <w:szCs w:val="20"/>
          <w:lang w:val="sr-Latn-RS"/>
        </w:rPr>
      </w:pPr>
    </w:p>
    <w:p w14:paraId="7B047983" w14:textId="77777777" w:rsidR="006A1F74" w:rsidRPr="006A1F74" w:rsidRDefault="006A1F74" w:rsidP="006A1F74">
      <w:pPr>
        <w:rPr>
          <w:lang w:val="sr-Latn-RS"/>
        </w:rPr>
      </w:pPr>
    </w:p>
    <w:p w14:paraId="06977377" w14:textId="77777777" w:rsidR="006A1F74" w:rsidRDefault="006A1F74" w:rsidP="005E7572">
      <w:pPr>
        <w:pStyle w:val="Caption"/>
        <w:keepNext/>
        <w:rPr>
          <w:rFonts w:ascii="Cambria" w:hAnsi="Cambria"/>
          <w:sz w:val="20"/>
          <w:szCs w:val="20"/>
          <w:lang w:val="sr-Latn-RS"/>
        </w:rPr>
      </w:pPr>
    </w:p>
    <w:p w14:paraId="55AEB046" w14:textId="77777777" w:rsidR="006A1F74" w:rsidRDefault="006A1F74" w:rsidP="005E7572">
      <w:pPr>
        <w:pStyle w:val="Caption"/>
        <w:keepNext/>
        <w:rPr>
          <w:rFonts w:ascii="Cambria" w:hAnsi="Cambria"/>
          <w:sz w:val="20"/>
          <w:szCs w:val="20"/>
          <w:lang w:val="sr-Latn-RS"/>
        </w:rPr>
      </w:pPr>
    </w:p>
    <w:p w14:paraId="5C365045" w14:textId="77777777" w:rsidR="006A1F74" w:rsidRDefault="006A1F74" w:rsidP="005E7572">
      <w:pPr>
        <w:pStyle w:val="Caption"/>
        <w:keepNext/>
        <w:rPr>
          <w:rFonts w:ascii="Cambria" w:hAnsi="Cambria"/>
          <w:sz w:val="20"/>
          <w:szCs w:val="20"/>
          <w:lang w:val="sr-Latn-RS"/>
        </w:rPr>
      </w:pPr>
    </w:p>
    <w:p w14:paraId="4E6D5C81" w14:textId="47F08DD3" w:rsidR="005E7572" w:rsidRPr="005E7572" w:rsidRDefault="005E7572" w:rsidP="005E7572">
      <w:pPr>
        <w:pStyle w:val="Caption"/>
        <w:keepNext/>
        <w:rPr>
          <w:rFonts w:ascii="Cambria" w:hAnsi="Cambria"/>
          <w:sz w:val="20"/>
          <w:szCs w:val="20"/>
          <w:lang w:val="sr-Latn-RS"/>
        </w:rPr>
      </w:pPr>
      <w:r w:rsidRPr="005E7572">
        <w:rPr>
          <w:rFonts w:ascii="Cambria" w:hAnsi="Cambria"/>
          <w:sz w:val="20"/>
          <w:szCs w:val="20"/>
          <w:lang w:val="sr-Latn-RS"/>
        </w:rPr>
        <w:t xml:space="preserve">Tabela </w:t>
      </w:r>
      <w:r w:rsidRPr="005E7572">
        <w:rPr>
          <w:rFonts w:ascii="Cambria" w:hAnsi="Cambria"/>
          <w:sz w:val="20"/>
          <w:szCs w:val="20"/>
          <w:lang w:val="sr-Latn-RS"/>
        </w:rPr>
        <w:fldChar w:fldCharType="begin"/>
      </w:r>
      <w:r w:rsidRPr="005E7572">
        <w:rPr>
          <w:rFonts w:ascii="Cambria" w:hAnsi="Cambria"/>
          <w:sz w:val="20"/>
          <w:szCs w:val="20"/>
          <w:lang w:val="sr-Latn-RS"/>
        </w:rPr>
        <w:instrText xml:space="preserve"> SEQ Tabela \* ARABIC </w:instrText>
      </w:r>
      <w:r w:rsidRPr="005E7572">
        <w:rPr>
          <w:rFonts w:ascii="Cambria" w:hAnsi="Cambria"/>
          <w:sz w:val="20"/>
          <w:szCs w:val="20"/>
          <w:lang w:val="sr-Latn-RS"/>
        </w:rPr>
        <w:fldChar w:fldCharType="separate"/>
      </w:r>
      <w:r w:rsidRPr="005E7572">
        <w:rPr>
          <w:rFonts w:ascii="Cambria" w:hAnsi="Cambria"/>
          <w:sz w:val="20"/>
          <w:szCs w:val="20"/>
          <w:lang w:val="sr-Latn-RS"/>
        </w:rPr>
        <w:t>1</w:t>
      </w:r>
      <w:r w:rsidRPr="005E7572">
        <w:rPr>
          <w:rFonts w:ascii="Cambria" w:hAnsi="Cambria"/>
          <w:sz w:val="20"/>
          <w:szCs w:val="20"/>
          <w:lang w:val="sr-Latn-RS"/>
        </w:rPr>
        <w:fldChar w:fldCharType="end"/>
      </w:r>
      <w:r w:rsidRPr="005E7572">
        <w:rPr>
          <w:rFonts w:ascii="Cambria" w:hAnsi="Cambria"/>
          <w:sz w:val="20"/>
          <w:szCs w:val="20"/>
          <w:lang w:val="sr-Latn-RS"/>
        </w:rPr>
        <w:t xml:space="preserve">Poresko opterećenje na rad </w:t>
      </w:r>
      <w:r>
        <w:rPr>
          <w:rFonts w:ascii="Cambria" w:hAnsi="Cambria"/>
          <w:sz w:val="20"/>
          <w:szCs w:val="20"/>
          <w:lang w:val="sr-Latn-RS"/>
        </w:rPr>
        <w:t xml:space="preserve">u OECD zemljama </w:t>
      </w:r>
      <w:r w:rsidRPr="005E7572">
        <w:rPr>
          <w:rFonts w:ascii="Cambria" w:hAnsi="Cambria"/>
          <w:sz w:val="20"/>
          <w:szCs w:val="20"/>
          <w:lang w:val="sr-Latn-RS"/>
        </w:rPr>
        <w:t>(poreski klin)</w:t>
      </w:r>
    </w:p>
    <w:tbl>
      <w:tblPr>
        <w:tblW w:w="3066" w:type="dxa"/>
        <w:jc w:val="center"/>
        <w:tblLook w:val="04A0" w:firstRow="1" w:lastRow="0" w:firstColumn="1" w:lastColumn="0" w:noHBand="0" w:noVBand="1"/>
      </w:tblPr>
      <w:tblGrid>
        <w:gridCol w:w="1706"/>
        <w:gridCol w:w="1360"/>
      </w:tblGrid>
      <w:tr w:rsidR="005E7572" w:rsidRPr="005E7572" w14:paraId="7C7FA122" w14:textId="77777777" w:rsidTr="00361E20">
        <w:trPr>
          <w:trHeight w:val="541"/>
          <w:jc w:val="center"/>
        </w:trPr>
        <w:tc>
          <w:tcPr>
            <w:tcW w:w="1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82A09F" w14:textId="77777777" w:rsidR="005E7572" w:rsidRPr="005E7572" w:rsidRDefault="005E7572" w:rsidP="005E7572">
            <w:pPr>
              <w:spacing w:after="0" w:line="240" w:lineRule="auto"/>
              <w:rPr>
                <w:rFonts w:ascii="Cambria" w:eastAsia="Arial Unicode MS" w:hAnsi="Cambria" w:cs="Arial Unicode MS"/>
                <w:sz w:val="18"/>
                <w:szCs w:val="18"/>
                <w:lang w:val="sr-Latn-ME" w:eastAsia="sr-Latn-ME"/>
              </w:rPr>
            </w:pPr>
            <w:r w:rsidRPr="005E7572">
              <w:rPr>
                <w:rFonts w:ascii="Cambria" w:eastAsia="Arial Unicode MS" w:hAnsi="Cambria" w:cs="Arial Unicode MS"/>
                <w:color w:val="000000"/>
                <w:sz w:val="18"/>
                <w:szCs w:val="18"/>
                <w:lang w:val="sr-Latn-ME" w:eastAsia="sr-Latn-ME"/>
              </w:rPr>
              <w:t>Zemlja</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258D2D9" w14:textId="77777777" w:rsidR="005E7572" w:rsidRPr="005E7572" w:rsidRDefault="005E7572" w:rsidP="005E7572">
            <w:pPr>
              <w:spacing w:after="0" w:line="240" w:lineRule="auto"/>
              <w:jc w:val="center"/>
              <w:rPr>
                <w:rFonts w:ascii="Cambria" w:eastAsia="Arial Unicode MS" w:hAnsi="Cambria" w:cs="Arial Unicode MS"/>
                <w:sz w:val="18"/>
                <w:szCs w:val="18"/>
                <w:lang w:val="sr-Latn-ME" w:eastAsia="sr-Latn-ME"/>
              </w:rPr>
            </w:pPr>
            <w:r w:rsidRPr="005E7572">
              <w:rPr>
                <w:rFonts w:ascii="Cambria" w:eastAsia="Arial Unicode MS" w:hAnsi="Cambria" w:cs="Arial Unicode MS"/>
                <w:sz w:val="18"/>
                <w:szCs w:val="18"/>
                <w:lang w:val="sr-Latn-ME" w:eastAsia="sr-Latn-ME"/>
              </w:rPr>
              <w:t>Poreski klin za 2020. godinu</w:t>
            </w:r>
          </w:p>
          <w:p w14:paraId="149D9591" w14:textId="77777777" w:rsidR="005E7572" w:rsidRPr="005E7572" w:rsidRDefault="005E7572" w:rsidP="005E7572">
            <w:pPr>
              <w:spacing w:after="0" w:line="240" w:lineRule="auto"/>
              <w:jc w:val="center"/>
              <w:rPr>
                <w:rFonts w:ascii="Cambria" w:eastAsia="Arial Unicode MS" w:hAnsi="Cambria" w:cs="Arial Unicode MS"/>
                <w:sz w:val="18"/>
                <w:szCs w:val="18"/>
                <w:lang w:val="sr-Latn-ME" w:eastAsia="sr-Latn-ME"/>
              </w:rPr>
            </w:pPr>
          </w:p>
        </w:tc>
      </w:tr>
      <w:tr w:rsidR="005E7572" w:rsidRPr="005E7572" w14:paraId="55376FC4" w14:textId="77777777" w:rsidTr="00361E20">
        <w:trPr>
          <w:trHeight w:val="450"/>
          <w:jc w:val="center"/>
        </w:trPr>
        <w:tc>
          <w:tcPr>
            <w:tcW w:w="1706" w:type="dxa"/>
            <w:vMerge/>
            <w:tcBorders>
              <w:top w:val="nil"/>
              <w:left w:val="single" w:sz="4" w:space="0" w:color="auto"/>
              <w:bottom w:val="single" w:sz="4" w:space="0" w:color="000000"/>
              <w:right w:val="single" w:sz="4" w:space="0" w:color="auto"/>
            </w:tcBorders>
            <w:vAlign w:val="center"/>
            <w:hideMark/>
          </w:tcPr>
          <w:p w14:paraId="47557DCD" w14:textId="77777777" w:rsidR="005E7572" w:rsidRPr="005E7572" w:rsidRDefault="005E7572" w:rsidP="005E7572">
            <w:pPr>
              <w:spacing w:after="0" w:line="240" w:lineRule="auto"/>
              <w:rPr>
                <w:rFonts w:ascii="Cambria" w:eastAsia="Arial Unicode MS" w:hAnsi="Cambria" w:cs="Arial Unicode MS"/>
                <w:sz w:val="18"/>
                <w:szCs w:val="18"/>
                <w:lang w:val="sr-Latn-ME" w:eastAsia="sr-Latn-ME"/>
              </w:rPr>
            </w:pPr>
          </w:p>
        </w:tc>
        <w:tc>
          <w:tcPr>
            <w:tcW w:w="1360" w:type="dxa"/>
            <w:vMerge/>
            <w:tcBorders>
              <w:top w:val="nil"/>
              <w:left w:val="single" w:sz="4" w:space="0" w:color="auto"/>
              <w:bottom w:val="single" w:sz="4" w:space="0" w:color="000000"/>
              <w:right w:val="single" w:sz="4" w:space="0" w:color="auto"/>
            </w:tcBorders>
            <w:vAlign w:val="center"/>
            <w:hideMark/>
          </w:tcPr>
          <w:p w14:paraId="35C80368" w14:textId="77777777" w:rsidR="005E7572" w:rsidRPr="005E7572" w:rsidRDefault="005E7572" w:rsidP="005E7572">
            <w:pPr>
              <w:spacing w:after="0" w:line="240" w:lineRule="auto"/>
              <w:rPr>
                <w:rFonts w:ascii="Cambria" w:eastAsia="Arial Unicode MS" w:hAnsi="Cambria" w:cs="Arial Unicode MS"/>
                <w:sz w:val="18"/>
                <w:szCs w:val="18"/>
                <w:lang w:val="sr-Latn-ME" w:eastAsia="sr-Latn-ME"/>
              </w:rPr>
            </w:pPr>
          </w:p>
        </w:tc>
      </w:tr>
      <w:tr w:rsidR="005E7572" w:rsidRPr="005E7572" w14:paraId="5C9086DC" w14:textId="77777777" w:rsidTr="00361E20">
        <w:trPr>
          <w:trHeight w:val="270"/>
          <w:jc w:val="center"/>
        </w:trPr>
        <w:tc>
          <w:tcPr>
            <w:tcW w:w="1706" w:type="dxa"/>
            <w:tcBorders>
              <w:top w:val="nil"/>
              <w:left w:val="single" w:sz="4" w:space="0" w:color="auto"/>
              <w:bottom w:val="nil"/>
              <w:right w:val="single" w:sz="4" w:space="0" w:color="auto"/>
            </w:tcBorders>
            <w:shd w:val="clear" w:color="000000" w:fill="BDD7EE"/>
            <w:hideMark/>
          </w:tcPr>
          <w:p w14:paraId="4AC79AE1"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Belgija</w:t>
            </w:r>
          </w:p>
        </w:tc>
        <w:tc>
          <w:tcPr>
            <w:tcW w:w="1360" w:type="dxa"/>
            <w:tcBorders>
              <w:top w:val="nil"/>
              <w:left w:val="single" w:sz="4" w:space="0" w:color="auto"/>
              <w:bottom w:val="nil"/>
              <w:right w:val="single" w:sz="4" w:space="0" w:color="auto"/>
            </w:tcBorders>
            <w:shd w:val="clear" w:color="000000" w:fill="BDD7EE"/>
            <w:hideMark/>
          </w:tcPr>
          <w:p w14:paraId="668D7A0F"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51,5</w:t>
            </w:r>
          </w:p>
        </w:tc>
      </w:tr>
      <w:tr w:rsidR="005E7572" w:rsidRPr="005E7572" w14:paraId="1C826EAA"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2F9297F7"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Njemačka</w:t>
            </w:r>
          </w:p>
        </w:tc>
        <w:tc>
          <w:tcPr>
            <w:tcW w:w="1360" w:type="dxa"/>
            <w:tcBorders>
              <w:top w:val="nil"/>
              <w:left w:val="single" w:sz="4" w:space="0" w:color="auto"/>
              <w:bottom w:val="nil"/>
              <w:right w:val="single" w:sz="4" w:space="0" w:color="auto"/>
            </w:tcBorders>
            <w:shd w:val="clear" w:color="000000" w:fill="FFFFFF"/>
            <w:hideMark/>
          </w:tcPr>
          <w:p w14:paraId="25DCA3BE"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49,0</w:t>
            </w:r>
          </w:p>
        </w:tc>
      </w:tr>
      <w:tr w:rsidR="005E7572" w:rsidRPr="005E7572" w14:paraId="305FDB50"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52DC43E7"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Austri</w:t>
            </w:r>
            <w:r>
              <w:rPr>
                <w:rFonts w:ascii="Cambria" w:eastAsia="Times New Roman" w:hAnsi="Cambria" w:cs="Arial"/>
                <w:sz w:val="18"/>
                <w:szCs w:val="18"/>
                <w:lang w:val="sr-Latn-ME" w:eastAsia="sr-Latn-ME"/>
              </w:rPr>
              <w:t>j</w:t>
            </w:r>
            <w:r w:rsidRPr="005E7572">
              <w:rPr>
                <w:rFonts w:ascii="Cambria" w:eastAsia="Times New Roman" w:hAnsi="Cambria" w:cs="Arial"/>
                <w:sz w:val="18"/>
                <w:szCs w:val="18"/>
                <w:lang w:val="sr-Latn-ME" w:eastAsia="sr-Latn-ME"/>
              </w:rPr>
              <w:t>a</w:t>
            </w:r>
          </w:p>
        </w:tc>
        <w:tc>
          <w:tcPr>
            <w:tcW w:w="1360" w:type="dxa"/>
            <w:tcBorders>
              <w:top w:val="nil"/>
              <w:left w:val="single" w:sz="4" w:space="0" w:color="auto"/>
              <w:bottom w:val="nil"/>
              <w:right w:val="single" w:sz="4" w:space="0" w:color="auto"/>
            </w:tcBorders>
            <w:shd w:val="clear" w:color="000000" w:fill="BDD7EE"/>
            <w:hideMark/>
          </w:tcPr>
          <w:p w14:paraId="6725CE15"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47,3</w:t>
            </w:r>
          </w:p>
        </w:tc>
      </w:tr>
      <w:tr w:rsidR="005E7572" w:rsidRPr="005E7572" w14:paraId="39FA96C3"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686D642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Francuska</w:t>
            </w:r>
          </w:p>
        </w:tc>
        <w:tc>
          <w:tcPr>
            <w:tcW w:w="1360" w:type="dxa"/>
            <w:tcBorders>
              <w:top w:val="nil"/>
              <w:left w:val="single" w:sz="4" w:space="0" w:color="auto"/>
              <w:bottom w:val="nil"/>
              <w:right w:val="single" w:sz="4" w:space="0" w:color="auto"/>
            </w:tcBorders>
            <w:shd w:val="clear" w:color="000000" w:fill="FFFFFF"/>
            <w:hideMark/>
          </w:tcPr>
          <w:p w14:paraId="47A90390"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46,6</w:t>
            </w:r>
          </w:p>
        </w:tc>
      </w:tr>
      <w:tr w:rsidR="005E7572" w:rsidRPr="005E7572" w14:paraId="4A4AED03"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5D767C72"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Italija</w:t>
            </w:r>
          </w:p>
        </w:tc>
        <w:tc>
          <w:tcPr>
            <w:tcW w:w="1360" w:type="dxa"/>
            <w:tcBorders>
              <w:top w:val="nil"/>
              <w:left w:val="single" w:sz="4" w:space="0" w:color="auto"/>
              <w:bottom w:val="nil"/>
              <w:right w:val="single" w:sz="4" w:space="0" w:color="auto"/>
            </w:tcBorders>
            <w:shd w:val="clear" w:color="000000" w:fill="BDD7EE"/>
            <w:hideMark/>
          </w:tcPr>
          <w:p w14:paraId="259117CD"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46,0</w:t>
            </w:r>
          </w:p>
        </w:tc>
      </w:tr>
      <w:tr w:rsidR="005E7572" w:rsidRPr="005E7572" w14:paraId="1EC91D5B"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37736841"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Češka</w:t>
            </w:r>
          </w:p>
        </w:tc>
        <w:tc>
          <w:tcPr>
            <w:tcW w:w="1360" w:type="dxa"/>
            <w:tcBorders>
              <w:top w:val="nil"/>
              <w:left w:val="single" w:sz="4" w:space="0" w:color="auto"/>
              <w:bottom w:val="nil"/>
              <w:right w:val="single" w:sz="4" w:space="0" w:color="auto"/>
            </w:tcBorders>
            <w:shd w:val="clear" w:color="000000" w:fill="FFFFFF"/>
            <w:hideMark/>
          </w:tcPr>
          <w:p w14:paraId="6173491F"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43,9</w:t>
            </w:r>
          </w:p>
        </w:tc>
      </w:tr>
      <w:tr w:rsidR="005E7572" w:rsidRPr="005E7572" w14:paraId="6C323470"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2477DF89"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Mađarska</w:t>
            </w:r>
          </w:p>
        </w:tc>
        <w:tc>
          <w:tcPr>
            <w:tcW w:w="1360" w:type="dxa"/>
            <w:tcBorders>
              <w:top w:val="nil"/>
              <w:left w:val="single" w:sz="4" w:space="0" w:color="auto"/>
              <w:bottom w:val="nil"/>
              <w:right w:val="single" w:sz="4" w:space="0" w:color="auto"/>
            </w:tcBorders>
            <w:shd w:val="clear" w:color="000000" w:fill="BDD7EE"/>
            <w:hideMark/>
          </w:tcPr>
          <w:p w14:paraId="25C75C71"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43,6</w:t>
            </w:r>
          </w:p>
        </w:tc>
      </w:tr>
      <w:tr w:rsidR="005E7572" w:rsidRPr="005E7572" w14:paraId="609C82D6"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5D12A146"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Sloveni</w:t>
            </w:r>
            <w:r>
              <w:rPr>
                <w:rFonts w:ascii="Cambria" w:eastAsia="Times New Roman" w:hAnsi="Cambria" w:cs="Arial"/>
                <w:sz w:val="18"/>
                <w:szCs w:val="18"/>
                <w:lang w:val="sr-Latn-ME" w:eastAsia="sr-Latn-ME"/>
              </w:rPr>
              <w:t>j</w:t>
            </w:r>
            <w:r w:rsidRPr="005E7572">
              <w:rPr>
                <w:rFonts w:ascii="Cambria" w:eastAsia="Times New Roman" w:hAnsi="Cambria" w:cs="Arial"/>
                <w:sz w:val="18"/>
                <w:szCs w:val="18"/>
                <w:lang w:val="sr-Latn-ME" w:eastAsia="sr-Latn-ME"/>
              </w:rPr>
              <w:t>a</w:t>
            </w:r>
          </w:p>
        </w:tc>
        <w:tc>
          <w:tcPr>
            <w:tcW w:w="1360" w:type="dxa"/>
            <w:tcBorders>
              <w:top w:val="nil"/>
              <w:left w:val="single" w:sz="4" w:space="0" w:color="auto"/>
              <w:bottom w:val="nil"/>
              <w:right w:val="single" w:sz="4" w:space="0" w:color="auto"/>
            </w:tcBorders>
            <w:shd w:val="clear" w:color="000000" w:fill="FFFFFF"/>
            <w:hideMark/>
          </w:tcPr>
          <w:p w14:paraId="2EC1EC8C"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42,9</w:t>
            </w:r>
          </w:p>
        </w:tc>
      </w:tr>
      <w:tr w:rsidR="005E7572" w:rsidRPr="005E7572" w14:paraId="4FAAF195"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6F542C9F"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Švedska</w:t>
            </w:r>
          </w:p>
        </w:tc>
        <w:tc>
          <w:tcPr>
            <w:tcW w:w="1360" w:type="dxa"/>
            <w:tcBorders>
              <w:top w:val="nil"/>
              <w:left w:val="single" w:sz="4" w:space="0" w:color="auto"/>
              <w:bottom w:val="nil"/>
              <w:right w:val="single" w:sz="4" w:space="0" w:color="auto"/>
            </w:tcBorders>
            <w:shd w:val="clear" w:color="000000" w:fill="BDD7EE"/>
            <w:hideMark/>
          </w:tcPr>
          <w:p w14:paraId="0B40CAA6"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42,7</w:t>
            </w:r>
          </w:p>
        </w:tc>
      </w:tr>
      <w:tr w:rsidR="005E7572" w:rsidRPr="005E7572" w14:paraId="2FAEBD3A"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6C02D291"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Letonija</w:t>
            </w:r>
          </w:p>
        </w:tc>
        <w:tc>
          <w:tcPr>
            <w:tcW w:w="1360" w:type="dxa"/>
            <w:tcBorders>
              <w:top w:val="nil"/>
              <w:left w:val="single" w:sz="4" w:space="0" w:color="auto"/>
              <w:bottom w:val="nil"/>
              <w:right w:val="single" w:sz="4" w:space="0" w:color="auto"/>
            </w:tcBorders>
            <w:shd w:val="clear" w:color="000000" w:fill="FFFFFF"/>
            <w:hideMark/>
          </w:tcPr>
          <w:p w14:paraId="43550507"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41,8</w:t>
            </w:r>
          </w:p>
        </w:tc>
      </w:tr>
      <w:tr w:rsidR="005E7572" w:rsidRPr="005E7572" w14:paraId="02E1D056"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5D9E322F"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Portugal</w:t>
            </w:r>
          </w:p>
        </w:tc>
        <w:tc>
          <w:tcPr>
            <w:tcW w:w="1360" w:type="dxa"/>
            <w:tcBorders>
              <w:top w:val="nil"/>
              <w:left w:val="single" w:sz="4" w:space="0" w:color="auto"/>
              <w:bottom w:val="nil"/>
              <w:right w:val="single" w:sz="4" w:space="0" w:color="auto"/>
            </w:tcBorders>
            <w:shd w:val="clear" w:color="000000" w:fill="BDD7EE"/>
            <w:hideMark/>
          </w:tcPr>
          <w:p w14:paraId="18F8264B"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41,3</w:t>
            </w:r>
          </w:p>
        </w:tc>
      </w:tr>
      <w:tr w:rsidR="005E7572" w:rsidRPr="005E7572" w14:paraId="271F33DE"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2C02127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Slovačka</w:t>
            </w:r>
          </w:p>
        </w:tc>
        <w:tc>
          <w:tcPr>
            <w:tcW w:w="1360" w:type="dxa"/>
            <w:tcBorders>
              <w:top w:val="nil"/>
              <w:left w:val="single" w:sz="4" w:space="0" w:color="auto"/>
              <w:bottom w:val="nil"/>
              <w:right w:val="single" w:sz="4" w:space="0" w:color="auto"/>
            </w:tcBorders>
            <w:shd w:val="clear" w:color="000000" w:fill="FFFFFF"/>
            <w:hideMark/>
          </w:tcPr>
          <w:p w14:paraId="668C156F"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41,2</w:t>
            </w:r>
          </w:p>
        </w:tc>
      </w:tr>
      <w:tr w:rsidR="005E7572" w:rsidRPr="005E7572" w14:paraId="51828ADC"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73159EBE"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Finska</w:t>
            </w:r>
          </w:p>
        </w:tc>
        <w:tc>
          <w:tcPr>
            <w:tcW w:w="1360" w:type="dxa"/>
            <w:tcBorders>
              <w:top w:val="nil"/>
              <w:left w:val="single" w:sz="4" w:space="0" w:color="auto"/>
              <w:bottom w:val="nil"/>
              <w:right w:val="single" w:sz="4" w:space="0" w:color="auto"/>
            </w:tcBorders>
            <w:shd w:val="clear" w:color="000000" w:fill="BDD7EE"/>
            <w:hideMark/>
          </w:tcPr>
          <w:p w14:paraId="1F77C9B9"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41,2</w:t>
            </w:r>
          </w:p>
        </w:tc>
      </w:tr>
      <w:tr w:rsidR="005E7572" w:rsidRPr="005E7572" w14:paraId="11F07027"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1815ECCC"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Grčka</w:t>
            </w:r>
          </w:p>
        </w:tc>
        <w:tc>
          <w:tcPr>
            <w:tcW w:w="1360" w:type="dxa"/>
            <w:tcBorders>
              <w:top w:val="nil"/>
              <w:left w:val="single" w:sz="4" w:space="0" w:color="auto"/>
              <w:bottom w:val="nil"/>
              <w:right w:val="single" w:sz="4" w:space="0" w:color="auto"/>
            </w:tcBorders>
            <w:shd w:val="clear" w:color="000000" w:fill="FFFFFF"/>
            <w:hideMark/>
          </w:tcPr>
          <w:p w14:paraId="1C29FD8B"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40,1</w:t>
            </w:r>
          </w:p>
        </w:tc>
      </w:tr>
      <w:tr w:rsidR="005E7572" w:rsidRPr="005E7572" w14:paraId="2D15863C"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500B338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Turska</w:t>
            </w:r>
          </w:p>
        </w:tc>
        <w:tc>
          <w:tcPr>
            <w:tcW w:w="1360" w:type="dxa"/>
            <w:tcBorders>
              <w:top w:val="nil"/>
              <w:left w:val="single" w:sz="4" w:space="0" w:color="auto"/>
              <w:bottom w:val="nil"/>
              <w:right w:val="single" w:sz="4" w:space="0" w:color="auto"/>
            </w:tcBorders>
            <w:shd w:val="clear" w:color="000000" w:fill="BDD7EE"/>
            <w:hideMark/>
          </w:tcPr>
          <w:p w14:paraId="58C58894"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39,7</w:t>
            </w:r>
          </w:p>
        </w:tc>
      </w:tr>
      <w:tr w:rsidR="005E7572" w:rsidRPr="005E7572" w14:paraId="1B911EDE"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2DCB77E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Španija</w:t>
            </w:r>
          </w:p>
        </w:tc>
        <w:tc>
          <w:tcPr>
            <w:tcW w:w="1360" w:type="dxa"/>
            <w:tcBorders>
              <w:top w:val="nil"/>
              <w:left w:val="single" w:sz="4" w:space="0" w:color="auto"/>
              <w:bottom w:val="nil"/>
              <w:right w:val="single" w:sz="4" w:space="0" w:color="auto"/>
            </w:tcBorders>
            <w:shd w:val="clear" w:color="000000" w:fill="FFFFFF"/>
            <w:hideMark/>
          </w:tcPr>
          <w:p w14:paraId="71C4878D"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39,3</w:t>
            </w:r>
          </w:p>
        </w:tc>
      </w:tr>
      <w:tr w:rsidR="005E7572" w:rsidRPr="005E7572" w14:paraId="0C2760D0"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2959DAD4"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Luksemburg</w:t>
            </w:r>
          </w:p>
        </w:tc>
        <w:tc>
          <w:tcPr>
            <w:tcW w:w="1360" w:type="dxa"/>
            <w:tcBorders>
              <w:top w:val="nil"/>
              <w:left w:val="single" w:sz="4" w:space="0" w:color="auto"/>
              <w:bottom w:val="nil"/>
              <w:right w:val="single" w:sz="4" w:space="0" w:color="auto"/>
            </w:tcBorders>
            <w:shd w:val="clear" w:color="000000" w:fill="BDD7EE"/>
            <w:hideMark/>
          </w:tcPr>
          <w:p w14:paraId="772CC8FC"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37,5</w:t>
            </w:r>
          </w:p>
        </w:tc>
      </w:tr>
      <w:tr w:rsidR="005E7572" w:rsidRPr="005E7572" w14:paraId="3B2102A3"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5DB9C960"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Litvanija</w:t>
            </w:r>
          </w:p>
        </w:tc>
        <w:tc>
          <w:tcPr>
            <w:tcW w:w="1360" w:type="dxa"/>
            <w:tcBorders>
              <w:top w:val="nil"/>
              <w:left w:val="single" w:sz="4" w:space="0" w:color="auto"/>
              <w:bottom w:val="nil"/>
              <w:right w:val="single" w:sz="4" w:space="0" w:color="auto"/>
            </w:tcBorders>
            <w:shd w:val="clear" w:color="000000" w:fill="FFFFFF"/>
            <w:hideMark/>
          </w:tcPr>
          <w:p w14:paraId="3B6F6275"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36,9</w:t>
            </w:r>
          </w:p>
        </w:tc>
      </w:tr>
      <w:tr w:rsidR="005E7572" w:rsidRPr="005E7572" w14:paraId="74893A6C"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7C6F02C6"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Estonija</w:t>
            </w:r>
          </w:p>
        </w:tc>
        <w:tc>
          <w:tcPr>
            <w:tcW w:w="1360" w:type="dxa"/>
            <w:tcBorders>
              <w:top w:val="nil"/>
              <w:left w:val="single" w:sz="4" w:space="0" w:color="auto"/>
              <w:bottom w:val="nil"/>
              <w:right w:val="single" w:sz="4" w:space="0" w:color="auto"/>
            </w:tcBorders>
            <w:shd w:val="clear" w:color="000000" w:fill="BDD7EE"/>
            <w:hideMark/>
          </w:tcPr>
          <w:p w14:paraId="49CA64C8"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36,9</w:t>
            </w:r>
          </w:p>
        </w:tc>
      </w:tr>
      <w:tr w:rsidR="005E7572" w:rsidRPr="005E7572" w14:paraId="5EE68A04"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4F934568"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Holandija</w:t>
            </w:r>
          </w:p>
        </w:tc>
        <w:tc>
          <w:tcPr>
            <w:tcW w:w="1360" w:type="dxa"/>
            <w:tcBorders>
              <w:top w:val="nil"/>
              <w:left w:val="single" w:sz="4" w:space="0" w:color="auto"/>
              <w:bottom w:val="nil"/>
              <w:right w:val="single" w:sz="4" w:space="0" w:color="auto"/>
            </w:tcBorders>
            <w:shd w:val="clear" w:color="000000" w:fill="FFFFFF"/>
            <w:hideMark/>
          </w:tcPr>
          <w:p w14:paraId="5FDA9081"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36,4</w:t>
            </w:r>
          </w:p>
        </w:tc>
      </w:tr>
      <w:tr w:rsidR="005E7572" w:rsidRPr="005E7572" w14:paraId="1409A3BD"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4D499D89"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Norveška</w:t>
            </w:r>
          </w:p>
        </w:tc>
        <w:tc>
          <w:tcPr>
            <w:tcW w:w="1360" w:type="dxa"/>
            <w:tcBorders>
              <w:top w:val="nil"/>
              <w:left w:val="single" w:sz="4" w:space="0" w:color="auto"/>
              <w:bottom w:val="nil"/>
              <w:right w:val="single" w:sz="4" w:space="0" w:color="auto"/>
            </w:tcBorders>
            <w:shd w:val="clear" w:color="000000" w:fill="BDD7EE"/>
            <w:hideMark/>
          </w:tcPr>
          <w:p w14:paraId="1C2D61B2"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35,8</w:t>
            </w:r>
          </w:p>
        </w:tc>
      </w:tr>
      <w:tr w:rsidR="005E7572" w:rsidRPr="005E7572" w14:paraId="1408FF26"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50DB345E"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Danska</w:t>
            </w:r>
          </w:p>
        </w:tc>
        <w:tc>
          <w:tcPr>
            <w:tcW w:w="1360" w:type="dxa"/>
            <w:tcBorders>
              <w:top w:val="nil"/>
              <w:left w:val="single" w:sz="4" w:space="0" w:color="auto"/>
              <w:bottom w:val="nil"/>
              <w:right w:val="single" w:sz="4" w:space="0" w:color="auto"/>
            </w:tcBorders>
            <w:shd w:val="clear" w:color="000000" w:fill="FFFFFF"/>
            <w:hideMark/>
          </w:tcPr>
          <w:p w14:paraId="0474E886"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35,2</w:t>
            </w:r>
          </w:p>
        </w:tc>
      </w:tr>
      <w:tr w:rsidR="005E7572" w:rsidRPr="005E7572" w14:paraId="1346AE5B" w14:textId="77777777" w:rsidTr="00535046">
        <w:trPr>
          <w:trHeight w:val="255"/>
          <w:jc w:val="center"/>
        </w:trPr>
        <w:tc>
          <w:tcPr>
            <w:tcW w:w="1706" w:type="dxa"/>
            <w:tcBorders>
              <w:top w:val="nil"/>
              <w:left w:val="single" w:sz="4" w:space="0" w:color="auto"/>
              <w:right w:val="single" w:sz="4" w:space="0" w:color="auto"/>
            </w:tcBorders>
            <w:shd w:val="clear" w:color="000000" w:fill="BDD7EE"/>
            <w:hideMark/>
          </w:tcPr>
          <w:p w14:paraId="38311D90"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Poljska</w:t>
            </w:r>
          </w:p>
        </w:tc>
        <w:tc>
          <w:tcPr>
            <w:tcW w:w="1360" w:type="dxa"/>
            <w:tcBorders>
              <w:top w:val="nil"/>
              <w:left w:val="single" w:sz="4" w:space="0" w:color="auto"/>
              <w:right w:val="single" w:sz="4" w:space="0" w:color="auto"/>
            </w:tcBorders>
            <w:shd w:val="clear" w:color="000000" w:fill="BDD7EE"/>
            <w:hideMark/>
          </w:tcPr>
          <w:p w14:paraId="4F47DF19"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34,8</w:t>
            </w:r>
          </w:p>
        </w:tc>
      </w:tr>
      <w:tr w:rsidR="005E7572" w:rsidRPr="005E7572" w14:paraId="1F37B918" w14:textId="77777777" w:rsidTr="00535046">
        <w:trPr>
          <w:trHeight w:val="255"/>
          <w:jc w:val="center"/>
        </w:trPr>
        <w:tc>
          <w:tcPr>
            <w:tcW w:w="1706" w:type="dxa"/>
            <w:tcBorders>
              <w:top w:val="nil"/>
              <w:left w:val="single" w:sz="4" w:space="0" w:color="auto"/>
              <w:right w:val="single" w:sz="4" w:space="0" w:color="auto"/>
            </w:tcBorders>
            <w:shd w:val="clear" w:color="000000" w:fill="FFFFFF"/>
            <w:hideMark/>
          </w:tcPr>
          <w:p w14:paraId="199B9E98"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Japan</w:t>
            </w:r>
          </w:p>
        </w:tc>
        <w:tc>
          <w:tcPr>
            <w:tcW w:w="1360" w:type="dxa"/>
            <w:tcBorders>
              <w:top w:val="nil"/>
              <w:left w:val="single" w:sz="4" w:space="0" w:color="auto"/>
              <w:right w:val="single" w:sz="4" w:space="0" w:color="auto"/>
            </w:tcBorders>
            <w:shd w:val="clear" w:color="000000" w:fill="FFFFFF"/>
            <w:hideMark/>
          </w:tcPr>
          <w:p w14:paraId="021FF647"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32,7</w:t>
            </w:r>
          </w:p>
        </w:tc>
      </w:tr>
      <w:tr w:rsidR="005E7572" w:rsidRPr="005E7572" w14:paraId="47672096" w14:textId="77777777" w:rsidTr="00535046">
        <w:trPr>
          <w:trHeight w:val="255"/>
          <w:jc w:val="center"/>
        </w:trPr>
        <w:tc>
          <w:tcPr>
            <w:tcW w:w="1706" w:type="dxa"/>
            <w:tcBorders>
              <w:left w:val="single" w:sz="4" w:space="0" w:color="auto"/>
              <w:bottom w:val="nil"/>
              <w:right w:val="single" w:sz="4" w:space="0" w:color="auto"/>
            </w:tcBorders>
            <w:shd w:val="clear" w:color="000000" w:fill="BDD7EE"/>
            <w:hideMark/>
          </w:tcPr>
          <w:p w14:paraId="37C48325"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Irska</w:t>
            </w:r>
          </w:p>
        </w:tc>
        <w:tc>
          <w:tcPr>
            <w:tcW w:w="1360" w:type="dxa"/>
            <w:tcBorders>
              <w:left w:val="single" w:sz="4" w:space="0" w:color="auto"/>
              <w:bottom w:val="nil"/>
              <w:right w:val="single" w:sz="4" w:space="0" w:color="auto"/>
            </w:tcBorders>
            <w:shd w:val="clear" w:color="000000" w:fill="BDD7EE"/>
            <w:hideMark/>
          </w:tcPr>
          <w:p w14:paraId="08E8007B"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32,3</w:t>
            </w:r>
          </w:p>
        </w:tc>
      </w:tr>
      <w:tr w:rsidR="005E7572" w:rsidRPr="005E7572" w14:paraId="1C695A25"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5A59F348"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Island</w:t>
            </w:r>
          </w:p>
        </w:tc>
        <w:tc>
          <w:tcPr>
            <w:tcW w:w="1360" w:type="dxa"/>
            <w:tcBorders>
              <w:top w:val="nil"/>
              <w:left w:val="single" w:sz="4" w:space="0" w:color="auto"/>
              <w:bottom w:val="nil"/>
              <w:right w:val="single" w:sz="4" w:space="0" w:color="auto"/>
            </w:tcBorders>
            <w:shd w:val="clear" w:color="000000" w:fill="FFFFFF"/>
            <w:hideMark/>
          </w:tcPr>
          <w:p w14:paraId="47D6F45C"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32,3</w:t>
            </w:r>
          </w:p>
        </w:tc>
      </w:tr>
      <w:tr w:rsidR="005E7572" w:rsidRPr="005E7572" w14:paraId="433FEB02"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10B4066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Velika Britanija</w:t>
            </w:r>
          </w:p>
        </w:tc>
        <w:tc>
          <w:tcPr>
            <w:tcW w:w="1360" w:type="dxa"/>
            <w:tcBorders>
              <w:top w:val="nil"/>
              <w:left w:val="single" w:sz="4" w:space="0" w:color="auto"/>
              <w:bottom w:val="nil"/>
              <w:right w:val="single" w:sz="4" w:space="0" w:color="auto"/>
            </w:tcBorders>
            <w:shd w:val="clear" w:color="000000" w:fill="BDD7EE"/>
            <w:hideMark/>
          </w:tcPr>
          <w:p w14:paraId="656733ED"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30,8</w:t>
            </w:r>
          </w:p>
        </w:tc>
      </w:tr>
      <w:tr w:rsidR="005E7572" w:rsidRPr="005E7572" w14:paraId="0E3D94B7"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06277263"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Kanada</w:t>
            </w:r>
          </w:p>
        </w:tc>
        <w:tc>
          <w:tcPr>
            <w:tcW w:w="1360" w:type="dxa"/>
            <w:tcBorders>
              <w:top w:val="nil"/>
              <w:left w:val="single" w:sz="4" w:space="0" w:color="auto"/>
              <w:bottom w:val="nil"/>
              <w:right w:val="single" w:sz="4" w:space="0" w:color="auto"/>
            </w:tcBorders>
            <w:shd w:val="clear" w:color="000000" w:fill="FFFFFF"/>
            <w:hideMark/>
          </w:tcPr>
          <w:p w14:paraId="325BFE75"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30,4</w:t>
            </w:r>
          </w:p>
        </w:tc>
      </w:tr>
      <w:tr w:rsidR="005E7572" w:rsidRPr="005E7572" w14:paraId="49543045"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6B7EEB86"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Australija</w:t>
            </w:r>
          </w:p>
        </w:tc>
        <w:tc>
          <w:tcPr>
            <w:tcW w:w="1360" w:type="dxa"/>
            <w:tcBorders>
              <w:top w:val="nil"/>
              <w:left w:val="single" w:sz="4" w:space="0" w:color="auto"/>
              <w:bottom w:val="nil"/>
              <w:right w:val="single" w:sz="4" w:space="0" w:color="auto"/>
            </w:tcBorders>
            <w:shd w:val="clear" w:color="000000" w:fill="BDD7EE"/>
            <w:hideMark/>
          </w:tcPr>
          <w:p w14:paraId="7F1E529C"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28,4</w:t>
            </w:r>
          </w:p>
        </w:tc>
      </w:tr>
      <w:tr w:rsidR="005E7572" w:rsidRPr="005E7572" w14:paraId="38AE0A77"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3DCC9BD0"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USA</w:t>
            </w:r>
          </w:p>
        </w:tc>
        <w:tc>
          <w:tcPr>
            <w:tcW w:w="1360" w:type="dxa"/>
            <w:tcBorders>
              <w:top w:val="nil"/>
              <w:left w:val="single" w:sz="4" w:space="0" w:color="auto"/>
              <w:bottom w:val="nil"/>
              <w:right w:val="single" w:sz="4" w:space="0" w:color="auto"/>
            </w:tcBorders>
            <w:shd w:val="clear" w:color="000000" w:fill="FFFFFF"/>
            <w:hideMark/>
          </w:tcPr>
          <w:p w14:paraId="6D823EBF"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28,3</w:t>
            </w:r>
          </w:p>
        </w:tc>
      </w:tr>
      <w:tr w:rsidR="005E7572" w:rsidRPr="005E7572" w14:paraId="52C3F00A"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07D4526C"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Koreja</w:t>
            </w:r>
          </w:p>
        </w:tc>
        <w:tc>
          <w:tcPr>
            <w:tcW w:w="1360" w:type="dxa"/>
            <w:tcBorders>
              <w:top w:val="nil"/>
              <w:left w:val="single" w:sz="4" w:space="0" w:color="auto"/>
              <w:bottom w:val="nil"/>
              <w:right w:val="single" w:sz="4" w:space="0" w:color="auto"/>
            </w:tcBorders>
            <w:shd w:val="clear" w:color="000000" w:fill="BDD7EE"/>
            <w:hideMark/>
          </w:tcPr>
          <w:p w14:paraId="776AAEE1"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23,3</w:t>
            </w:r>
          </w:p>
        </w:tc>
      </w:tr>
      <w:tr w:rsidR="005E7572" w:rsidRPr="005E7572" w14:paraId="3A2758E0"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41DC84A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Izrael</w:t>
            </w:r>
          </w:p>
        </w:tc>
        <w:tc>
          <w:tcPr>
            <w:tcW w:w="1360" w:type="dxa"/>
            <w:tcBorders>
              <w:top w:val="nil"/>
              <w:left w:val="single" w:sz="4" w:space="0" w:color="auto"/>
              <w:bottom w:val="nil"/>
              <w:right w:val="single" w:sz="4" w:space="0" w:color="auto"/>
            </w:tcBorders>
            <w:shd w:val="clear" w:color="000000" w:fill="FFFFFF"/>
            <w:hideMark/>
          </w:tcPr>
          <w:p w14:paraId="43DAC0E8"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22,4</w:t>
            </w:r>
          </w:p>
        </w:tc>
      </w:tr>
      <w:tr w:rsidR="005E7572" w:rsidRPr="005E7572" w14:paraId="5B295C03"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128965F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Švajcarska</w:t>
            </w:r>
          </w:p>
        </w:tc>
        <w:tc>
          <w:tcPr>
            <w:tcW w:w="1360" w:type="dxa"/>
            <w:tcBorders>
              <w:top w:val="nil"/>
              <w:left w:val="single" w:sz="4" w:space="0" w:color="auto"/>
              <w:bottom w:val="nil"/>
              <w:right w:val="single" w:sz="4" w:space="0" w:color="auto"/>
            </w:tcBorders>
            <w:shd w:val="clear" w:color="000000" w:fill="BDD7EE"/>
            <w:hideMark/>
          </w:tcPr>
          <w:p w14:paraId="3C1A61DE"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22,1</w:t>
            </w:r>
          </w:p>
        </w:tc>
      </w:tr>
      <w:tr w:rsidR="005E7572" w:rsidRPr="005E7572" w14:paraId="4892DE76"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5CBBBB2D"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Meksiko</w:t>
            </w:r>
          </w:p>
        </w:tc>
        <w:tc>
          <w:tcPr>
            <w:tcW w:w="1360" w:type="dxa"/>
            <w:tcBorders>
              <w:top w:val="nil"/>
              <w:left w:val="single" w:sz="4" w:space="0" w:color="auto"/>
              <w:bottom w:val="nil"/>
              <w:right w:val="single" w:sz="4" w:space="0" w:color="auto"/>
            </w:tcBorders>
            <w:shd w:val="clear" w:color="000000" w:fill="FFFFFF"/>
            <w:hideMark/>
          </w:tcPr>
          <w:p w14:paraId="29089041"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20,2</w:t>
            </w:r>
          </w:p>
        </w:tc>
      </w:tr>
      <w:tr w:rsidR="005E7572" w:rsidRPr="005E7572" w14:paraId="2EB4C889"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456D2E55"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Novi Zeland</w:t>
            </w:r>
          </w:p>
        </w:tc>
        <w:tc>
          <w:tcPr>
            <w:tcW w:w="1360" w:type="dxa"/>
            <w:tcBorders>
              <w:top w:val="nil"/>
              <w:left w:val="single" w:sz="4" w:space="0" w:color="auto"/>
              <w:bottom w:val="nil"/>
              <w:right w:val="single" w:sz="4" w:space="0" w:color="auto"/>
            </w:tcBorders>
            <w:shd w:val="clear" w:color="000000" w:fill="BDD7EE"/>
            <w:hideMark/>
          </w:tcPr>
          <w:p w14:paraId="08974813"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19,1</w:t>
            </w:r>
          </w:p>
        </w:tc>
      </w:tr>
      <w:tr w:rsidR="005E7572" w:rsidRPr="005E7572" w14:paraId="1BC3D00B" w14:textId="77777777" w:rsidTr="00361E20">
        <w:trPr>
          <w:trHeight w:val="255"/>
          <w:jc w:val="center"/>
        </w:trPr>
        <w:tc>
          <w:tcPr>
            <w:tcW w:w="1706" w:type="dxa"/>
            <w:tcBorders>
              <w:top w:val="nil"/>
              <w:left w:val="single" w:sz="4" w:space="0" w:color="auto"/>
              <w:bottom w:val="nil"/>
              <w:right w:val="single" w:sz="4" w:space="0" w:color="auto"/>
            </w:tcBorders>
            <w:shd w:val="clear" w:color="000000" w:fill="FFFFFF"/>
            <w:hideMark/>
          </w:tcPr>
          <w:p w14:paraId="687DFC1F"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Čile</w:t>
            </w:r>
          </w:p>
        </w:tc>
        <w:tc>
          <w:tcPr>
            <w:tcW w:w="1360" w:type="dxa"/>
            <w:tcBorders>
              <w:top w:val="nil"/>
              <w:left w:val="single" w:sz="4" w:space="0" w:color="auto"/>
              <w:bottom w:val="nil"/>
              <w:right w:val="single" w:sz="4" w:space="0" w:color="auto"/>
            </w:tcBorders>
            <w:shd w:val="clear" w:color="000000" w:fill="FFFFFF"/>
            <w:hideMark/>
          </w:tcPr>
          <w:p w14:paraId="443E0E9F"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7,0</w:t>
            </w:r>
          </w:p>
        </w:tc>
      </w:tr>
      <w:tr w:rsidR="005E7572" w:rsidRPr="005E7572" w14:paraId="653A5F44" w14:textId="77777777" w:rsidTr="00361E20">
        <w:trPr>
          <w:trHeight w:val="255"/>
          <w:jc w:val="center"/>
        </w:trPr>
        <w:tc>
          <w:tcPr>
            <w:tcW w:w="1706" w:type="dxa"/>
            <w:tcBorders>
              <w:top w:val="nil"/>
              <w:left w:val="single" w:sz="4" w:space="0" w:color="auto"/>
              <w:bottom w:val="nil"/>
              <w:right w:val="single" w:sz="4" w:space="0" w:color="auto"/>
            </w:tcBorders>
            <w:shd w:val="clear" w:color="000000" w:fill="BDD7EE"/>
            <w:hideMark/>
          </w:tcPr>
          <w:p w14:paraId="4210E726"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Pr>
                <w:rFonts w:ascii="Cambria" w:eastAsia="Times New Roman" w:hAnsi="Cambria" w:cs="Arial"/>
                <w:sz w:val="18"/>
                <w:szCs w:val="18"/>
                <w:lang w:val="sr-Latn-ME" w:eastAsia="sr-Latn-ME"/>
              </w:rPr>
              <w:t>Kolumbija</w:t>
            </w:r>
          </w:p>
        </w:tc>
        <w:tc>
          <w:tcPr>
            <w:tcW w:w="1360" w:type="dxa"/>
            <w:tcBorders>
              <w:top w:val="nil"/>
              <w:left w:val="single" w:sz="4" w:space="0" w:color="auto"/>
              <w:bottom w:val="nil"/>
              <w:right w:val="single" w:sz="4" w:space="0" w:color="auto"/>
            </w:tcBorders>
            <w:shd w:val="clear" w:color="000000" w:fill="BDD7EE"/>
            <w:hideMark/>
          </w:tcPr>
          <w:p w14:paraId="1D807CA4"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0,0</w:t>
            </w:r>
          </w:p>
        </w:tc>
      </w:tr>
      <w:tr w:rsidR="005E7572" w:rsidRPr="005E7572" w14:paraId="1754DBED" w14:textId="77777777" w:rsidTr="00361E20">
        <w:trPr>
          <w:trHeight w:val="255"/>
          <w:jc w:val="center"/>
        </w:trPr>
        <w:tc>
          <w:tcPr>
            <w:tcW w:w="1706" w:type="dxa"/>
            <w:tcBorders>
              <w:top w:val="nil"/>
              <w:left w:val="single" w:sz="4" w:space="0" w:color="auto"/>
              <w:bottom w:val="single" w:sz="4" w:space="0" w:color="auto"/>
              <w:right w:val="single" w:sz="4" w:space="0" w:color="auto"/>
            </w:tcBorders>
            <w:shd w:val="clear" w:color="000000" w:fill="FFFFFF"/>
            <w:hideMark/>
          </w:tcPr>
          <w:p w14:paraId="0B659CAE" w14:textId="77777777" w:rsidR="005E7572" w:rsidRPr="005E7572" w:rsidRDefault="005E7572" w:rsidP="005E7572">
            <w:pPr>
              <w:spacing w:after="0" w:line="240" w:lineRule="auto"/>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OECD prosjek</w:t>
            </w:r>
          </w:p>
        </w:tc>
        <w:tc>
          <w:tcPr>
            <w:tcW w:w="1360" w:type="dxa"/>
            <w:tcBorders>
              <w:top w:val="nil"/>
              <w:left w:val="single" w:sz="4" w:space="0" w:color="auto"/>
              <w:bottom w:val="single" w:sz="4" w:space="0" w:color="auto"/>
              <w:right w:val="single" w:sz="4" w:space="0" w:color="auto"/>
            </w:tcBorders>
            <w:shd w:val="clear" w:color="000000" w:fill="FFFFFF"/>
            <w:hideMark/>
          </w:tcPr>
          <w:p w14:paraId="5438850B" w14:textId="77777777" w:rsidR="005E7572" w:rsidRPr="005E7572" w:rsidRDefault="005E7572" w:rsidP="005E7572">
            <w:pPr>
              <w:spacing w:after="0" w:line="240" w:lineRule="auto"/>
              <w:jc w:val="right"/>
              <w:rPr>
                <w:rFonts w:ascii="Cambria" w:eastAsia="Times New Roman" w:hAnsi="Cambria" w:cs="Arial"/>
                <w:sz w:val="18"/>
                <w:szCs w:val="18"/>
                <w:lang w:val="sr-Latn-ME" w:eastAsia="sr-Latn-ME"/>
              </w:rPr>
            </w:pPr>
            <w:r w:rsidRPr="005E7572">
              <w:rPr>
                <w:rFonts w:ascii="Cambria" w:eastAsia="Times New Roman" w:hAnsi="Cambria" w:cs="Arial"/>
                <w:sz w:val="18"/>
                <w:szCs w:val="18"/>
                <w:lang w:val="sr-Latn-ME" w:eastAsia="sr-Latn-ME"/>
              </w:rPr>
              <w:t>34,6</w:t>
            </w:r>
          </w:p>
        </w:tc>
      </w:tr>
    </w:tbl>
    <w:p w14:paraId="2D85E046" w14:textId="00BE2CA0" w:rsidR="00343204" w:rsidRDefault="005E7572" w:rsidP="006778A3">
      <w:pPr>
        <w:jc w:val="both"/>
        <w:rPr>
          <w:rFonts w:ascii="Cambria" w:hAnsi="Cambria"/>
          <w:i/>
          <w:iCs/>
          <w:color w:val="335B74" w:themeColor="text2"/>
          <w:sz w:val="20"/>
          <w:szCs w:val="20"/>
          <w:lang w:val="sr-Latn-RS"/>
        </w:rPr>
      </w:pPr>
      <w:r w:rsidRPr="005E7572">
        <w:rPr>
          <w:rFonts w:ascii="Cambria" w:hAnsi="Cambria"/>
          <w:i/>
          <w:iCs/>
          <w:color w:val="335B74" w:themeColor="text2"/>
          <w:sz w:val="20"/>
          <w:szCs w:val="20"/>
          <w:lang w:val="sr-Latn-RS"/>
        </w:rPr>
        <w:t>Izvor: OECD</w:t>
      </w:r>
    </w:p>
    <w:p w14:paraId="1AC29E97" w14:textId="3CB7E289" w:rsidR="006A1F74" w:rsidRDefault="006A1F74" w:rsidP="006778A3">
      <w:pPr>
        <w:jc w:val="both"/>
        <w:rPr>
          <w:rFonts w:ascii="Cambria" w:hAnsi="Cambria"/>
          <w:i/>
          <w:iCs/>
          <w:color w:val="335B74" w:themeColor="text2"/>
          <w:sz w:val="20"/>
          <w:szCs w:val="20"/>
          <w:lang w:val="sr-Latn-RS"/>
        </w:rPr>
      </w:pPr>
    </w:p>
    <w:p w14:paraId="757A6F64" w14:textId="77777777" w:rsidR="006A1F74" w:rsidRPr="005E7572" w:rsidRDefault="006A1F74" w:rsidP="006778A3">
      <w:pPr>
        <w:jc w:val="both"/>
        <w:rPr>
          <w:rFonts w:ascii="Cambria" w:hAnsi="Cambria"/>
          <w:i/>
          <w:iCs/>
          <w:color w:val="335B74" w:themeColor="text2"/>
          <w:sz w:val="20"/>
          <w:szCs w:val="20"/>
          <w:lang w:val="sr-Latn-RS"/>
        </w:rPr>
      </w:pPr>
    </w:p>
    <w:p w14:paraId="4A1851A4" w14:textId="2A855DE6" w:rsidR="006E6509" w:rsidRPr="004E5CDC" w:rsidRDefault="00906226" w:rsidP="006778A3">
      <w:pPr>
        <w:jc w:val="both"/>
        <w:rPr>
          <w:rFonts w:ascii="Cambria" w:hAnsi="Cambria"/>
          <w:sz w:val="24"/>
          <w:szCs w:val="24"/>
          <w:lang w:val="sr-Latn-RS"/>
        </w:rPr>
      </w:pPr>
      <w:r w:rsidRPr="004E5CDC">
        <w:rPr>
          <w:rFonts w:ascii="Cambria" w:hAnsi="Cambria"/>
          <w:sz w:val="24"/>
          <w:szCs w:val="24"/>
          <w:lang w:val="sr-Latn-RS"/>
        </w:rPr>
        <w:lastRenderedPageBreak/>
        <w:t xml:space="preserve">Dakle, ukupno </w:t>
      </w:r>
      <w:r w:rsidR="00907702" w:rsidRPr="004E5CDC">
        <w:rPr>
          <w:rFonts w:ascii="Cambria" w:hAnsi="Cambria"/>
          <w:sz w:val="24"/>
          <w:szCs w:val="24"/>
          <w:lang w:val="sr-Latn-RS"/>
        </w:rPr>
        <w:t xml:space="preserve">poresko opterećenje zarada, poreski klin, u Crnoj Gori </w:t>
      </w:r>
      <w:r w:rsidR="00596351" w:rsidRPr="004E5CDC">
        <w:rPr>
          <w:rFonts w:ascii="Cambria" w:hAnsi="Cambria"/>
          <w:sz w:val="24"/>
          <w:szCs w:val="24"/>
          <w:lang w:val="sr-Latn-RS"/>
        </w:rPr>
        <w:t xml:space="preserve">trenutno </w:t>
      </w:r>
      <w:r w:rsidR="00432B8F" w:rsidRPr="004E5CDC">
        <w:rPr>
          <w:rFonts w:ascii="Cambria" w:hAnsi="Cambria"/>
          <w:sz w:val="24"/>
          <w:szCs w:val="24"/>
          <w:lang w:val="sr-Latn-RS"/>
        </w:rPr>
        <w:t>iznosi 39,0%. Posmatrajući</w:t>
      </w:r>
      <w:r w:rsidR="00E7363E" w:rsidRPr="004E5CDC">
        <w:rPr>
          <w:rFonts w:ascii="Cambria" w:hAnsi="Cambria"/>
          <w:sz w:val="24"/>
          <w:szCs w:val="24"/>
          <w:lang w:val="sr-Latn-RS"/>
        </w:rPr>
        <w:t xml:space="preserve"> po strukturi</w:t>
      </w:r>
      <w:r w:rsidR="005141C3" w:rsidRPr="004E5CDC">
        <w:rPr>
          <w:rFonts w:ascii="Cambria" w:hAnsi="Cambria"/>
          <w:sz w:val="24"/>
          <w:szCs w:val="24"/>
          <w:lang w:val="sr-Latn-RS"/>
        </w:rPr>
        <w:t>,</w:t>
      </w:r>
      <w:r w:rsidR="00E7363E" w:rsidRPr="004E5CDC">
        <w:rPr>
          <w:rFonts w:ascii="Cambria" w:hAnsi="Cambria"/>
          <w:sz w:val="24"/>
          <w:szCs w:val="24"/>
          <w:lang w:val="sr-Latn-RS"/>
        </w:rPr>
        <w:t xml:space="preserve"> u</w:t>
      </w:r>
      <w:r w:rsidR="00907702" w:rsidRPr="004E5CDC">
        <w:rPr>
          <w:rFonts w:ascii="Cambria" w:hAnsi="Cambria"/>
          <w:sz w:val="24"/>
          <w:szCs w:val="24"/>
          <w:lang w:val="sr-Latn-RS"/>
        </w:rPr>
        <w:t xml:space="preserve">češće poreza i prireza u ukupnim troškovima rada </w:t>
      </w:r>
      <w:r w:rsidR="005141C3" w:rsidRPr="004E5CDC">
        <w:rPr>
          <w:rFonts w:ascii="Cambria" w:hAnsi="Cambria"/>
          <w:sz w:val="24"/>
          <w:szCs w:val="24"/>
          <w:lang w:val="sr-Latn-RS"/>
        </w:rPr>
        <w:t xml:space="preserve">iznosi </w:t>
      </w:r>
      <w:r w:rsidR="00907702" w:rsidRPr="004E5CDC">
        <w:rPr>
          <w:rFonts w:ascii="Cambria" w:hAnsi="Cambria"/>
          <w:sz w:val="24"/>
          <w:szCs w:val="24"/>
          <w:lang w:val="sr-Latn-RS"/>
        </w:rPr>
        <w:t>9,4%, doprinosa 29,6%, dok je učešće neto zarade 61%. R</w:t>
      </w:r>
      <w:r w:rsidR="00E7363E" w:rsidRPr="004E5CDC">
        <w:rPr>
          <w:rFonts w:ascii="Cambria" w:hAnsi="Cambria"/>
          <w:sz w:val="24"/>
          <w:szCs w:val="24"/>
          <w:lang w:val="sr-Latn-RS"/>
        </w:rPr>
        <w:t xml:space="preserve">aspodjela unutar poreskog klina </w:t>
      </w:r>
      <w:r w:rsidR="00907702" w:rsidRPr="004E5CDC">
        <w:rPr>
          <w:rFonts w:ascii="Cambria" w:hAnsi="Cambria"/>
          <w:sz w:val="24"/>
          <w:szCs w:val="24"/>
          <w:lang w:val="sr-Latn-RS"/>
        </w:rPr>
        <w:t>je 75,38% (doprinosi za obavezno socijalno osiguranje), 24,15% (porez i prirez) i 0,47% (Fond rada).</w:t>
      </w:r>
    </w:p>
    <w:p w14:paraId="1E7CDDCB" w14:textId="77777777" w:rsidR="000E561C" w:rsidRPr="004E5CDC" w:rsidRDefault="000E561C" w:rsidP="000E561C">
      <w:pPr>
        <w:pStyle w:val="Caption"/>
        <w:keepNext/>
        <w:jc w:val="both"/>
        <w:rPr>
          <w:rFonts w:ascii="Cambria" w:hAnsi="Cambria"/>
          <w:sz w:val="20"/>
          <w:szCs w:val="20"/>
          <w:lang w:val="sr-Latn-RS"/>
        </w:rPr>
      </w:pPr>
      <w:r w:rsidRPr="004E5CDC">
        <w:rPr>
          <w:rFonts w:ascii="Cambria" w:hAnsi="Cambria"/>
          <w:sz w:val="20"/>
          <w:szCs w:val="20"/>
          <w:lang w:val="sr-Latn-RS"/>
        </w:rPr>
        <w:t xml:space="preserve">Tabela </w:t>
      </w:r>
      <w:r w:rsidR="000C73C4" w:rsidRPr="004E5CDC">
        <w:rPr>
          <w:rFonts w:ascii="Cambria" w:hAnsi="Cambria"/>
          <w:sz w:val="20"/>
          <w:szCs w:val="20"/>
          <w:lang w:val="sr-Latn-RS"/>
        </w:rPr>
        <w:fldChar w:fldCharType="begin"/>
      </w:r>
      <w:r w:rsidR="000C73C4" w:rsidRPr="004E5CDC">
        <w:rPr>
          <w:rFonts w:ascii="Cambria" w:hAnsi="Cambria"/>
          <w:sz w:val="20"/>
          <w:szCs w:val="20"/>
          <w:lang w:val="sr-Latn-RS"/>
        </w:rPr>
        <w:instrText xml:space="preserve"> SEQ Tabela \* ARABIC </w:instrText>
      </w:r>
      <w:r w:rsidR="000C73C4" w:rsidRPr="004E5CDC">
        <w:rPr>
          <w:rFonts w:ascii="Cambria" w:hAnsi="Cambria"/>
          <w:sz w:val="20"/>
          <w:szCs w:val="20"/>
          <w:lang w:val="sr-Latn-RS"/>
        </w:rPr>
        <w:fldChar w:fldCharType="separate"/>
      </w:r>
      <w:r w:rsidR="005E7572">
        <w:rPr>
          <w:rFonts w:ascii="Cambria" w:hAnsi="Cambria"/>
          <w:noProof/>
          <w:sz w:val="20"/>
          <w:szCs w:val="20"/>
          <w:lang w:val="sr-Latn-RS"/>
        </w:rPr>
        <w:t>2</w:t>
      </w:r>
      <w:r w:rsidR="000C73C4" w:rsidRPr="004E5CDC">
        <w:rPr>
          <w:rFonts w:ascii="Cambria" w:hAnsi="Cambria"/>
          <w:noProof/>
          <w:sz w:val="20"/>
          <w:szCs w:val="20"/>
          <w:lang w:val="sr-Latn-RS"/>
        </w:rPr>
        <w:fldChar w:fldCharType="end"/>
      </w:r>
      <w:r w:rsidRPr="004E5CDC">
        <w:rPr>
          <w:rFonts w:ascii="Cambria" w:hAnsi="Cambria"/>
          <w:sz w:val="20"/>
          <w:szCs w:val="20"/>
          <w:lang w:val="sr-Latn-RS"/>
        </w:rPr>
        <w:t xml:space="preserve"> Obračun zarada u Crnoj Gori</w:t>
      </w:r>
    </w:p>
    <w:p w14:paraId="37556A05" w14:textId="77777777" w:rsidR="006778A3" w:rsidRPr="004E5CDC" w:rsidRDefault="0031203F" w:rsidP="006778A3">
      <w:pPr>
        <w:jc w:val="both"/>
        <w:rPr>
          <w:rFonts w:ascii="Cambria" w:hAnsi="Cambria"/>
          <w:sz w:val="24"/>
          <w:szCs w:val="24"/>
          <w:lang w:val="sr-Latn-RS"/>
        </w:rPr>
      </w:pPr>
      <w:r w:rsidRPr="004E5CDC">
        <w:rPr>
          <w:rFonts w:ascii="Cambria" w:hAnsi="Cambria"/>
          <w:noProof/>
          <w:sz w:val="24"/>
          <w:szCs w:val="24"/>
          <w:lang w:val="en-US"/>
        </w:rPr>
        <w:drawing>
          <wp:inline distT="0" distB="0" distL="0" distR="0" wp14:anchorId="77F0C90C" wp14:editId="6B5DBBAE">
            <wp:extent cx="5838825" cy="3576340"/>
            <wp:effectExtent l="0" t="0" r="0" b="5080"/>
            <wp:docPr id="1" name="Picture 1" descr="C:\Users\branko.krvavac\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ko.krvavac\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424" cy="3581607"/>
                    </a:xfrm>
                    <a:prstGeom prst="rect">
                      <a:avLst/>
                    </a:prstGeom>
                    <a:noFill/>
                    <a:ln>
                      <a:noFill/>
                    </a:ln>
                  </pic:spPr>
                </pic:pic>
              </a:graphicData>
            </a:graphic>
          </wp:inline>
        </w:drawing>
      </w:r>
      <w:bookmarkStart w:id="3" w:name="_GoBack"/>
      <w:bookmarkEnd w:id="3"/>
    </w:p>
    <w:p w14:paraId="62D12146" w14:textId="5B2BBD95" w:rsidR="00272157" w:rsidRDefault="00272157" w:rsidP="0031203F">
      <w:pPr>
        <w:jc w:val="both"/>
        <w:rPr>
          <w:rFonts w:ascii="Cambria" w:hAnsi="Cambria"/>
          <w:sz w:val="24"/>
          <w:szCs w:val="24"/>
          <w:lang w:val="sr-Latn-RS"/>
        </w:rPr>
      </w:pPr>
      <w:r w:rsidRPr="004E5CDC">
        <w:rPr>
          <w:rFonts w:ascii="Cambria" w:hAnsi="Cambria"/>
          <w:sz w:val="24"/>
          <w:szCs w:val="24"/>
          <w:lang w:val="sr-Latn-RS"/>
        </w:rPr>
        <w:t>Poreske stope koje se primjenjuju prilikom obračuna poreza na lični dohodak i doprinosa za obavezno socijalno osiguranje, razlikuju se među zemljama regiona.</w:t>
      </w:r>
    </w:p>
    <w:p w14:paraId="36AEEE20" w14:textId="57468F08" w:rsidR="00455017" w:rsidRPr="00455017" w:rsidRDefault="00455017" w:rsidP="00455017">
      <w:pPr>
        <w:jc w:val="both"/>
        <w:rPr>
          <w:rFonts w:ascii="Cambria" w:hAnsi="Cambria"/>
          <w:sz w:val="24"/>
          <w:szCs w:val="24"/>
          <w:lang w:val="sr-Latn-RS"/>
        </w:rPr>
      </w:pPr>
      <w:r w:rsidRPr="00455017">
        <w:rPr>
          <w:rFonts w:ascii="Cambria" w:hAnsi="Cambria"/>
          <w:sz w:val="24"/>
          <w:szCs w:val="24"/>
          <w:lang w:val="sr-Latn-RS"/>
        </w:rPr>
        <w:t>Usl</w:t>
      </w:r>
      <w:r w:rsidR="00202363">
        <w:rPr>
          <w:rFonts w:ascii="Cambria" w:hAnsi="Cambria"/>
          <w:sz w:val="24"/>
          <w:szCs w:val="24"/>
          <w:lang w:val="sr-Latn-RS"/>
        </w:rPr>
        <w:t>i</w:t>
      </w:r>
      <w:r>
        <w:rPr>
          <w:rFonts w:ascii="Cambria" w:hAnsi="Cambria"/>
          <w:sz w:val="24"/>
          <w:szCs w:val="24"/>
          <w:lang w:val="sr-Latn-RS"/>
        </w:rPr>
        <w:t>j</w:t>
      </w:r>
      <w:r w:rsidRPr="00455017">
        <w:rPr>
          <w:rFonts w:ascii="Cambria" w:hAnsi="Cambria"/>
          <w:sz w:val="24"/>
          <w:szCs w:val="24"/>
          <w:lang w:val="sr-Latn-RS"/>
        </w:rPr>
        <w:t>ed neadekvatnog vođenja fiskalne politike, opterećenje minimalne zarade porezima i doprinosima od 39% predstavlja značajan ograničavajući faktor za njeno povećanje. Nemogućnost poslodavaca da isplate minimalne zarade i obaveze prema državi, ali i nemogućnost države da smanji opterećenje na rad usl</w:t>
      </w:r>
      <w:r w:rsidR="00202363">
        <w:rPr>
          <w:rFonts w:ascii="Cambria" w:hAnsi="Cambria"/>
          <w:sz w:val="24"/>
          <w:szCs w:val="24"/>
          <w:lang w:val="sr-Latn-RS"/>
        </w:rPr>
        <w:t>i</w:t>
      </w:r>
      <w:r>
        <w:rPr>
          <w:rFonts w:ascii="Cambria" w:hAnsi="Cambria"/>
          <w:sz w:val="24"/>
          <w:szCs w:val="24"/>
          <w:lang w:val="sr-Latn-RS"/>
        </w:rPr>
        <w:t>j</w:t>
      </w:r>
      <w:r w:rsidRPr="00455017">
        <w:rPr>
          <w:rFonts w:ascii="Cambria" w:hAnsi="Cambria"/>
          <w:sz w:val="24"/>
          <w:szCs w:val="24"/>
          <w:lang w:val="sr-Latn-RS"/>
        </w:rPr>
        <w:t>ed neracionalne potrošnje i male baze je uslovilo postojanje dugoročne ravnoteže na jednom veoma niskom nivou, uz dugoročno negativne posl</w:t>
      </w:r>
      <w:r w:rsidR="00202363">
        <w:rPr>
          <w:rFonts w:ascii="Cambria" w:hAnsi="Cambria"/>
          <w:sz w:val="24"/>
          <w:szCs w:val="24"/>
          <w:lang w:val="sr-Latn-RS"/>
        </w:rPr>
        <w:t>j</w:t>
      </w:r>
      <w:r w:rsidRPr="00455017">
        <w:rPr>
          <w:rFonts w:ascii="Cambria" w:hAnsi="Cambria"/>
          <w:sz w:val="24"/>
          <w:szCs w:val="24"/>
          <w:lang w:val="sr-Latn-RS"/>
        </w:rPr>
        <w:t xml:space="preserve">edice po zaposlene, stanovništvo, ali i privredu u cjelini. Da bi se ostvarilo uspostavljanje nove ravnoteže, na značajnom većem nivou od prethodnog, potrebno je sprovesti značajno povećanje minimalne </w:t>
      </w:r>
      <w:r w:rsidR="00E50D72">
        <w:rPr>
          <w:rFonts w:ascii="Cambria" w:hAnsi="Cambria"/>
          <w:sz w:val="24"/>
          <w:szCs w:val="24"/>
          <w:lang w:val="sr-Latn-RS"/>
        </w:rPr>
        <w:t>zarade</w:t>
      </w:r>
      <w:r w:rsidRPr="00455017">
        <w:rPr>
          <w:rFonts w:ascii="Cambria" w:hAnsi="Cambria"/>
          <w:sz w:val="24"/>
          <w:szCs w:val="24"/>
          <w:lang w:val="sr-Latn-RS"/>
        </w:rPr>
        <w:t xml:space="preserve">, ali i smanjenje opterećenja na rad kako bi se privrednom ambijentu dodala nova vrijednost. Politike koje bi se bavile samo jednom stranom ovog problema ne bi dale željene rezultate. </w:t>
      </w:r>
    </w:p>
    <w:p w14:paraId="3814E069" w14:textId="6FF20A4E" w:rsidR="00455017" w:rsidRPr="004E5CDC" w:rsidRDefault="00455017" w:rsidP="00455017">
      <w:pPr>
        <w:jc w:val="both"/>
        <w:rPr>
          <w:rFonts w:ascii="Cambria" w:hAnsi="Cambria"/>
          <w:sz w:val="24"/>
          <w:szCs w:val="24"/>
          <w:lang w:val="sr-Latn-RS"/>
        </w:rPr>
      </w:pPr>
      <w:r w:rsidRPr="00455017">
        <w:rPr>
          <w:rFonts w:ascii="Cambria" w:hAnsi="Cambria"/>
          <w:sz w:val="24"/>
          <w:szCs w:val="24"/>
          <w:lang w:val="sr-Latn-RS"/>
        </w:rPr>
        <w:t xml:space="preserve">Uzimajući u obzir privrednu strukturu u Crnoj Gori, izrazitu neravnomjernost u raspodjeli dohotka, višegodišnju nezaposlenost, kao i nisku stopu aktivnosti i zaposlenosti mladih, a u dijelu vođenja dugoročnih strategija upravljanja razvojem države, neophodne su sveobuhvatne reforme koje imaju za cilj promjenu dosadašnjih obrazaca i koje mogu pokrenuti novi privredni ciklus.  </w:t>
      </w:r>
    </w:p>
    <w:p w14:paraId="0BF66402" w14:textId="1B786156" w:rsidR="005621CB" w:rsidRPr="004E5CDC" w:rsidRDefault="005621CB" w:rsidP="005621CB">
      <w:pPr>
        <w:pStyle w:val="Caption"/>
        <w:keepNext/>
        <w:jc w:val="both"/>
        <w:rPr>
          <w:rFonts w:ascii="Cambria" w:hAnsi="Cambria"/>
          <w:sz w:val="20"/>
          <w:szCs w:val="20"/>
          <w:lang w:val="sr-Latn-RS"/>
        </w:rPr>
      </w:pPr>
      <w:r w:rsidRPr="004E5CDC">
        <w:rPr>
          <w:rFonts w:ascii="Cambria" w:hAnsi="Cambria"/>
          <w:sz w:val="20"/>
          <w:szCs w:val="20"/>
          <w:lang w:val="sr-Latn-RS"/>
        </w:rPr>
        <w:lastRenderedPageBreak/>
        <w:t>Grafik 1 Poresko opterećenje rada u zemljama regiona</w:t>
      </w:r>
      <w:r w:rsidR="00C8685A">
        <w:rPr>
          <w:rFonts w:ascii="Cambria" w:hAnsi="Cambria"/>
          <w:sz w:val="20"/>
          <w:szCs w:val="20"/>
          <w:lang w:val="sr-Latn-RS"/>
        </w:rPr>
        <w:t>, na dati nivo zarade</w:t>
      </w:r>
    </w:p>
    <w:p w14:paraId="06675195" w14:textId="05243ADF" w:rsidR="00386FB5" w:rsidRPr="004E5CDC" w:rsidRDefault="0050273F" w:rsidP="00EA4A3A">
      <w:pPr>
        <w:keepNext/>
        <w:jc w:val="center"/>
        <w:rPr>
          <w:rFonts w:ascii="Cambria" w:hAnsi="Cambria"/>
          <w:lang w:val="sr-Latn-RS"/>
        </w:rPr>
      </w:pPr>
      <w:r w:rsidRPr="004E5CDC">
        <w:rPr>
          <w:rFonts w:ascii="Cambria" w:hAnsi="Cambria"/>
          <w:noProof/>
          <w:sz w:val="24"/>
          <w:szCs w:val="24"/>
          <w:lang w:val="en-US"/>
        </w:rPr>
        <w:drawing>
          <wp:inline distT="0" distB="0" distL="0" distR="0" wp14:anchorId="59F33C66" wp14:editId="63610884">
            <wp:extent cx="5716988" cy="2533015"/>
            <wp:effectExtent l="0" t="0" r="0" b="635"/>
            <wp:docPr id="3" name="Picture 3" descr="C:\Users\branko.krvavac\Desktop\Untitledef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nko.krvavac\Desktop\Untitledefe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089" cy="2539706"/>
                    </a:xfrm>
                    <a:prstGeom prst="rect">
                      <a:avLst/>
                    </a:prstGeom>
                    <a:noFill/>
                    <a:ln>
                      <a:noFill/>
                    </a:ln>
                  </pic:spPr>
                </pic:pic>
              </a:graphicData>
            </a:graphic>
          </wp:inline>
        </w:drawing>
      </w:r>
    </w:p>
    <w:p w14:paraId="44B18517" w14:textId="77777777" w:rsidR="00A3233F" w:rsidRPr="004E5CDC" w:rsidRDefault="00386FB5" w:rsidP="00386FB5">
      <w:pPr>
        <w:pStyle w:val="Caption"/>
        <w:jc w:val="both"/>
        <w:rPr>
          <w:rFonts w:ascii="Cambria" w:hAnsi="Cambria"/>
          <w:sz w:val="20"/>
          <w:szCs w:val="20"/>
          <w:lang w:val="sr-Latn-RS"/>
        </w:rPr>
      </w:pPr>
      <w:r w:rsidRPr="004E5CDC">
        <w:rPr>
          <w:rFonts w:ascii="Cambria" w:hAnsi="Cambria"/>
          <w:sz w:val="20"/>
          <w:szCs w:val="20"/>
          <w:lang w:val="sr-Latn-RS"/>
        </w:rPr>
        <w:t xml:space="preserve">Izvor: Privredna komora Crne Gore </w:t>
      </w:r>
    </w:p>
    <w:p w14:paraId="694B9387" w14:textId="77777777" w:rsidR="0047565E" w:rsidRPr="004E5CDC" w:rsidRDefault="00272157" w:rsidP="00272157">
      <w:pPr>
        <w:jc w:val="both"/>
        <w:rPr>
          <w:rFonts w:ascii="Cambria" w:hAnsi="Cambria"/>
          <w:b/>
          <w:lang w:val="sr-Latn-RS"/>
        </w:rPr>
      </w:pPr>
      <w:r w:rsidRPr="004E5CDC">
        <w:rPr>
          <w:rFonts w:ascii="Cambria" w:hAnsi="Cambria"/>
          <w:b/>
          <w:sz w:val="24"/>
          <w:szCs w:val="24"/>
          <w:lang w:val="sr-Latn-RS"/>
        </w:rPr>
        <w:t xml:space="preserve">Imajući u vidu da je u </w:t>
      </w:r>
      <w:r w:rsidR="006B5C0B" w:rsidRPr="004E5CDC">
        <w:rPr>
          <w:rFonts w:ascii="Cambria" w:hAnsi="Cambria"/>
          <w:b/>
          <w:sz w:val="24"/>
          <w:szCs w:val="24"/>
          <w:lang w:val="sr-Latn-RS"/>
        </w:rPr>
        <w:t>Crnoj Gori</w:t>
      </w:r>
      <w:r w:rsidRPr="004E5CDC">
        <w:rPr>
          <w:rFonts w:ascii="Cambria" w:hAnsi="Cambria"/>
          <w:b/>
          <w:sz w:val="24"/>
          <w:szCs w:val="24"/>
          <w:lang w:val="sr-Latn-RS"/>
        </w:rPr>
        <w:t xml:space="preserve"> jedinstvena stopa poreza na lični dohodak, te da ne postoje olakšice prilikom obračuna, poput neoporezivog dijela zarade, učešće poreza i doprinosa u ukupnim sredstvima potrebnim za isplatu neto zarade je is</w:t>
      </w:r>
      <w:r w:rsidR="0047565E" w:rsidRPr="004E5CDC">
        <w:rPr>
          <w:rFonts w:ascii="Cambria" w:hAnsi="Cambria"/>
          <w:b/>
          <w:sz w:val="24"/>
          <w:szCs w:val="24"/>
          <w:lang w:val="sr-Latn-RS"/>
        </w:rPr>
        <w:t>to, bez obzira na visinu zarade, što se može vidjeti na grafiku 1</w:t>
      </w:r>
      <w:r w:rsidR="0047565E" w:rsidRPr="004E5CDC">
        <w:rPr>
          <w:rFonts w:ascii="Cambria" w:hAnsi="Cambria"/>
          <w:sz w:val="24"/>
          <w:szCs w:val="24"/>
          <w:lang w:val="sr-Latn-RS"/>
        </w:rPr>
        <w:t xml:space="preserve">. </w:t>
      </w:r>
      <w:r w:rsidR="0047565E" w:rsidRPr="004E5CDC">
        <w:rPr>
          <w:rFonts w:ascii="Cambria" w:hAnsi="Cambria"/>
          <w:b/>
          <w:sz w:val="24"/>
          <w:szCs w:val="24"/>
          <w:lang w:val="sr-Latn-RS"/>
        </w:rPr>
        <w:t xml:space="preserve">Dakle, Crna Gora je jedina zemlja u regionu, gdje je na svaki nivo zarade, bilo da je u pitanju minimalna, prosječna ili zarada od nekoliko hiljada </w:t>
      </w:r>
      <w:r w:rsidR="001047BF" w:rsidRPr="004E5CDC">
        <w:rPr>
          <w:rFonts w:ascii="Cambria" w:hAnsi="Cambria"/>
          <w:b/>
          <w:sz w:val="24"/>
          <w:szCs w:val="24"/>
          <w:lang w:val="sr-Latn-RS"/>
        </w:rPr>
        <w:t>€</w:t>
      </w:r>
      <w:r w:rsidR="0047565E" w:rsidRPr="004E5CDC">
        <w:rPr>
          <w:rFonts w:ascii="Cambria" w:hAnsi="Cambria"/>
          <w:b/>
          <w:sz w:val="24"/>
          <w:szCs w:val="24"/>
          <w:lang w:val="sr-Latn-RS"/>
        </w:rPr>
        <w:t xml:space="preserve">, poresko opterećenje na rad isto. </w:t>
      </w:r>
    </w:p>
    <w:p w14:paraId="13678986" w14:textId="77777777" w:rsidR="00272157" w:rsidRPr="004E5CDC" w:rsidRDefault="00272157" w:rsidP="00272157">
      <w:pPr>
        <w:jc w:val="both"/>
        <w:rPr>
          <w:rFonts w:ascii="Cambria" w:hAnsi="Cambria"/>
          <w:sz w:val="24"/>
          <w:szCs w:val="24"/>
          <w:lang w:val="sr-Latn-RS"/>
        </w:rPr>
      </w:pPr>
      <w:r w:rsidRPr="004E5CDC">
        <w:rPr>
          <w:rFonts w:ascii="Cambria" w:hAnsi="Cambria"/>
          <w:sz w:val="24"/>
          <w:szCs w:val="24"/>
          <w:lang w:val="sr-Latn-RS"/>
        </w:rPr>
        <w:t>Sve zemlje regiona prilikom obračuna poreza na dohodak</w:t>
      </w:r>
      <w:r w:rsidR="00405EA2" w:rsidRPr="004E5CDC">
        <w:rPr>
          <w:rFonts w:ascii="Cambria" w:hAnsi="Cambria"/>
          <w:sz w:val="24"/>
          <w:szCs w:val="24"/>
          <w:lang w:val="sr-Latn-RS"/>
        </w:rPr>
        <w:t xml:space="preserve"> imaju određeni iznos ličnog odbitka</w:t>
      </w:r>
      <w:r w:rsidRPr="004E5CDC">
        <w:rPr>
          <w:rFonts w:ascii="Cambria" w:hAnsi="Cambria"/>
          <w:sz w:val="24"/>
          <w:szCs w:val="24"/>
          <w:lang w:val="sr-Latn-RS"/>
        </w:rPr>
        <w:t>, a visina i faktori neoporezivog dijela dohotka regulisane su poreskim zakonima.</w:t>
      </w:r>
    </w:p>
    <w:p w14:paraId="3637F36C" w14:textId="4434EFB5" w:rsidR="00B849AB" w:rsidRDefault="00713A77" w:rsidP="002266AD">
      <w:pPr>
        <w:jc w:val="both"/>
        <w:rPr>
          <w:rFonts w:ascii="Cambria" w:hAnsi="Cambria"/>
          <w:sz w:val="24"/>
          <w:szCs w:val="24"/>
          <w:lang w:val="sr-Latn-RS"/>
        </w:rPr>
      </w:pPr>
      <w:r w:rsidRPr="00713A77">
        <w:rPr>
          <w:rFonts w:ascii="Cambria" w:hAnsi="Cambria"/>
          <w:sz w:val="24"/>
          <w:szCs w:val="24"/>
          <w:lang w:val="sr-Latn-RS"/>
        </w:rPr>
        <w:t xml:space="preserve">Neoporezivi dio dohotka je najveći u Hrvatskoj i iznosi 532 €, zatim slijedi Republika Srpska gdje neoporezivi dio iznosi 358 €, Albanija 247 €, u Srbiji 156 €, Federaciji Bosne i Hercegovine 153 </w:t>
      </w:r>
      <w:r w:rsidR="00B0315D">
        <w:rPr>
          <w:rFonts w:ascii="Cambria" w:hAnsi="Cambria"/>
          <w:sz w:val="24"/>
          <w:szCs w:val="24"/>
          <w:lang w:val="sr-Latn-RS"/>
        </w:rPr>
        <w:t>€ i Sjevernoj Makedoniji 137 €</w:t>
      </w:r>
      <w:r w:rsidR="0050273F">
        <w:rPr>
          <w:rFonts w:ascii="Cambria" w:hAnsi="Cambria"/>
          <w:sz w:val="24"/>
          <w:szCs w:val="24"/>
          <w:lang w:val="sr-Latn-RS"/>
        </w:rPr>
        <w:t>, dok je na Kosovu 80€</w:t>
      </w:r>
      <w:r w:rsidRPr="00713A77">
        <w:rPr>
          <w:rFonts w:ascii="Cambria" w:hAnsi="Cambria"/>
          <w:sz w:val="24"/>
          <w:szCs w:val="24"/>
          <w:lang w:val="sr-Latn-RS"/>
        </w:rPr>
        <w:t>.</w:t>
      </w:r>
      <w:r w:rsidRPr="00713A77">
        <w:rPr>
          <w:rStyle w:val="FootnoteReference"/>
          <w:rFonts w:ascii="Cambria" w:hAnsi="Cambria"/>
          <w:sz w:val="24"/>
          <w:szCs w:val="24"/>
          <w:lang w:val="sr-Latn-RS"/>
        </w:rPr>
        <w:footnoteReference w:id="1"/>
      </w:r>
      <w:r w:rsidR="00692886">
        <w:rPr>
          <w:rFonts w:ascii="Cambria" w:hAnsi="Cambria"/>
          <w:sz w:val="24"/>
          <w:szCs w:val="24"/>
          <w:lang w:val="sr-Latn-RS"/>
        </w:rPr>
        <w:t xml:space="preserve"> </w:t>
      </w:r>
      <w:r w:rsidR="00FF68B5" w:rsidRPr="004E5CDC">
        <w:rPr>
          <w:rFonts w:ascii="Cambria" w:hAnsi="Cambria"/>
          <w:sz w:val="24"/>
          <w:szCs w:val="24"/>
          <w:lang w:val="sr-Latn-RS"/>
        </w:rPr>
        <w:t>Od prethodno pomenutih zemalja regiona kada je u pitanju model o</w:t>
      </w:r>
      <w:r w:rsidR="00B0315D">
        <w:rPr>
          <w:rFonts w:ascii="Cambria" w:hAnsi="Cambria"/>
          <w:sz w:val="24"/>
          <w:szCs w:val="24"/>
          <w:lang w:val="sr-Latn-RS"/>
        </w:rPr>
        <w:t>porezivanja, Hrvatska i Albanija</w:t>
      </w:r>
      <w:r w:rsidR="00FF68B5" w:rsidRPr="004E5CDC">
        <w:rPr>
          <w:rFonts w:ascii="Cambria" w:hAnsi="Cambria"/>
          <w:sz w:val="24"/>
          <w:szCs w:val="24"/>
          <w:lang w:val="sr-Latn-RS"/>
        </w:rPr>
        <w:t xml:space="preserve"> imaju progresivno oporezivanje zarada, dok je u ostalim zemljama </w:t>
      </w:r>
      <w:r w:rsidR="00174760" w:rsidRPr="004E5CDC">
        <w:rPr>
          <w:rFonts w:ascii="Cambria" w:hAnsi="Cambria"/>
          <w:sz w:val="24"/>
          <w:szCs w:val="24"/>
          <w:lang w:val="sr-Latn-RS"/>
        </w:rPr>
        <w:t xml:space="preserve">na snazi proporcionalno oporezivanje. </w:t>
      </w:r>
    </w:p>
    <w:p w14:paraId="70315FA1" w14:textId="456959FA" w:rsidR="0066676C" w:rsidRPr="004E5CDC" w:rsidRDefault="0066676C" w:rsidP="002266AD">
      <w:pPr>
        <w:jc w:val="both"/>
        <w:rPr>
          <w:rFonts w:ascii="Cambria" w:hAnsi="Cambria"/>
          <w:sz w:val="24"/>
          <w:szCs w:val="24"/>
          <w:lang w:val="sr-Latn-RS"/>
        </w:rPr>
      </w:pPr>
      <w:r>
        <w:rPr>
          <w:rFonts w:ascii="Cambria" w:hAnsi="Cambria"/>
          <w:sz w:val="24"/>
          <w:szCs w:val="24"/>
          <w:lang w:val="sr-Latn-RS"/>
        </w:rPr>
        <w:t>Imajući u vidu da je Crna Gora jedina zemlja u regionu koja nema neoporezivi dio dohotka, uz istovremeno prisutno izrazito visoko poresko opterećenje</w:t>
      </w:r>
      <w:r w:rsidR="00A80AEA">
        <w:rPr>
          <w:rFonts w:ascii="Cambria" w:hAnsi="Cambria"/>
          <w:sz w:val="24"/>
          <w:szCs w:val="24"/>
          <w:lang w:val="sr-Latn-RS"/>
        </w:rPr>
        <w:t xml:space="preserve"> na rad</w:t>
      </w:r>
      <w:r>
        <w:rPr>
          <w:rFonts w:ascii="Cambria" w:hAnsi="Cambria"/>
          <w:sz w:val="24"/>
          <w:szCs w:val="24"/>
          <w:lang w:val="sr-Latn-RS"/>
        </w:rPr>
        <w:t>, mnoge međunarodne finansijske institucije su ukazivale na potrebu revidiranj</w:t>
      </w:r>
      <w:r w:rsidR="00E52DE6">
        <w:rPr>
          <w:rFonts w:ascii="Cambria" w:hAnsi="Cambria"/>
          <w:sz w:val="24"/>
          <w:szCs w:val="24"/>
          <w:lang w:val="sr-Latn-RS"/>
        </w:rPr>
        <w:t>a</w:t>
      </w:r>
      <w:r>
        <w:rPr>
          <w:rFonts w:ascii="Cambria" w:hAnsi="Cambria"/>
          <w:sz w:val="24"/>
          <w:szCs w:val="24"/>
          <w:lang w:val="sr-Latn-RS"/>
        </w:rPr>
        <w:t xml:space="preserve"> poreske politike u pravcu smanjenja poreskog opterećenja na rad, ali i uvođenja progresivnog oporezivanja dohotka, što su upravo mjere sadržane u ovom Programu.</w:t>
      </w:r>
    </w:p>
    <w:p w14:paraId="0E740785" w14:textId="15EAB6AF" w:rsidR="006A1F74" w:rsidRDefault="006A1F74" w:rsidP="000540DF">
      <w:pPr>
        <w:pStyle w:val="Heading1"/>
        <w:rPr>
          <w:rFonts w:ascii="Cambria" w:hAnsi="Cambria"/>
          <w:b/>
          <w:lang w:val="sr-Latn-RS"/>
        </w:rPr>
      </w:pPr>
      <w:bookmarkStart w:id="4" w:name="_Toc86755069"/>
    </w:p>
    <w:p w14:paraId="686F1B62" w14:textId="77777777" w:rsidR="006A1F74" w:rsidRPr="006A1F74" w:rsidRDefault="006A1F74" w:rsidP="006A1F74">
      <w:pPr>
        <w:rPr>
          <w:lang w:val="sr-Latn-RS"/>
        </w:rPr>
      </w:pPr>
    </w:p>
    <w:p w14:paraId="6E417D5C" w14:textId="1A2B6951" w:rsidR="009B3AA6" w:rsidRDefault="00044D7A" w:rsidP="000540DF">
      <w:pPr>
        <w:pStyle w:val="Heading1"/>
        <w:rPr>
          <w:rFonts w:ascii="Cambria" w:hAnsi="Cambria"/>
          <w:b/>
          <w:lang w:val="sr-Latn-RS"/>
        </w:rPr>
      </w:pPr>
      <w:r w:rsidRPr="00361E20">
        <w:rPr>
          <w:rFonts w:ascii="Cambria" w:hAnsi="Cambria"/>
          <w:b/>
          <w:lang w:val="sr-Latn-RS"/>
        </w:rPr>
        <w:lastRenderedPageBreak/>
        <w:t xml:space="preserve">MINIMALNA ZARADA U CRNOJ GORI </w:t>
      </w:r>
      <w:r w:rsidR="006739AA" w:rsidRPr="00361E20">
        <w:rPr>
          <w:rFonts w:ascii="Cambria" w:hAnsi="Cambria"/>
          <w:b/>
          <w:lang w:val="sr-Latn-RS"/>
        </w:rPr>
        <w:t>I UPOREDNA PRAKSA SA ZEMLJAMA REGIONA I EVROPSKE UNIJE</w:t>
      </w:r>
      <w:bookmarkEnd w:id="4"/>
    </w:p>
    <w:p w14:paraId="71ECCBCB" w14:textId="77777777" w:rsidR="000540DF" w:rsidRPr="000540DF" w:rsidRDefault="000540DF" w:rsidP="000540DF">
      <w:pPr>
        <w:rPr>
          <w:lang w:val="sr-Latn-RS"/>
        </w:rPr>
      </w:pPr>
    </w:p>
    <w:p w14:paraId="61732E34" w14:textId="77777777" w:rsidR="00361E20" w:rsidRPr="009B3AA6" w:rsidRDefault="002266AD" w:rsidP="009B3AA6">
      <w:pPr>
        <w:jc w:val="both"/>
        <w:rPr>
          <w:rFonts w:ascii="Cambria" w:hAnsi="Cambria"/>
          <w:lang w:val="sr-Latn-RS"/>
        </w:rPr>
      </w:pPr>
      <w:r w:rsidRPr="009B3AA6">
        <w:rPr>
          <w:rFonts w:ascii="Cambria" w:hAnsi="Cambria"/>
          <w:sz w:val="24"/>
          <w:szCs w:val="24"/>
          <w:lang w:val="sr-Latn-RS"/>
        </w:rPr>
        <w:t>Koncept minimalne zarade</w:t>
      </w:r>
      <w:r w:rsidR="002D11CF" w:rsidRPr="009B3AA6">
        <w:rPr>
          <w:rFonts w:ascii="Cambria" w:hAnsi="Cambria"/>
          <w:sz w:val="24"/>
          <w:szCs w:val="24"/>
          <w:lang w:val="sr-Latn-RS"/>
        </w:rPr>
        <w:t xml:space="preserve"> kreiran </w:t>
      </w:r>
      <w:r w:rsidRPr="009B3AA6">
        <w:rPr>
          <w:rFonts w:ascii="Cambria" w:hAnsi="Cambria"/>
          <w:sz w:val="24"/>
          <w:szCs w:val="24"/>
          <w:lang w:val="sr-Latn-RS"/>
        </w:rPr>
        <w:t xml:space="preserve">je </w:t>
      </w:r>
      <w:r w:rsidR="002D11CF" w:rsidRPr="009B3AA6">
        <w:rPr>
          <w:rFonts w:ascii="Cambria" w:hAnsi="Cambria"/>
          <w:sz w:val="24"/>
          <w:szCs w:val="24"/>
          <w:lang w:val="sr-Latn-RS"/>
        </w:rPr>
        <w:t xml:space="preserve">u 19. vijeku kao odgovor na zahtjev zaposlenih za </w:t>
      </w:r>
      <w:r w:rsidRPr="009B3AA6">
        <w:rPr>
          <w:rFonts w:ascii="Cambria" w:hAnsi="Cambria"/>
          <w:sz w:val="24"/>
          <w:szCs w:val="24"/>
          <w:lang w:val="sr-Latn-RS"/>
        </w:rPr>
        <w:t>većom socijalnom</w:t>
      </w:r>
      <w:r w:rsidR="002D11CF" w:rsidRPr="009B3AA6">
        <w:rPr>
          <w:rFonts w:ascii="Cambria" w:hAnsi="Cambria"/>
          <w:sz w:val="24"/>
          <w:szCs w:val="24"/>
          <w:lang w:val="sr-Latn-RS"/>
        </w:rPr>
        <w:t xml:space="preserve"> pravd</w:t>
      </w:r>
      <w:r w:rsidRPr="009B3AA6">
        <w:rPr>
          <w:rFonts w:ascii="Cambria" w:hAnsi="Cambria"/>
          <w:sz w:val="24"/>
          <w:szCs w:val="24"/>
          <w:lang w:val="sr-Latn-RS"/>
        </w:rPr>
        <w:t>om</w:t>
      </w:r>
      <w:r w:rsidR="002D11CF" w:rsidRPr="009B3AA6">
        <w:rPr>
          <w:rFonts w:ascii="Cambria" w:hAnsi="Cambria"/>
          <w:sz w:val="24"/>
          <w:szCs w:val="24"/>
          <w:lang w:val="sr-Latn-RS"/>
        </w:rPr>
        <w:t>, a prva zemlja koj</w:t>
      </w:r>
      <w:r w:rsidR="00886F20" w:rsidRPr="009B3AA6">
        <w:rPr>
          <w:rFonts w:ascii="Cambria" w:hAnsi="Cambria"/>
          <w:sz w:val="24"/>
          <w:szCs w:val="24"/>
          <w:lang w:val="sr-Latn-RS"/>
        </w:rPr>
        <w:t>a</w:t>
      </w:r>
      <w:r w:rsidR="002D11CF" w:rsidRPr="009B3AA6">
        <w:rPr>
          <w:rFonts w:ascii="Cambria" w:hAnsi="Cambria"/>
          <w:sz w:val="24"/>
          <w:szCs w:val="24"/>
          <w:lang w:val="sr-Latn-RS"/>
        </w:rPr>
        <w:t xml:space="preserve"> je uvela minimalnu zaradu je Novi </w:t>
      </w:r>
      <w:r w:rsidR="00242B73" w:rsidRPr="009B3AA6">
        <w:rPr>
          <w:rFonts w:ascii="Cambria" w:hAnsi="Cambria"/>
          <w:sz w:val="24"/>
          <w:szCs w:val="24"/>
          <w:lang w:val="sr-Latn-RS"/>
        </w:rPr>
        <w:t>Zeland 1894. godine.</w:t>
      </w:r>
      <w:r w:rsidR="002D11CF" w:rsidRPr="009B3AA6">
        <w:rPr>
          <w:rFonts w:ascii="Cambria" w:hAnsi="Cambria"/>
          <w:sz w:val="24"/>
          <w:szCs w:val="24"/>
          <w:lang w:val="sr-Latn-RS"/>
        </w:rPr>
        <w:t xml:space="preserve"> Nakon toga su i zemlje Južne </w:t>
      </w:r>
      <w:r w:rsidR="007D5585" w:rsidRPr="009B3AA6">
        <w:rPr>
          <w:rFonts w:ascii="Cambria" w:hAnsi="Cambria"/>
          <w:sz w:val="24"/>
          <w:szCs w:val="24"/>
          <w:lang w:val="sr-Latn-RS"/>
        </w:rPr>
        <w:t>Amerike usvoji</w:t>
      </w:r>
      <w:r w:rsidR="002D11CF" w:rsidRPr="009B3AA6">
        <w:rPr>
          <w:rFonts w:ascii="Cambria" w:hAnsi="Cambria"/>
          <w:sz w:val="24"/>
          <w:szCs w:val="24"/>
          <w:lang w:val="sr-Latn-RS"/>
        </w:rPr>
        <w:t xml:space="preserve">le ovaj koncept, dok se u SAD uvodi 1938. godine. </w:t>
      </w:r>
      <w:r w:rsidR="00BE63E5" w:rsidRPr="009B3AA6">
        <w:rPr>
          <w:rFonts w:ascii="Cambria" w:hAnsi="Cambria"/>
          <w:sz w:val="24"/>
          <w:szCs w:val="24"/>
          <w:lang w:val="sr-Latn-RS"/>
        </w:rPr>
        <w:t>Prema procjenama</w:t>
      </w:r>
      <w:r w:rsidR="00CF5725" w:rsidRPr="009B3AA6">
        <w:rPr>
          <w:rFonts w:ascii="Cambria" w:hAnsi="Cambria"/>
          <w:sz w:val="24"/>
          <w:szCs w:val="24"/>
          <w:lang w:val="sr-Latn-RS"/>
        </w:rPr>
        <w:t xml:space="preserve"> Međunarodne organizacije rada </w:t>
      </w:r>
      <w:r w:rsidR="00BE63E5" w:rsidRPr="009B3AA6">
        <w:rPr>
          <w:rFonts w:ascii="Cambria" w:hAnsi="Cambria"/>
          <w:sz w:val="24"/>
          <w:szCs w:val="24"/>
          <w:lang w:val="sr-Latn-RS"/>
        </w:rPr>
        <w:t>(ILO) danas oko 32</w:t>
      </w:r>
      <w:r w:rsidRPr="009B3AA6">
        <w:rPr>
          <w:rFonts w:ascii="Cambria" w:hAnsi="Cambria"/>
          <w:sz w:val="24"/>
          <w:szCs w:val="24"/>
          <w:lang w:val="sr-Latn-RS"/>
        </w:rPr>
        <w:t>7 miliona zaposlenih u svijetu</w:t>
      </w:r>
      <w:r w:rsidR="00BE63E5" w:rsidRPr="009B3AA6">
        <w:rPr>
          <w:rFonts w:ascii="Cambria" w:hAnsi="Cambria"/>
          <w:sz w:val="24"/>
          <w:szCs w:val="24"/>
          <w:lang w:val="sr-Latn-RS"/>
        </w:rPr>
        <w:t xml:space="preserve"> </w:t>
      </w:r>
      <w:r w:rsidRPr="009B3AA6">
        <w:rPr>
          <w:rFonts w:ascii="Cambria" w:hAnsi="Cambria"/>
          <w:sz w:val="24"/>
          <w:szCs w:val="24"/>
          <w:lang w:val="sr-Latn-RS"/>
        </w:rPr>
        <w:t xml:space="preserve">za svoj rad </w:t>
      </w:r>
      <w:r w:rsidR="00BE63E5" w:rsidRPr="009B3AA6">
        <w:rPr>
          <w:rFonts w:ascii="Cambria" w:hAnsi="Cambria"/>
          <w:sz w:val="24"/>
          <w:szCs w:val="24"/>
          <w:lang w:val="sr-Latn-RS"/>
        </w:rPr>
        <w:t xml:space="preserve">plaćeno </w:t>
      </w:r>
      <w:r w:rsidRPr="009B3AA6">
        <w:rPr>
          <w:rFonts w:ascii="Cambria" w:hAnsi="Cambria"/>
          <w:sz w:val="24"/>
          <w:szCs w:val="24"/>
          <w:lang w:val="sr-Latn-RS"/>
        </w:rPr>
        <w:t xml:space="preserve">je </w:t>
      </w:r>
      <w:r w:rsidR="00BE63E5" w:rsidRPr="009B3AA6">
        <w:rPr>
          <w:rFonts w:ascii="Cambria" w:hAnsi="Cambria"/>
          <w:sz w:val="24"/>
          <w:szCs w:val="24"/>
          <w:lang w:val="sr-Latn-RS"/>
        </w:rPr>
        <w:t xml:space="preserve">na nivou minimalne zarade ili ispod tog nivoa, što je oko 19% </w:t>
      </w:r>
      <w:r w:rsidR="00BF1E63" w:rsidRPr="009B3AA6">
        <w:rPr>
          <w:rFonts w:ascii="Cambria" w:hAnsi="Cambria"/>
          <w:sz w:val="24"/>
          <w:szCs w:val="24"/>
          <w:lang w:val="sr-Latn-RS"/>
        </w:rPr>
        <w:t xml:space="preserve">ukupnog broja zaposlenih. </w:t>
      </w:r>
      <w:r w:rsidR="00BF1E63" w:rsidRPr="009B3AA6">
        <w:rPr>
          <w:rStyle w:val="FootnoteReference"/>
          <w:rFonts w:ascii="Cambria" w:hAnsi="Cambria"/>
          <w:lang w:val="sr-Latn-RS"/>
        </w:rPr>
        <w:footnoteReference w:id="2"/>
      </w:r>
    </w:p>
    <w:p w14:paraId="1AC05D6E" w14:textId="77777777" w:rsidR="00361E20" w:rsidRPr="009B3AA6" w:rsidRDefault="002D11CF" w:rsidP="009B3AA6">
      <w:pPr>
        <w:jc w:val="both"/>
        <w:rPr>
          <w:rFonts w:ascii="Cambria" w:hAnsi="Cambria"/>
          <w:sz w:val="24"/>
          <w:szCs w:val="24"/>
          <w:lang w:val="sr-Latn-RS"/>
        </w:rPr>
      </w:pPr>
      <w:r w:rsidRPr="009B3AA6">
        <w:rPr>
          <w:rFonts w:ascii="Cambria" w:hAnsi="Cambria"/>
          <w:sz w:val="24"/>
          <w:szCs w:val="24"/>
          <w:lang w:val="sr-Latn-RS"/>
        </w:rPr>
        <w:t>Kada</w:t>
      </w:r>
      <w:r w:rsidR="00FE22F3" w:rsidRPr="009B3AA6">
        <w:rPr>
          <w:rFonts w:ascii="Cambria" w:hAnsi="Cambria"/>
          <w:sz w:val="24"/>
          <w:szCs w:val="24"/>
          <w:lang w:val="sr-Latn-RS"/>
        </w:rPr>
        <w:t xml:space="preserve"> je u pitanju Evropska unija</w:t>
      </w:r>
      <w:r w:rsidR="00242B73" w:rsidRPr="009B3AA6">
        <w:rPr>
          <w:rFonts w:ascii="Cambria" w:hAnsi="Cambria"/>
          <w:sz w:val="24"/>
          <w:szCs w:val="24"/>
          <w:lang w:val="sr-Latn-RS"/>
        </w:rPr>
        <w:t xml:space="preserve"> danas</w:t>
      </w:r>
      <w:r w:rsidR="00FE22F3" w:rsidRPr="009B3AA6">
        <w:rPr>
          <w:rFonts w:ascii="Cambria" w:hAnsi="Cambria"/>
          <w:sz w:val="24"/>
          <w:szCs w:val="24"/>
          <w:lang w:val="sr-Latn-RS"/>
        </w:rPr>
        <w:t>, iznosi minimalne bruto zarade značajno se razlikuju i variraju od najniže u Bugarskoj od</w:t>
      </w:r>
      <w:r w:rsidR="00E81493" w:rsidRPr="009B3AA6">
        <w:rPr>
          <w:rFonts w:ascii="Cambria" w:hAnsi="Cambria"/>
          <w:sz w:val="24"/>
          <w:szCs w:val="24"/>
          <w:lang w:val="sr-Latn-RS"/>
        </w:rPr>
        <w:t xml:space="preserve"> 332</w:t>
      </w:r>
      <w:r w:rsidR="00FE22F3" w:rsidRPr="009B3AA6">
        <w:rPr>
          <w:rFonts w:ascii="Cambria" w:hAnsi="Cambria"/>
          <w:sz w:val="24"/>
          <w:szCs w:val="24"/>
          <w:lang w:val="sr-Latn-RS"/>
        </w:rPr>
        <w:t xml:space="preserve"> </w:t>
      </w:r>
      <w:r w:rsidR="001047BF" w:rsidRPr="009B3AA6">
        <w:rPr>
          <w:rFonts w:ascii="Cambria" w:hAnsi="Cambria"/>
          <w:sz w:val="24"/>
          <w:szCs w:val="24"/>
          <w:lang w:val="sr-Latn-RS"/>
        </w:rPr>
        <w:t>€</w:t>
      </w:r>
      <w:r w:rsidR="00E81493" w:rsidRPr="009B3AA6">
        <w:rPr>
          <w:rFonts w:ascii="Cambria" w:hAnsi="Cambria"/>
          <w:sz w:val="24"/>
          <w:szCs w:val="24"/>
          <w:lang w:val="sr-Latn-RS"/>
        </w:rPr>
        <w:t xml:space="preserve"> do najveće u Luksemburgu od 2.202 </w:t>
      </w:r>
      <w:r w:rsidR="001047BF" w:rsidRPr="009B3AA6">
        <w:rPr>
          <w:rFonts w:ascii="Cambria" w:hAnsi="Cambria"/>
          <w:sz w:val="24"/>
          <w:szCs w:val="24"/>
          <w:lang w:val="sr-Latn-RS"/>
        </w:rPr>
        <w:t>€</w:t>
      </w:r>
      <w:r w:rsidR="00FE22F3" w:rsidRPr="009B3AA6">
        <w:rPr>
          <w:rFonts w:ascii="Cambria" w:hAnsi="Cambria"/>
          <w:sz w:val="24"/>
          <w:szCs w:val="24"/>
          <w:lang w:val="sr-Latn-RS"/>
        </w:rPr>
        <w:t>, dok</w:t>
      </w:r>
      <w:r w:rsidRPr="009B3AA6">
        <w:rPr>
          <w:rFonts w:ascii="Cambria" w:hAnsi="Cambria"/>
          <w:sz w:val="24"/>
          <w:szCs w:val="24"/>
          <w:lang w:val="sr-Latn-RS"/>
        </w:rPr>
        <w:t xml:space="preserve"> </w:t>
      </w:r>
      <w:r w:rsidR="00E81493" w:rsidRPr="009B3AA6">
        <w:rPr>
          <w:rFonts w:ascii="Cambria" w:hAnsi="Cambria"/>
          <w:sz w:val="24"/>
          <w:szCs w:val="24"/>
          <w:lang w:val="sr-Latn-RS"/>
        </w:rPr>
        <w:t>šest</w:t>
      </w:r>
      <w:r w:rsidRPr="009B3AA6">
        <w:rPr>
          <w:rFonts w:ascii="Cambria" w:hAnsi="Cambria"/>
          <w:sz w:val="24"/>
          <w:szCs w:val="24"/>
          <w:lang w:val="sr-Latn-RS"/>
        </w:rPr>
        <w:t xml:space="preserve"> članica</w:t>
      </w:r>
      <w:r w:rsidR="00E81493" w:rsidRPr="009B3AA6">
        <w:rPr>
          <w:rStyle w:val="FootnoteReference"/>
          <w:rFonts w:ascii="Cambria" w:hAnsi="Cambria"/>
          <w:lang w:val="sr-Latn-RS"/>
        </w:rPr>
        <w:footnoteReference w:id="3"/>
      </w:r>
      <w:r w:rsidR="00E81493" w:rsidRPr="009B3AA6">
        <w:rPr>
          <w:rStyle w:val="FootnoteReference"/>
        </w:rPr>
        <w:t xml:space="preserve"> </w:t>
      </w:r>
      <w:r w:rsidRPr="009B3AA6">
        <w:rPr>
          <w:rFonts w:ascii="Cambria" w:hAnsi="Cambria"/>
          <w:sz w:val="24"/>
          <w:szCs w:val="24"/>
          <w:lang w:val="sr-Latn-RS"/>
        </w:rPr>
        <w:t>nema regulisanu minimalnu zaradu na nacionalnom nivou</w:t>
      </w:r>
      <w:r w:rsidR="00FE22F3" w:rsidRPr="009B3AA6">
        <w:rPr>
          <w:rFonts w:ascii="Cambria" w:hAnsi="Cambria"/>
          <w:lang w:val="sr-Latn-RS"/>
        </w:rPr>
        <w:t>.</w:t>
      </w:r>
      <w:r w:rsidR="00E81493" w:rsidRPr="009B3AA6">
        <w:rPr>
          <w:rStyle w:val="FootnoteReference"/>
          <w:rFonts w:ascii="Cambria" w:hAnsi="Cambria"/>
          <w:lang w:val="sr-Latn-RS"/>
        </w:rPr>
        <w:footnoteReference w:id="4"/>
      </w:r>
      <w:r w:rsidR="004C37CD" w:rsidRPr="009B3AA6">
        <w:rPr>
          <w:rFonts w:ascii="Cambria" w:hAnsi="Cambria"/>
          <w:lang w:val="sr-Latn-RS"/>
        </w:rPr>
        <w:t xml:space="preserve"> </w:t>
      </w:r>
      <w:r w:rsidR="00E541F9" w:rsidRPr="009B3AA6">
        <w:rPr>
          <w:rFonts w:ascii="Cambria" w:hAnsi="Cambria"/>
          <w:sz w:val="24"/>
          <w:szCs w:val="24"/>
          <w:lang w:val="sr-Latn-RS"/>
        </w:rPr>
        <w:t>U poređenju sa medijanom bruto zarada, minimalna zarada u EU varira od 42% do 65%.</w:t>
      </w:r>
    </w:p>
    <w:p w14:paraId="60CD04F3" w14:textId="77777777" w:rsidR="00361E20" w:rsidRDefault="00361E20" w:rsidP="00692886">
      <w:pPr>
        <w:pStyle w:val="Caption"/>
        <w:spacing w:after="0" w:line="120" w:lineRule="auto"/>
        <w:jc w:val="both"/>
        <w:rPr>
          <w:rFonts w:ascii="Cambria" w:hAnsi="Cambria"/>
          <w:sz w:val="20"/>
          <w:szCs w:val="20"/>
          <w:lang w:val="sr-Latn-RS"/>
        </w:rPr>
      </w:pPr>
    </w:p>
    <w:p w14:paraId="3443BCC3" w14:textId="77777777" w:rsidR="00242B73" w:rsidRPr="00361E20" w:rsidRDefault="00242B73" w:rsidP="00361E20">
      <w:pPr>
        <w:pStyle w:val="Caption"/>
        <w:jc w:val="both"/>
        <w:rPr>
          <w:rFonts w:ascii="Cambria" w:hAnsi="Cambria"/>
          <w:sz w:val="20"/>
          <w:szCs w:val="20"/>
          <w:lang w:val="sr-Latn-RS"/>
        </w:rPr>
      </w:pPr>
      <w:r w:rsidRPr="004E5CDC">
        <w:rPr>
          <w:rFonts w:ascii="Cambria" w:hAnsi="Cambria"/>
          <w:sz w:val="20"/>
          <w:szCs w:val="20"/>
          <w:lang w:val="sr-Latn-RS"/>
        </w:rPr>
        <w:t xml:space="preserve">Tabela </w:t>
      </w:r>
      <w:r w:rsidRPr="004E5CDC">
        <w:rPr>
          <w:rFonts w:ascii="Cambria" w:hAnsi="Cambria"/>
          <w:sz w:val="20"/>
          <w:szCs w:val="20"/>
          <w:lang w:val="sr-Latn-RS"/>
        </w:rPr>
        <w:fldChar w:fldCharType="begin"/>
      </w:r>
      <w:r w:rsidRPr="004E5CDC">
        <w:rPr>
          <w:rFonts w:ascii="Cambria" w:hAnsi="Cambria"/>
          <w:sz w:val="20"/>
          <w:szCs w:val="20"/>
          <w:lang w:val="sr-Latn-RS"/>
        </w:rPr>
        <w:instrText xml:space="preserve"> SEQ Tabela \* ARABIC </w:instrText>
      </w:r>
      <w:r w:rsidRPr="004E5CDC">
        <w:rPr>
          <w:rFonts w:ascii="Cambria" w:hAnsi="Cambria"/>
          <w:sz w:val="20"/>
          <w:szCs w:val="20"/>
          <w:lang w:val="sr-Latn-RS"/>
        </w:rPr>
        <w:fldChar w:fldCharType="separate"/>
      </w:r>
      <w:r w:rsidR="005E7572">
        <w:rPr>
          <w:rFonts w:ascii="Cambria" w:hAnsi="Cambria"/>
          <w:sz w:val="20"/>
          <w:szCs w:val="20"/>
          <w:lang w:val="sr-Latn-RS"/>
        </w:rPr>
        <w:t>3</w:t>
      </w:r>
      <w:r w:rsidRPr="004E5CDC">
        <w:rPr>
          <w:rFonts w:ascii="Cambria" w:hAnsi="Cambria"/>
          <w:sz w:val="20"/>
          <w:szCs w:val="20"/>
          <w:lang w:val="sr-Latn-RS"/>
        </w:rPr>
        <w:fldChar w:fldCharType="end"/>
      </w:r>
      <w:r w:rsidRPr="004E5CDC">
        <w:rPr>
          <w:rFonts w:ascii="Cambria" w:hAnsi="Cambria"/>
          <w:sz w:val="20"/>
          <w:szCs w:val="20"/>
          <w:lang w:val="sr-Latn-RS"/>
        </w:rPr>
        <w:t xml:space="preserve"> Minimalna bruto zarada u EU u januaru 2021. godine</w:t>
      </w:r>
    </w:p>
    <w:tbl>
      <w:tblPr>
        <w:tblStyle w:val="GridTable3-Accent11"/>
        <w:tblW w:w="4778" w:type="dxa"/>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1668"/>
      </w:tblGrid>
      <w:tr w:rsidR="005C2E52" w:rsidRPr="004E5CDC" w14:paraId="388CB0C2" w14:textId="77777777" w:rsidTr="00361E20">
        <w:trPr>
          <w:cnfStyle w:val="100000000000" w:firstRow="1" w:lastRow="0" w:firstColumn="0" w:lastColumn="0" w:oddVBand="0" w:evenVBand="0" w:oddHBand="0" w:evenHBand="0" w:firstRowFirstColumn="0" w:firstRowLastColumn="0" w:lastRowFirstColumn="0" w:lastRowLastColumn="0"/>
          <w:trHeight w:val="233"/>
        </w:trPr>
        <w:tc>
          <w:tcPr>
            <w:cnfStyle w:val="001000000100" w:firstRow="0" w:lastRow="0" w:firstColumn="1" w:lastColumn="0" w:oddVBand="0" w:evenVBand="0" w:oddHBand="0" w:evenHBand="0" w:firstRowFirstColumn="1" w:firstRowLastColumn="0" w:lastRowFirstColumn="0" w:lastRowLastColumn="0"/>
            <w:tcW w:w="3110" w:type="dxa"/>
            <w:tcBorders>
              <w:top w:val="none" w:sz="0" w:space="0" w:color="auto"/>
              <w:left w:val="none" w:sz="0" w:space="0" w:color="auto"/>
              <w:bottom w:val="none" w:sz="0" w:space="0" w:color="auto"/>
              <w:right w:val="none" w:sz="0" w:space="0" w:color="auto"/>
            </w:tcBorders>
            <w:noWrap/>
          </w:tcPr>
          <w:p w14:paraId="25AD608E" w14:textId="77777777" w:rsidR="005C2E52" w:rsidRPr="004E5CDC" w:rsidRDefault="005C2E52" w:rsidP="005C2E52">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Minimalna</w:t>
            </w:r>
            <w:r w:rsidR="000F0DD7" w:rsidRPr="004E5CDC">
              <w:rPr>
                <w:rFonts w:ascii="Cambria" w:eastAsia="Times New Roman" w:hAnsi="Cambria" w:cs="Arial"/>
                <w:color w:val="000000"/>
                <w:sz w:val="20"/>
                <w:szCs w:val="20"/>
                <w:lang w:val="sr-Latn-RS" w:eastAsia="sr-Latn-CS"/>
              </w:rPr>
              <w:t xml:space="preserve"> bruto</w:t>
            </w:r>
            <w:r w:rsidRPr="004E5CDC">
              <w:rPr>
                <w:rFonts w:ascii="Cambria" w:eastAsia="Times New Roman" w:hAnsi="Cambria" w:cs="Arial"/>
                <w:color w:val="000000"/>
                <w:sz w:val="20"/>
                <w:szCs w:val="20"/>
                <w:lang w:val="sr-Latn-RS" w:eastAsia="sr-Latn-CS"/>
              </w:rPr>
              <w:t xml:space="preserve"> zarada u EU </w:t>
            </w:r>
          </w:p>
        </w:tc>
        <w:tc>
          <w:tcPr>
            <w:tcW w:w="1668" w:type="dxa"/>
            <w:tcBorders>
              <w:top w:val="none" w:sz="0" w:space="0" w:color="auto"/>
              <w:left w:val="none" w:sz="0" w:space="0" w:color="auto"/>
              <w:right w:val="none" w:sz="0" w:space="0" w:color="auto"/>
            </w:tcBorders>
          </w:tcPr>
          <w:p w14:paraId="075DE7A7" w14:textId="77777777" w:rsidR="005C2E52" w:rsidRPr="004E5CDC" w:rsidRDefault="005C2E52" w:rsidP="00E81493">
            <w:pPr>
              <w:jc w:val="right"/>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w:t>
            </w:r>
          </w:p>
        </w:tc>
      </w:tr>
      <w:tr w:rsidR="00E81493" w:rsidRPr="004E5CDC" w14:paraId="2AA4ECC1"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0865DA12"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 xml:space="preserve">Bugarska </w:t>
            </w:r>
          </w:p>
        </w:tc>
        <w:tc>
          <w:tcPr>
            <w:tcW w:w="1668" w:type="dxa"/>
            <w:hideMark/>
          </w:tcPr>
          <w:p w14:paraId="466BA4FA"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332</w:t>
            </w:r>
          </w:p>
        </w:tc>
      </w:tr>
      <w:tr w:rsidR="00E81493" w:rsidRPr="004E5CDC" w14:paraId="458690CD"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141B6B1A"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Mađarska</w:t>
            </w:r>
          </w:p>
        </w:tc>
        <w:tc>
          <w:tcPr>
            <w:tcW w:w="1668" w:type="dxa"/>
            <w:hideMark/>
          </w:tcPr>
          <w:p w14:paraId="7AE886C1"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442</w:t>
            </w:r>
          </w:p>
        </w:tc>
      </w:tr>
      <w:tr w:rsidR="00E81493" w:rsidRPr="004E5CDC" w14:paraId="3444BD6F"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566DD785"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Rumunija</w:t>
            </w:r>
          </w:p>
        </w:tc>
        <w:tc>
          <w:tcPr>
            <w:tcW w:w="1668" w:type="dxa"/>
            <w:noWrap/>
            <w:hideMark/>
          </w:tcPr>
          <w:p w14:paraId="4EF1FB5B"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458</w:t>
            </w:r>
          </w:p>
        </w:tc>
      </w:tr>
      <w:tr w:rsidR="00E81493" w:rsidRPr="004E5CDC" w14:paraId="7C239689"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4C2409F7"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Letonija</w:t>
            </w:r>
          </w:p>
        </w:tc>
        <w:tc>
          <w:tcPr>
            <w:tcW w:w="1668" w:type="dxa"/>
            <w:noWrap/>
            <w:hideMark/>
          </w:tcPr>
          <w:p w14:paraId="1D9F1CE1"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500</w:t>
            </w:r>
          </w:p>
        </w:tc>
      </w:tr>
      <w:tr w:rsidR="00E81493" w:rsidRPr="004E5CDC" w14:paraId="29AB35CC"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7C530BD0"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Hrvatska</w:t>
            </w:r>
          </w:p>
        </w:tc>
        <w:tc>
          <w:tcPr>
            <w:tcW w:w="1668" w:type="dxa"/>
            <w:noWrap/>
            <w:hideMark/>
          </w:tcPr>
          <w:p w14:paraId="18F9291E"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563</w:t>
            </w:r>
          </w:p>
        </w:tc>
      </w:tr>
      <w:tr w:rsidR="00E81493" w:rsidRPr="004E5CDC" w14:paraId="4FEEE2CC"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83B9B0B"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Češka</w:t>
            </w:r>
          </w:p>
        </w:tc>
        <w:tc>
          <w:tcPr>
            <w:tcW w:w="1668" w:type="dxa"/>
            <w:noWrap/>
            <w:hideMark/>
          </w:tcPr>
          <w:p w14:paraId="11B7B6DC"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579</w:t>
            </w:r>
          </w:p>
        </w:tc>
      </w:tr>
      <w:tr w:rsidR="00E81493" w:rsidRPr="004E5CDC" w14:paraId="184F0F55"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1A7F93E3"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Estonija</w:t>
            </w:r>
          </w:p>
        </w:tc>
        <w:tc>
          <w:tcPr>
            <w:tcW w:w="1668" w:type="dxa"/>
            <w:noWrap/>
            <w:hideMark/>
          </w:tcPr>
          <w:p w14:paraId="2B5934E5"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584</w:t>
            </w:r>
          </w:p>
        </w:tc>
      </w:tr>
      <w:tr w:rsidR="00E81493" w:rsidRPr="004E5CDC" w14:paraId="64400791"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C0BF710"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Poljska</w:t>
            </w:r>
          </w:p>
        </w:tc>
        <w:tc>
          <w:tcPr>
            <w:tcW w:w="1668" w:type="dxa"/>
            <w:noWrap/>
            <w:hideMark/>
          </w:tcPr>
          <w:p w14:paraId="6211E9B7"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614</w:t>
            </w:r>
          </w:p>
        </w:tc>
      </w:tr>
      <w:tr w:rsidR="00E81493" w:rsidRPr="004E5CDC" w14:paraId="633D00A5"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076F29B5"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Slovačka</w:t>
            </w:r>
          </w:p>
        </w:tc>
        <w:tc>
          <w:tcPr>
            <w:tcW w:w="1668" w:type="dxa"/>
            <w:noWrap/>
            <w:hideMark/>
          </w:tcPr>
          <w:p w14:paraId="4E9FCB09"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623</w:t>
            </w:r>
          </w:p>
        </w:tc>
      </w:tr>
      <w:tr w:rsidR="00E81493" w:rsidRPr="004E5CDC" w14:paraId="406C9D7C"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364E94C1"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Litvanija</w:t>
            </w:r>
          </w:p>
        </w:tc>
        <w:tc>
          <w:tcPr>
            <w:tcW w:w="1668" w:type="dxa"/>
            <w:noWrap/>
            <w:hideMark/>
          </w:tcPr>
          <w:p w14:paraId="7FAD8FA5"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642</w:t>
            </w:r>
          </w:p>
        </w:tc>
      </w:tr>
      <w:tr w:rsidR="00E81493" w:rsidRPr="004E5CDC" w14:paraId="1C4FDEBA"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1E2714B"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Grčka</w:t>
            </w:r>
          </w:p>
        </w:tc>
        <w:tc>
          <w:tcPr>
            <w:tcW w:w="1668" w:type="dxa"/>
            <w:noWrap/>
            <w:hideMark/>
          </w:tcPr>
          <w:p w14:paraId="07211C85"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758</w:t>
            </w:r>
          </w:p>
        </w:tc>
      </w:tr>
      <w:tr w:rsidR="00E81493" w:rsidRPr="004E5CDC" w14:paraId="4832A664"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3F205931"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Portugal</w:t>
            </w:r>
          </w:p>
        </w:tc>
        <w:tc>
          <w:tcPr>
            <w:tcW w:w="1668" w:type="dxa"/>
            <w:noWrap/>
            <w:hideMark/>
          </w:tcPr>
          <w:p w14:paraId="570A7B8D"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776</w:t>
            </w:r>
          </w:p>
        </w:tc>
      </w:tr>
      <w:tr w:rsidR="00E81493" w:rsidRPr="004E5CDC" w14:paraId="1D9BB3FB"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5A261FD2"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Malta</w:t>
            </w:r>
          </w:p>
        </w:tc>
        <w:tc>
          <w:tcPr>
            <w:tcW w:w="1668" w:type="dxa"/>
            <w:noWrap/>
            <w:hideMark/>
          </w:tcPr>
          <w:p w14:paraId="039F9ECC"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785</w:t>
            </w:r>
          </w:p>
        </w:tc>
      </w:tr>
      <w:tr w:rsidR="00E81493" w:rsidRPr="004E5CDC" w14:paraId="6E49DC50"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79545CAD"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Slovenija</w:t>
            </w:r>
          </w:p>
        </w:tc>
        <w:tc>
          <w:tcPr>
            <w:tcW w:w="1668" w:type="dxa"/>
            <w:noWrap/>
            <w:hideMark/>
          </w:tcPr>
          <w:p w14:paraId="34745767"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1.024</w:t>
            </w:r>
          </w:p>
        </w:tc>
      </w:tr>
      <w:tr w:rsidR="00E81493" w:rsidRPr="004E5CDC" w14:paraId="14BF0B66"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295D75C"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Španija</w:t>
            </w:r>
          </w:p>
        </w:tc>
        <w:tc>
          <w:tcPr>
            <w:tcW w:w="1668" w:type="dxa"/>
            <w:noWrap/>
            <w:hideMark/>
          </w:tcPr>
          <w:p w14:paraId="6973A648"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1.108</w:t>
            </w:r>
          </w:p>
        </w:tc>
      </w:tr>
      <w:tr w:rsidR="00E81493" w:rsidRPr="004E5CDC" w14:paraId="32326252"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00250979"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Francuska</w:t>
            </w:r>
          </w:p>
        </w:tc>
        <w:tc>
          <w:tcPr>
            <w:tcW w:w="1668" w:type="dxa"/>
            <w:noWrap/>
            <w:hideMark/>
          </w:tcPr>
          <w:p w14:paraId="27E90A06"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1.555</w:t>
            </w:r>
          </w:p>
        </w:tc>
      </w:tr>
      <w:tr w:rsidR="00E81493" w:rsidRPr="004E5CDC" w14:paraId="75DCB983"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51F2B95B"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Njemačka</w:t>
            </w:r>
          </w:p>
        </w:tc>
        <w:tc>
          <w:tcPr>
            <w:tcW w:w="1668" w:type="dxa"/>
            <w:noWrap/>
            <w:hideMark/>
          </w:tcPr>
          <w:p w14:paraId="67BDC288"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1.614</w:t>
            </w:r>
          </w:p>
        </w:tc>
      </w:tr>
      <w:tr w:rsidR="00E81493" w:rsidRPr="004E5CDC" w14:paraId="2403B943"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FC5DC30"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Belgija</w:t>
            </w:r>
          </w:p>
        </w:tc>
        <w:tc>
          <w:tcPr>
            <w:tcW w:w="1668" w:type="dxa"/>
            <w:noWrap/>
            <w:hideMark/>
          </w:tcPr>
          <w:p w14:paraId="549CF22E"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1.626</w:t>
            </w:r>
          </w:p>
        </w:tc>
      </w:tr>
      <w:tr w:rsidR="00E81493" w:rsidRPr="004E5CDC" w14:paraId="4D9E8B92"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3DE6FE0E"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Holandija</w:t>
            </w:r>
          </w:p>
        </w:tc>
        <w:tc>
          <w:tcPr>
            <w:tcW w:w="1668" w:type="dxa"/>
            <w:noWrap/>
            <w:hideMark/>
          </w:tcPr>
          <w:p w14:paraId="61AD3A32" w14:textId="77777777" w:rsidR="00E81493" w:rsidRPr="004E5CDC" w:rsidRDefault="00E81493" w:rsidP="00E81493">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1.685</w:t>
            </w:r>
          </w:p>
        </w:tc>
      </w:tr>
      <w:tr w:rsidR="00E81493" w:rsidRPr="004E5CDC" w14:paraId="4D757075" w14:textId="77777777" w:rsidTr="00361E20">
        <w:trPr>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565D4019"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Irska</w:t>
            </w:r>
          </w:p>
        </w:tc>
        <w:tc>
          <w:tcPr>
            <w:tcW w:w="1668" w:type="dxa"/>
            <w:noWrap/>
            <w:hideMark/>
          </w:tcPr>
          <w:p w14:paraId="5270D3AD" w14:textId="77777777" w:rsidR="00E81493" w:rsidRPr="004E5CDC" w:rsidRDefault="00E81493" w:rsidP="00E81493">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1.724</w:t>
            </w:r>
          </w:p>
        </w:tc>
      </w:tr>
      <w:tr w:rsidR="00E81493" w:rsidRPr="004E5CDC" w14:paraId="3941778A" w14:textId="77777777" w:rsidTr="00361E2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110" w:type="dxa"/>
            <w:tcBorders>
              <w:left w:val="none" w:sz="0" w:space="0" w:color="auto"/>
              <w:bottom w:val="none" w:sz="0" w:space="0" w:color="auto"/>
            </w:tcBorders>
            <w:noWrap/>
            <w:hideMark/>
          </w:tcPr>
          <w:p w14:paraId="2D6825D3" w14:textId="77777777" w:rsidR="00E81493" w:rsidRPr="004E5CDC" w:rsidRDefault="00E81493" w:rsidP="00E81493">
            <w:pPr>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 xml:space="preserve">Luksemburg </w:t>
            </w:r>
          </w:p>
        </w:tc>
        <w:tc>
          <w:tcPr>
            <w:tcW w:w="1668" w:type="dxa"/>
            <w:noWrap/>
            <w:hideMark/>
          </w:tcPr>
          <w:p w14:paraId="0F7FEA05" w14:textId="77777777" w:rsidR="00E81493" w:rsidRPr="004E5CDC" w:rsidRDefault="00E81493" w:rsidP="004C37CD">
            <w:pPr>
              <w:keepNext/>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20"/>
                <w:szCs w:val="20"/>
                <w:lang w:val="sr-Latn-RS" w:eastAsia="sr-Latn-CS"/>
              </w:rPr>
            </w:pPr>
            <w:r w:rsidRPr="004E5CDC">
              <w:rPr>
                <w:rFonts w:ascii="Cambria" w:eastAsia="Times New Roman" w:hAnsi="Cambria" w:cs="Arial"/>
                <w:color w:val="000000"/>
                <w:sz w:val="20"/>
                <w:szCs w:val="20"/>
                <w:lang w:val="sr-Latn-RS" w:eastAsia="sr-Latn-CS"/>
              </w:rPr>
              <w:t>2.202</w:t>
            </w:r>
          </w:p>
        </w:tc>
      </w:tr>
    </w:tbl>
    <w:p w14:paraId="1F93CC0A" w14:textId="77777777" w:rsidR="00E81493" w:rsidRPr="004E5CDC" w:rsidRDefault="004C37CD" w:rsidP="004C37CD">
      <w:pPr>
        <w:pStyle w:val="Caption"/>
        <w:rPr>
          <w:rFonts w:ascii="Cambria" w:hAnsi="Cambria"/>
          <w:sz w:val="20"/>
          <w:szCs w:val="20"/>
          <w:lang w:val="sr-Latn-RS"/>
        </w:rPr>
      </w:pPr>
      <w:r w:rsidRPr="004E5CDC">
        <w:rPr>
          <w:rFonts w:ascii="Cambria" w:hAnsi="Cambria"/>
          <w:sz w:val="20"/>
          <w:szCs w:val="20"/>
          <w:lang w:val="sr-Latn-RS"/>
        </w:rPr>
        <w:t>Izvor: Eurostat</w:t>
      </w:r>
    </w:p>
    <w:p w14:paraId="04076C7C" w14:textId="6DD7CC92" w:rsidR="006739AA" w:rsidRPr="004E5CDC" w:rsidRDefault="000F0DD7" w:rsidP="000F0DD7">
      <w:pPr>
        <w:jc w:val="both"/>
        <w:rPr>
          <w:rFonts w:ascii="Cambria" w:hAnsi="Cambria"/>
          <w:sz w:val="24"/>
          <w:szCs w:val="24"/>
          <w:lang w:val="sr-Latn-RS"/>
        </w:rPr>
      </w:pPr>
      <w:r w:rsidRPr="004E5CDC">
        <w:rPr>
          <w:rFonts w:ascii="Cambria" w:hAnsi="Cambria"/>
          <w:sz w:val="24"/>
          <w:szCs w:val="24"/>
          <w:lang w:val="sr-Latn-RS"/>
        </w:rPr>
        <w:t xml:space="preserve">Prvi oblik minimalne zarade </w:t>
      </w:r>
      <w:r w:rsidR="00355A4A" w:rsidRPr="004E5CDC">
        <w:rPr>
          <w:rFonts w:ascii="Cambria" w:hAnsi="Cambria"/>
          <w:sz w:val="24"/>
          <w:szCs w:val="24"/>
          <w:lang w:val="sr-Latn-RS"/>
        </w:rPr>
        <w:t xml:space="preserve">u Crnoj Gori </w:t>
      </w:r>
      <w:r w:rsidRPr="004E5CDC">
        <w:rPr>
          <w:rFonts w:ascii="Cambria" w:hAnsi="Cambria"/>
          <w:sz w:val="24"/>
          <w:szCs w:val="24"/>
          <w:lang w:val="sr-Latn-RS"/>
        </w:rPr>
        <w:t xml:space="preserve">uveden </w:t>
      </w:r>
      <w:r w:rsidR="00355A4A" w:rsidRPr="004E5CDC">
        <w:rPr>
          <w:rFonts w:ascii="Cambria" w:hAnsi="Cambria"/>
          <w:sz w:val="24"/>
          <w:szCs w:val="24"/>
          <w:lang w:val="sr-Latn-RS"/>
        </w:rPr>
        <w:t>je</w:t>
      </w:r>
      <w:r w:rsidR="00355A4A" w:rsidRPr="004E5CDC" w:rsidDel="00355A4A">
        <w:rPr>
          <w:rFonts w:ascii="Cambria" w:hAnsi="Cambria"/>
          <w:sz w:val="24"/>
          <w:szCs w:val="24"/>
          <w:lang w:val="sr-Latn-RS"/>
        </w:rPr>
        <w:t xml:space="preserve"> </w:t>
      </w:r>
      <w:r w:rsidRPr="004E5CDC">
        <w:rPr>
          <w:rFonts w:ascii="Cambria" w:hAnsi="Cambria"/>
          <w:sz w:val="24"/>
          <w:szCs w:val="24"/>
          <w:lang w:val="sr-Latn-RS"/>
        </w:rPr>
        <w:t>1994. godine, Opštim kolektivnim ugovorom, tako što su definisani koeficijenti, koji su zavisili od stepena obrazovanja, množeni sa minimalnom cijenom rada</w:t>
      </w:r>
      <w:r w:rsidR="00E50D72">
        <w:rPr>
          <w:rFonts w:ascii="Cambria" w:hAnsi="Cambria"/>
          <w:sz w:val="24"/>
          <w:szCs w:val="24"/>
          <w:lang w:val="sr-Latn-RS"/>
        </w:rPr>
        <w:t xml:space="preserve"> i procentom minulog rada</w:t>
      </w:r>
      <w:r w:rsidRPr="004E5CDC">
        <w:rPr>
          <w:rFonts w:ascii="Cambria" w:hAnsi="Cambria"/>
          <w:sz w:val="24"/>
          <w:szCs w:val="24"/>
          <w:lang w:val="sr-Latn-RS"/>
        </w:rPr>
        <w:t>. Zakonom o radu 2008. godine implementiran je koncept minimalne zarade po ugledu na međunarodnu praksu. Minimalna zarada u Crnoj Gori je Zakonom o radu iz 2011. godine utvrđena na minimalno 30% prosječne bruto zarade u Crnoj Gori u prethodnom polugodištu. Kao jednu od mjera fiskalne konsolidacije i borbe protiv neformalne ekonomije</w:t>
      </w:r>
      <w:r w:rsidR="002266AD" w:rsidRPr="004E5CDC">
        <w:rPr>
          <w:rFonts w:ascii="Cambria" w:hAnsi="Cambria"/>
          <w:sz w:val="24"/>
          <w:szCs w:val="24"/>
          <w:lang w:val="sr-Latn-RS"/>
        </w:rPr>
        <w:t>,</w:t>
      </w:r>
      <w:r w:rsidRPr="004E5CDC">
        <w:rPr>
          <w:rFonts w:ascii="Cambria" w:hAnsi="Cambria"/>
          <w:sz w:val="24"/>
          <w:szCs w:val="24"/>
          <w:lang w:val="sr-Latn-RS"/>
        </w:rPr>
        <w:t xml:space="preserve"> Vlada Crne Gore je 2013. </w:t>
      </w:r>
      <w:r w:rsidRPr="004E5CDC">
        <w:rPr>
          <w:rFonts w:ascii="Cambria" w:hAnsi="Cambria"/>
          <w:sz w:val="24"/>
          <w:szCs w:val="24"/>
          <w:lang w:val="sr-Latn-RS"/>
        </w:rPr>
        <w:lastRenderedPageBreak/>
        <w:t>godine utvrdila minimalnu zaradu u neto iznosu 193€ ili 288€ u bruto iznosu, što je odgovaralo približno 40% prosječne zarade. Od 1. jula 2019. godine</w:t>
      </w:r>
      <w:r w:rsidR="002266AD" w:rsidRPr="004E5CDC">
        <w:rPr>
          <w:rFonts w:ascii="Cambria" w:hAnsi="Cambria"/>
          <w:sz w:val="24"/>
          <w:szCs w:val="24"/>
          <w:lang w:val="sr-Latn-RS"/>
        </w:rPr>
        <w:t>,</w:t>
      </w:r>
      <w:r w:rsidRPr="004E5CDC">
        <w:rPr>
          <w:rFonts w:ascii="Cambria" w:hAnsi="Cambria"/>
          <w:sz w:val="24"/>
          <w:szCs w:val="24"/>
          <w:lang w:val="sr-Latn-RS"/>
        </w:rPr>
        <w:t xml:space="preserve"> minimalna zarada u Crnoj Gori povećana je na 222 € u neto iznosu </w:t>
      </w:r>
      <w:r w:rsidR="00195351" w:rsidRPr="004E5CDC">
        <w:rPr>
          <w:rFonts w:ascii="Cambria" w:hAnsi="Cambria"/>
          <w:sz w:val="24"/>
          <w:szCs w:val="24"/>
          <w:lang w:val="sr-Latn-RS"/>
        </w:rPr>
        <w:t>odnosno 331,34 € u bruto iznosu</w:t>
      </w:r>
      <w:r w:rsidRPr="004E5CDC">
        <w:rPr>
          <w:rFonts w:ascii="Cambria" w:hAnsi="Cambria"/>
          <w:sz w:val="24"/>
          <w:szCs w:val="24"/>
          <w:lang w:val="sr-Latn-RS"/>
        </w:rPr>
        <w:t>, što je na nivou od 42,36% prosječne zarade</w:t>
      </w:r>
      <w:r w:rsidRPr="004E5CDC">
        <w:rPr>
          <w:rStyle w:val="FootnoteReference"/>
          <w:rFonts w:ascii="Cambria" w:hAnsi="Cambria"/>
          <w:sz w:val="24"/>
          <w:szCs w:val="24"/>
          <w:lang w:val="sr-Latn-RS"/>
        </w:rPr>
        <w:footnoteReference w:id="5"/>
      </w:r>
      <w:r w:rsidRPr="004E5CDC">
        <w:rPr>
          <w:rFonts w:ascii="Cambria" w:hAnsi="Cambria"/>
          <w:sz w:val="24"/>
          <w:szCs w:val="24"/>
          <w:lang w:val="sr-Latn-RS"/>
        </w:rPr>
        <w:t xml:space="preserve"> u našoj zemlji. Usvojenim izmjena Zakona o radu u maju </w:t>
      </w:r>
      <w:r w:rsidR="00596351" w:rsidRPr="004E5CDC">
        <w:rPr>
          <w:rFonts w:ascii="Cambria" w:hAnsi="Cambria"/>
          <w:sz w:val="24"/>
          <w:szCs w:val="24"/>
          <w:lang w:val="sr-Latn-RS"/>
        </w:rPr>
        <w:t>2021. godine</w:t>
      </w:r>
      <w:r w:rsidRPr="004E5CDC">
        <w:rPr>
          <w:rFonts w:ascii="Cambria" w:hAnsi="Cambria"/>
          <w:sz w:val="24"/>
          <w:szCs w:val="24"/>
          <w:lang w:val="sr-Latn-RS"/>
        </w:rPr>
        <w:t xml:space="preserve">, minimalna zarada od 1. oktobra </w:t>
      </w:r>
      <w:r w:rsidR="00195351" w:rsidRPr="004E5CDC">
        <w:rPr>
          <w:rFonts w:ascii="Cambria" w:hAnsi="Cambria"/>
          <w:sz w:val="24"/>
          <w:szCs w:val="24"/>
          <w:lang w:val="sr-Latn-RS"/>
        </w:rPr>
        <w:t>iznosi</w:t>
      </w:r>
      <w:r w:rsidRPr="004E5CDC">
        <w:rPr>
          <w:rFonts w:ascii="Cambria" w:hAnsi="Cambria"/>
          <w:sz w:val="24"/>
          <w:szCs w:val="24"/>
          <w:lang w:val="sr-Latn-RS"/>
        </w:rPr>
        <w:t xml:space="preserve"> 250€ </w:t>
      </w:r>
      <w:r w:rsidR="00195351" w:rsidRPr="004E5CDC">
        <w:rPr>
          <w:rFonts w:ascii="Cambria" w:hAnsi="Cambria"/>
          <w:sz w:val="24"/>
          <w:szCs w:val="24"/>
          <w:lang w:val="sr-Latn-RS"/>
        </w:rPr>
        <w:t xml:space="preserve">u neto </w:t>
      </w:r>
      <w:r w:rsidRPr="004E5CDC">
        <w:rPr>
          <w:rFonts w:ascii="Cambria" w:hAnsi="Cambria"/>
          <w:sz w:val="24"/>
          <w:szCs w:val="24"/>
          <w:lang w:val="sr-Latn-RS"/>
        </w:rPr>
        <w:t>odnosno 373,1€ u bruto iznosu</w:t>
      </w:r>
      <w:r w:rsidR="0066676C">
        <w:rPr>
          <w:rFonts w:ascii="Cambria" w:hAnsi="Cambria"/>
          <w:sz w:val="24"/>
          <w:szCs w:val="24"/>
          <w:lang w:val="sr-Latn-RS"/>
        </w:rPr>
        <w:t xml:space="preserve">, što je na nivou od </w:t>
      </w:r>
      <w:r w:rsidR="007D3259">
        <w:rPr>
          <w:rFonts w:ascii="Cambria" w:hAnsi="Cambria"/>
          <w:sz w:val="24"/>
          <w:szCs w:val="24"/>
          <w:lang w:val="sr-Latn-RS"/>
        </w:rPr>
        <w:t>47,71% prosječne zarade iz 2020. godine</w:t>
      </w:r>
      <w:r w:rsidRPr="004E5CDC">
        <w:rPr>
          <w:rFonts w:ascii="Cambria" w:hAnsi="Cambria"/>
          <w:sz w:val="24"/>
          <w:szCs w:val="24"/>
          <w:lang w:val="sr-Latn-RS"/>
        </w:rPr>
        <w:t xml:space="preserve">. </w:t>
      </w:r>
    </w:p>
    <w:p w14:paraId="2BD98426" w14:textId="57B792DF" w:rsidR="001047BF" w:rsidRPr="004E5CDC" w:rsidRDefault="00035590" w:rsidP="000F0DD7">
      <w:pPr>
        <w:jc w:val="both"/>
        <w:rPr>
          <w:rFonts w:ascii="Cambria" w:hAnsi="Cambria"/>
          <w:sz w:val="24"/>
          <w:szCs w:val="24"/>
          <w:lang w:val="sr-Latn-RS"/>
        </w:rPr>
      </w:pPr>
      <w:r w:rsidRPr="00035590">
        <w:rPr>
          <w:rFonts w:ascii="Cambria" w:hAnsi="Cambria"/>
          <w:sz w:val="24"/>
          <w:szCs w:val="24"/>
          <w:lang w:val="sr-Latn-RS"/>
        </w:rPr>
        <w:t>Povećanjem minimalne zarade Crna Gora se od 1. oktobra nalazi na četvrtom mjestu u regionu po visini minimalne neto zarade. Naime, najveća minimalna neto zarada je u Republici Hrvatskoj 453 €, dok u Republici Srpskoj minimalna zarada iznosi 276 €. Nešto nižu minimalnu cijenu rada imaju u Republici Srbiji u iznosu od 275 €, Sjevernoj Makedoniji u iznosu od 243 €, dok je u Albaniji 247 €. U Federaciji Bosne i Hercegovine mini</w:t>
      </w:r>
      <w:r w:rsidR="00F0663F">
        <w:rPr>
          <w:rFonts w:ascii="Cambria" w:hAnsi="Cambria"/>
          <w:sz w:val="24"/>
          <w:szCs w:val="24"/>
          <w:lang w:val="sr-Latn-RS"/>
        </w:rPr>
        <w:t>malna neto zarada iznosi 208 €.</w:t>
      </w:r>
    </w:p>
    <w:p w14:paraId="52AF7AFF" w14:textId="6AC995C5" w:rsidR="00B92D03" w:rsidRPr="004E5CDC" w:rsidRDefault="00A379A0" w:rsidP="00CF5725">
      <w:pPr>
        <w:jc w:val="both"/>
        <w:rPr>
          <w:rFonts w:ascii="Cambria" w:hAnsi="Cambria"/>
          <w:sz w:val="24"/>
          <w:szCs w:val="24"/>
          <w:lang w:val="sr-Latn-RS"/>
        </w:rPr>
      </w:pPr>
      <w:r w:rsidRPr="00AE5AE7">
        <w:rPr>
          <w:rFonts w:ascii="Cambria" w:hAnsi="Cambria"/>
          <w:sz w:val="24"/>
          <w:szCs w:val="24"/>
          <w:lang w:val="sr-Latn-RS"/>
        </w:rPr>
        <w:t>Prema podacima Uprave prihoda i carina za 2020. godinu, a zaključno sa predatim IOPPD obrascima u maju 2021. godine, ukupan broj zaposlenih koji su primali minimalnu zaradu je oko 15.800</w:t>
      </w:r>
      <w:r w:rsidRPr="00AE5AE7">
        <w:rPr>
          <w:rStyle w:val="FootnoteReference"/>
          <w:rFonts w:ascii="Cambria" w:hAnsi="Cambria"/>
          <w:sz w:val="24"/>
          <w:szCs w:val="24"/>
          <w:lang w:val="sr-Latn-RS"/>
        </w:rPr>
        <w:footnoteReference w:id="6"/>
      </w:r>
      <w:r w:rsidR="00E84996" w:rsidRPr="00AE5AE7">
        <w:rPr>
          <w:rFonts w:ascii="Cambria" w:hAnsi="Cambria"/>
          <w:sz w:val="24"/>
          <w:szCs w:val="24"/>
          <w:lang w:val="sr-Latn-RS"/>
        </w:rPr>
        <w:t xml:space="preserve">. </w:t>
      </w:r>
      <w:r w:rsidR="00E84996" w:rsidRPr="00AE5AE7">
        <w:rPr>
          <w:rFonts w:ascii="Cambria" w:hAnsi="Cambria"/>
          <w:b/>
          <w:sz w:val="24"/>
          <w:szCs w:val="24"/>
          <w:lang w:val="sr-Latn-RS"/>
        </w:rPr>
        <w:t xml:space="preserve">Sa povećanjem minimalne neto zarade na </w:t>
      </w:r>
      <w:r w:rsidR="00596351" w:rsidRPr="00AE5AE7">
        <w:rPr>
          <w:rFonts w:ascii="Cambria" w:hAnsi="Cambria"/>
          <w:b/>
          <w:sz w:val="24"/>
          <w:szCs w:val="24"/>
          <w:lang w:val="sr-Latn-RS"/>
        </w:rPr>
        <w:t>2</w:t>
      </w:r>
      <w:r w:rsidR="00E84996" w:rsidRPr="00AE5AE7">
        <w:rPr>
          <w:rFonts w:ascii="Cambria" w:hAnsi="Cambria"/>
          <w:b/>
          <w:sz w:val="24"/>
          <w:szCs w:val="24"/>
          <w:lang w:val="sr-Latn-RS"/>
        </w:rPr>
        <w:t xml:space="preserve">50€ od 1. oktobra, obuhvat zaposlenih koji primaju minimalnu zaradu povećan </w:t>
      </w:r>
      <w:r w:rsidR="00CB0228" w:rsidRPr="00AE5AE7">
        <w:rPr>
          <w:rFonts w:ascii="Cambria" w:hAnsi="Cambria"/>
          <w:b/>
          <w:sz w:val="24"/>
          <w:szCs w:val="24"/>
          <w:lang w:val="sr-Latn-RS"/>
        </w:rPr>
        <w:t xml:space="preserve">je </w:t>
      </w:r>
      <w:r w:rsidR="00E84996" w:rsidRPr="00AE5AE7">
        <w:rPr>
          <w:rFonts w:ascii="Cambria" w:hAnsi="Cambria"/>
          <w:b/>
          <w:sz w:val="24"/>
          <w:szCs w:val="24"/>
          <w:lang w:val="sr-Latn-RS"/>
        </w:rPr>
        <w:t>za oko 20.400.</w:t>
      </w:r>
    </w:p>
    <w:p w14:paraId="310E76A2" w14:textId="7C117450" w:rsidR="00BF2E7B" w:rsidRDefault="00BF2E7B" w:rsidP="00CF5725">
      <w:pPr>
        <w:jc w:val="both"/>
        <w:rPr>
          <w:rFonts w:ascii="Cambria" w:hAnsi="Cambria"/>
          <w:sz w:val="24"/>
          <w:szCs w:val="24"/>
          <w:lang w:val="sr-Latn-RS"/>
        </w:rPr>
      </w:pPr>
      <w:r w:rsidRPr="00F65EFF">
        <w:rPr>
          <w:rFonts w:ascii="Cambria" w:hAnsi="Cambria"/>
          <w:b/>
          <w:sz w:val="24"/>
          <w:szCs w:val="24"/>
          <w:lang w:val="sr-Latn-RS"/>
        </w:rPr>
        <w:t xml:space="preserve">Ako uzmemo u obzir ukupan broj zaposlenih, prema </w:t>
      </w:r>
      <w:r w:rsidR="00993460" w:rsidRPr="00F65EFF">
        <w:rPr>
          <w:rFonts w:ascii="Cambria" w:hAnsi="Cambria"/>
          <w:b/>
          <w:sz w:val="24"/>
          <w:szCs w:val="24"/>
          <w:lang w:val="sr-Latn-RS"/>
        </w:rPr>
        <w:t xml:space="preserve">administrativnim </w:t>
      </w:r>
      <w:r w:rsidRPr="00F65EFF">
        <w:rPr>
          <w:rFonts w:ascii="Cambria" w:hAnsi="Cambria"/>
          <w:b/>
          <w:sz w:val="24"/>
          <w:szCs w:val="24"/>
          <w:lang w:val="sr-Latn-RS"/>
        </w:rPr>
        <w:t xml:space="preserve">podacima </w:t>
      </w:r>
      <w:r w:rsidR="00993460" w:rsidRPr="00F65EFF">
        <w:rPr>
          <w:rFonts w:ascii="Cambria" w:hAnsi="Cambria"/>
          <w:b/>
          <w:sz w:val="24"/>
          <w:szCs w:val="24"/>
          <w:lang w:val="sr-Latn-RS"/>
        </w:rPr>
        <w:t>Uprave za statistiku</w:t>
      </w:r>
      <w:r w:rsidRPr="00F65EFF">
        <w:rPr>
          <w:rFonts w:ascii="Cambria" w:hAnsi="Cambria"/>
          <w:b/>
          <w:sz w:val="24"/>
          <w:szCs w:val="24"/>
          <w:lang w:val="sr-Latn-RS"/>
        </w:rPr>
        <w:t xml:space="preserve">, </w:t>
      </w:r>
      <w:r w:rsidR="00993460" w:rsidRPr="00F65EFF">
        <w:rPr>
          <w:rFonts w:ascii="Cambria" w:hAnsi="Cambria"/>
          <w:b/>
          <w:sz w:val="24"/>
          <w:szCs w:val="24"/>
          <w:lang w:val="sr-Latn-RS"/>
        </w:rPr>
        <w:t xml:space="preserve">koji je u aprilu iznosio 153.172, učešće zaposlenih koji primaju minimalnu zaradu (250€) u ukupnom broju zaposlenih </w:t>
      </w:r>
      <w:r w:rsidR="00CB0228" w:rsidRPr="00F65EFF">
        <w:rPr>
          <w:rFonts w:ascii="Cambria" w:hAnsi="Cambria"/>
          <w:b/>
          <w:sz w:val="24"/>
          <w:szCs w:val="24"/>
          <w:lang w:val="sr-Latn-RS"/>
        </w:rPr>
        <w:t>iznosi</w:t>
      </w:r>
      <w:r w:rsidR="00993460" w:rsidRPr="00F65EFF">
        <w:rPr>
          <w:rFonts w:ascii="Cambria" w:hAnsi="Cambria"/>
          <w:b/>
          <w:sz w:val="24"/>
          <w:szCs w:val="24"/>
          <w:lang w:val="sr-Latn-RS"/>
        </w:rPr>
        <w:t xml:space="preserve"> oko 23,6%</w:t>
      </w:r>
      <w:r w:rsidR="00993460" w:rsidRPr="00F65EFF">
        <w:rPr>
          <w:rFonts w:ascii="Cambria" w:hAnsi="Cambria"/>
          <w:sz w:val="24"/>
          <w:szCs w:val="24"/>
          <w:lang w:val="sr-Latn-RS"/>
        </w:rPr>
        <w:t>.</w:t>
      </w:r>
      <w:r w:rsidR="00993460" w:rsidRPr="004E5CDC">
        <w:rPr>
          <w:rFonts w:ascii="Cambria" w:hAnsi="Cambria"/>
          <w:sz w:val="24"/>
          <w:szCs w:val="24"/>
          <w:lang w:val="sr-Latn-RS"/>
        </w:rPr>
        <w:t xml:space="preserve"> </w:t>
      </w:r>
    </w:p>
    <w:p w14:paraId="4B2FB991" w14:textId="0E769E89" w:rsidR="000540DF" w:rsidRPr="000540DF" w:rsidRDefault="000540DF" w:rsidP="000540DF">
      <w:pPr>
        <w:jc w:val="both"/>
        <w:rPr>
          <w:rFonts w:ascii="Cambria" w:hAnsi="Cambria"/>
          <w:sz w:val="24"/>
          <w:szCs w:val="24"/>
          <w:lang w:val="sr-Latn-RS"/>
        </w:rPr>
      </w:pPr>
      <w:r w:rsidRPr="000540DF">
        <w:rPr>
          <w:rFonts w:ascii="Cambria" w:hAnsi="Cambria"/>
          <w:sz w:val="24"/>
          <w:szCs w:val="24"/>
          <w:lang w:val="sr-Latn-RS"/>
        </w:rPr>
        <w:t xml:space="preserve">Odnos minimalne zarade i minimalne potrošačke korpe u Crnoj Gori u periodu od 2010. do 2020. godine se kretao u intervalu od 30% do 34%. U periodu nakon 2010. godine u kontinuitetu raste minimalna potrošačka korpa, dok se minimalna zarada ne povećava, pa tako u 2019. godini njihov odnos je na istorijskom minimumu i minimalnom </w:t>
      </w:r>
      <w:r w:rsidR="00112C70">
        <w:rPr>
          <w:rFonts w:ascii="Cambria" w:hAnsi="Cambria"/>
          <w:sz w:val="24"/>
          <w:szCs w:val="24"/>
          <w:lang w:val="sr-Latn-RS"/>
        </w:rPr>
        <w:t>zaradom</w:t>
      </w:r>
      <w:r w:rsidRPr="000540DF">
        <w:rPr>
          <w:rFonts w:ascii="Cambria" w:hAnsi="Cambria"/>
          <w:sz w:val="24"/>
          <w:szCs w:val="24"/>
          <w:lang w:val="sr-Latn-RS"/>
        </w:rPr>
        <w:t xml:space="preserve"> se može kupiti samo 30% minimalne potrošačke korpe. Podizanjem minimalne </w:t>
      </w:r>
      <w:r w:rsidR="00112C70">
        <w:rPr>
          <w:rFonts w:ascii="Cambria" w:hAnsi="Cambria"/>
          <w:sz w:val="24"/>
          <w:szCs w:val="24"/>
          <w:lang w:val="sr-Latn-RS"/>
        </w:rPr>
        <w:t>zarade</w:t>
      </w:r>
      <w:r w:rsidRPr="000540DF">
        <w:rPr>
          <w:rFonts w:ascii="Cambria" w:hAnsi="Cambria"/>
          <w:sz w:val="24"/>
          <w:szCs w:val="24"/>
          <w:lang w:val="sr-Latn-RS"/>
        </w:rPr>
        <w:t xml:space="preserve"> na 222 eura krajem 2019. godine bilo je moguće pokriti svega 34% minimalne potrošačke korpe. Uzimajući u obzir da u strukturi potrošačke korpe, izdaci </w:t>
      </w:r>
      <w:r w:rsidR="003313E5">
        <w:rPr>
          <w:rFonts w:ascii="Cambria" w:hAnsi="Cambria"/>
          <w:sz w:val="24"/>
          <w:szCs w:val="24"/>
          <w:lang w:val="sr-Latn-RS"/>
        </w:rPr>
        <w:t>z</w:t>
      </w:r>
      <w:r w:rsidRPr="000540DF">
        <w:rPr>
          <w:rFonts w:ascii="Cambria" w:hAnsi="Cambria"/>
          <w:sz w:val="24"/>
          <w:szCs w:val="24"/>
          <w:lang w:val="sr-Latn-RS"/>
        </w:rPr>
        <w:t xml:space="preserve">a hranu i piće iznose više od 40%, minimalnom zaradom se tokom analiziranog perioda ni u jednoj godini nisu mogli, čak ni približno, pokriti neophodni (minimalni) troškovi hrane i pića. </w:t>
      </w:r>
    </w:p>
    <w:p w14:paraId="44A829BB" w14:textId="1835711D" w:rsidR="000540DF" w:rsidRDefault="000540DF" w:rsidP="000540DF">
      <w:pPr>
        <w:jc w:val="both"/>
        <w:rPr>
          <w:rFonts w:ascii="Cambria" w:hAnsi="Cambria"/>
          <w:sz w:val="24"/>
          <w:szCs w:val="24"/>
          <w:lang w:val="sr-Latn-RS"/>
        </w:rPr>
      </w:pPr>
      <w:r w:rsidRPr="000540DF">
        <w:rPr>
          <w:rFonts w:ascii="Cambria" w:hAnsi="Cambria"/>
          <w:sz w:val="24"/>
          <w:szCs w:val="24"/>
          <w:lang w:val="sr-Latn-RS"/>
        </w:rPr>
        <w:t>Uslijed ovako velike diskrepance, a u skladu sa prirodom zadovoljenja ljudskih potreba, kao i velikog broja zaposlenih koji su primali minimalnu zaradu jasno je uočljivo da je značajan broj građana Crne Gore imao velike probleme da zadovolji osnovne egzistencijalne potrebe. Nemogućnost zadovoljenja potreba višeg reda koje se prvenstveno odnose na druge aspekte kvaliteta života, kulturne potrebe, potrebe za samoostvarenjem i samoaktualizacijom predstavlja ograničavajući faktor rasta i razvoja društva u cjelini. Ljudski kapital, kao moguće neiscrpni faktor rasta, u ovom slučaju je značajno limitiran i ne može predstavljati generator daljeg rasta, već se postavljao kao njegovo ograničenje.</w:t>
      </w:r>
    </w:p>
    <w:p w14:paraId="43CCBA06" w14:textId="77777777" w:rsidR="006A1F74" w:rsidRDefault="006A1F74" w:rsidP="000540DF">
      <w:pPr>
        <w:jc w:val="both"/>
        <w:rPr>
          <w:rFonts w:ascii="Cambria" w:eastAsiaTheme="majorEastAsia" w:hAnsi="Cambria" w:cstheme="majorBidi"/>
          <w:b/>
          <w:color w:val="1481AB" w:themeColor="accent1" w:themeShade="BF"/>
          <w:sz w:val="32"/>
          <w:szCs w:val="32"/>
          <w:lang w:val="sr-Latn-RS"/>
        </w:rPr>
      </w:pPr>
    </w:p>
    <w:p w14:paraId="3D1553CF" w14:textId="77777777" w:rsidR="00C81CEA" w:rsidRDefault="00C81CEA" w:rsidP="000540DF">
      <w:pPr>
        <w:jc w:val="both"/>
        <w:rPr>
          <w:rFonts w:ascii="Cambria" w:eastAsiaTheme="majorEastAsia" w:hAnsi="Cambria" w:cstheme="majorBidi"/>
          <w:b/>
          <w:color w:val="1481AB" w:themeColor="accent1" w:themeShade="BF"/>
          <w:sz w:val="32"/>
          <w:szCs w:val="32"/>
          <w:lang w:val="sr-Latn-RS"/>
        </w:rPr>
      </w:pPr>
    </w:p>
    <w:p w14:paraId="55411CD5" w14:textId="53E2C110" w:rsidR="00C5306D" w:rsidRPr="00F91371" w:rsidRDefault="00C5306D" w:rsidP="000540DF">
      <w:pPr>
        <w:jc w:val="both"/>
        <w:rPr>
          <w:rFonts w:ascii="Cambria" w:eastAsiaTheme="majorEastAsia" w:hAnsi="Cambria" w:cstheme="majorBidi"/>
          <w:b/>
          <w:color w:val="1481AB" w:themeColor="accent1" w:themeShade="BF"/>
          <w:sz w:val="32"/>
          <w:szCs w:val="32"/>
          <w:lang w:val="sr-Latn-RS"/>
        </w:rPr>
      </w:pPr>
      <w:r w:rsidRPr="00B8764E">
        <w:rPr>
          <w:rFonts w:ascii="Cambria" w:eastAsiaTheme="majorEastAsia" w:hAnsi="Cambria" w:cstheme="majorBidi"/>
          <w:b/>
          <w:color w:val="1481AB" w:themeColor="accent1" w:themeShade="BF"/>
          <w:sz w:val="32"/>
          <w:szCs w:val="32"/>
          <w:lang w:val="sr-Latn-RS"/>
        </w:rPr>
        <w:lastRenderedPageBreak/>
        <w:t>SISTEM ZDRAVSTVENE ZAŠTITE U CRNOJ GORI</w:t>
      </w:r>
    </w:p>
    <w:p w14:paraId="173E0BFD"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 xml:space="preserve">Zdravstvena zaštita predstavlja skup mjera i aktivnosti na očuvanju, zaštiti i unapređenju zdravlja građana, sprječavanju i suzbijanju bolesti i povreda, ranom otkrivanju bolesti i blagovremenom liječenju i rehabilitaciji. </w:t>
      </w:r>
    </w:p>
    <w:p w14:paraId="425E9B0A" w14:textId="042803F9"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Finansiranje sistema socijalne zaštite, čiji dio je zdravstveno osiguranje, bazirano je na principu osiguranja i solidarnosti. Ovakav model finansiranja povećava trošak radne snage preko doprinosa zaposlenih i troškove poslovanja preko doprinosa poslodavca. Finansiranje sistema socijalne zaštite inkorporira tri izvora sredstava:</w:t>
      </w:r>
    </w:p>
    <w:p w14:paraId="426E95F7"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1.</w:t>
      </w:r>
      <w:r w:rsidRPr="005E50AC">
        <w:rPr>
          <w:rFonts w:ascii="Cambria" w:hAnsi="Cambria"/>
          <w:sz w:val="24"/>
          <w:szCs w:val="24"/>
          <w:lang w:val="sr-Latn-RS"/>
        </w:rPr>
        <w:tab/>
        <w:t>doprinose koje plaćaju poslodavci i zaposleni;</w:t>
      </w:r>
    </w:p>
    <w:p w14:paraId="277BFB93"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2.</w:t>
      </w:r>
      <w:r w:rsidRPr="005E50AC">
        <w:rPr>
          <w:rFonts w:ascii="Cambria" w:hAnsi="Cambria"/>
          <w:sz w:val="24"/>
          <w:szCs w:val="24"/>
          <w:lang w:val="sr-Latn-RS"/>
        </w:rPr>
        <w:tab/>
        <w:t>poreze i takse (na automobile, duvan, alkohol, i drugo); i</w:t>
      </w:r>
    </w:p>
    <w:p w14:paraId="5A6EFDE2" w14:textId="71DBD08C"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3.</w:t>
      </w:r>
      <w:r w:rsidRPr="005E50AC">
        <w:rPr>
          <w:rFonts w:ascii="Cambria" w:hAnsi="Cambria"/>
          <w:sz w:val="24"/>
          <w:szCs w:val="24"/>
          <w:lang w:val="sr-Latn-RS"/>
        </w:rPr>
        <w:tab/>
        <w:t>javne kontribucije (iz državnog budžeta).</w:t>
      </w:r>
    </w:p>
    <w:p w14:paraId="6F0EABE1"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 xml:space="preserve">Jugoslavija je, početkom 90ih godina, krenula u reformu sistema finansiranja socijalnog osiguranja transformacijom tzv. SIZ-ova, invalidsko-penzijskog osiguranja, zdravstvenog osiguranja, dječjeg dodatka i dječje zaštite, socijalne zaštite i zapošljavanja, i napuštanjem tzv. slobodne razmjene rada. Na ovaj način se inovirao finansijski mehanizam povratkom na fondovsko finansiranje socijalnih djelatnosti sa budžetskim dotacijama i subvencijama.  </w:t>
      </w:r>
    </w:p>
    <w:p w14:paraId="021A3B23"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 xml:space="preserve">Prema Svjetskom zdravstvenom forumu samo zdravstvena infrastruktura i broj ljekara ne mogu imati prevashodan uticaj na zdravstveno stanje stanovništva, ukoliko ne postoje „drugi uslovi“ koji su vezani za društveni proizvod i za nivo zdravstvene potrošnje. Razvijene zemlje imaju skoro dva puta veći broj ljekara na hiljadu stanovnika, ali i dva puta veću smrtnost odojčadi. </w:t>
      </w:r>
    </w:p>
    <w:p w14:paraId="435B65E9" w14:textId="77777777" w:rsidR="00F91371" w:rsidRPr="005E50AC" w:rsidRDefault="00F91371" w:rsidP="00F91371">
      <w:pPr>
        <w:jc w:val="both"/>
        <w:rPr>
          <w:rFonts w:ascii="Cambria" w:hAnsi="Cambria"/>
          <w:sz w:val="24"/>
          <w:szCs w:val="24"/>
          <w:lang w:val="sr-Latn-RS"/>
        </w:rPr>
      </w:pPr>
      <w:r w:rsidRPr="005E50AC">
        <w:rPr>
          <w:rFonts w:ascii="Cambria" w:hAnsi="Cambria"/>
          <w:sz w:val="24"/>
          <w:szCs w:val="24"/>
          <w:lang w:val="sr-Latn-RS"/>
        </w:rPr>
        <w:t xml:space="preserve">U finansijskoj teoriji i praksi egistiraju tri modela finansiranja zdravstvene zaštite, i to tržišni, model nacionalne zdravstvene službe, i model obaveznog zdravstvenog osiguranja.  </w:t>
      </w:r>
    </w:p>
    <w:p w14:paraId="75A50ED1" w14:textId="7D9D10D8" w:rsidR="00C5306D" w:rsidRPr="005E50AC" w:rsidRDefault="00F91371" w:rsidP="00F91371">
      <w:pPr>
        <w:jc w:val="both"/>
        <w:rPr>
          <w:rFonts w:ascii="Cambria" w:hAnsi="Cambria"/>
          <w:sz w:val="24"/>
          <w:szCs w:val="24"/>
          <w:lang w:val="sr-Latn-RS"/>
        </w:rPr>
      </w:pPr>
      <w:r w:rsidRPr="005E50AC">
        <w:rPr>
          <w:rFonts w:ascii="Cambria" w:hAnsi="Cambria"/>
          <w:sz w:val="24"/>
          <w:szCs w:val="24"/>
          <w:lang w:val="sr-Latn-RS"/>
        </w:rPr>
        <w:t>Program „Evropa sad“ podrazumijeva sistem u kojem su svi građani jednaki u korišćenju zdravstvene zaštite i koji se finansira iz državnog budžeta (sličan model ima Velika Britanija). Na ovaj način se cjelokupna zdravstvena zaštita finansira iz poreskih sredstava koja se uplaćuju u nacionalni budžet, dok se participacije građana odnose se uglavnom na ljekove u izvanbolničkom korišćenju. Na ovaj način će se obezbijediti besplatna i univerzalno dostupna zdravstvena zaštita za svakog građanina, a u zdravstvenoj zaštiti staviće se naglasak na preventivu.</w:t>
      </w:r>
    </w:p>
    <w:p w14:paraId="16225BB4" w14:textId="48B48E3E" w:rsidR="00F91371" w:rsidRPr="00B8764E" w:rsidRDefault="00F91371" w:rsidP="00F91371">
      <w:pPr>
        <w:jc w:val="both"/>
        <w:rPr>
          <w:rFonts w:ascii="Cambria" w:hAnsi="Cambria"/>
          <w:sz w:val="24"/>
          <w:szCs w:val="24"/>
          <w:lang w:val="sr-Latn-RS"/>
        </w:rPr>
      </w:pPr>
      <w:r w:rsidRPr="00B8764E">
        <w:rPr>
          <w:rFonts w:ascii="Cambria" w:hAnsi="Cambria"/>
          <w:sz w:val="24"/>
          <w:szCs w:val="24"/>
          <w:lang w:val="sr-Latn-RS"/>
        </w:rPr>
        <w:t>Ujedno, kroz predložene izmjene akcizne politike koje su sastavni dio ovog programa, prihodi koji se ubiraju od oporezivanja proizvoda koji negativno utiču na zdravlje stanovništva, koristiće se za finansiranje zdravstvenog sistema.</w:t>
      </w:r>
    </w:p>
    <w:p w14:paraId="51C1B531" w14:textId="489CF821" w:rsidR="00F91371" w:rsidRPr="004E5CDC" w:rsidRDefault="00F91371" w:rsidP="00F91371">
      <w:pPr>
        <w:jc w:val="both"/>
        <w:rPr>
          <w:rFonts w:ascii="Cambria" w:hAnsi="Cambria"/>
          <w:sz w:val="24"/>
          <w:szCs w:val="24"/>
          <w:lang w:val="sr-Latn-RS"/>
        </w:rPr>
      </w:pPr>
      <w:r w:rsidRPr="00B8764E">
        <w:rPr>
          <w:rFonts w:ascii="Cambria" w:hAnsi="Cambria"/>
          <w:sz w:val="24"/>
          <w:szCs w:val="24"/>
          <w:lang w:val="sr-Latn-RS"/>
        </w:rPr>
        <w:t>Reforma sistema zdravstvene zaštite ostaje jedan od najvećih prioriteta kako bi se omogućio efikasan sistem i povećao kvaitet usluga zdravstvene zaštite u korist svih građana</w:t>
      </w:r>
      <w:r>
        <w:rPr>
          <w:rFonts w:ascii="Cambria" w:hAnsi="Cambria"/>
          <w:sz w:val="24"/>
          <w:szCs w:val="24"/>
          <w:lang w:val="sr-Latn-RS"/>
        </w:rPr>
        <w:t>.</w:t>
      </w:r>
    </w:p>
    <w:p w14:paraId="12E9F135" w14:textId="616CB84A" w:rsidR="00CB0228" w:rsidRPr="004E5CDC" w:rsidRDefault="00044D7A" w:rsidP="00B849AB">
      <w:pPr>
        <w:pStyle w:val="Heading1"/>
        <w:jc w:val="both"/>
        <w:rPr>
          <w:rFonts w:ascii="Cambria" w:hAnsi="Cambria"/>
          <w:b/>
          <w:lang w:val="sr-Latn-RS"/>
        </w:rPr>
      </w:pPr>
      <w:bookmarkStart w:id="5" w:name="_Toc86755070"/>
      <w:r w:rsidRPr="004E5CDC">
        <w:rPr>
          <w:rFonts w:ascii="Cambria" w:hAnsi="Cambria"/>
          <w:b/>
          <w:lang w:val="sr-Latn-RS"/>
        </w:rPr>
        <w:lastRenderedPageBreak/>
        <w:t>ANALIZA PROMJENE MINIMALNE ZARADE I PORESKOG OPTEREĆENJA RADA</w:t>
      </w:r>
      <w:r w:rsidR="00D60C2D" w:rsidRPr="004E5CDC">
        <w:rPr>
          <w:rFonts w:ascii="Cambria" w:hAnsi="Cambria"/>
          <w:b/>
          <w:lang w:val="sr-Latn-RS"/>
        </w:rPr>
        <w:t xml:space="preserve"> – PREDLOŽENI MODEL</w:t>
      </w:r>
      <w:bookmarkEnd w:id="5"/>
    </w:p>
    <w:p w14:paraId="33D73541" w14:textId="77777777" w:rsidR="001F0040" w:rsidRPr="004E5CDC" w:rsidRDefault="001F0040" w:rsidP="001F0040">
      <w:pPr>
        <w:rPr>
          <w:rFonts w:ascii="Cambria" w:hAnsi="Cambria"/>
          <w:lang w:val="sr-Latn-RS"/>
        </w:rPr>
      </w:pPr>
    </w:p>
    <w:p w14:paraId="6222BE86" w14:textId="0C242B68" w:rsidR="00CB0228" w:rsidRPr="004E5CDC" w:rsidRDefault="00596351" w:rsidP="001F0040">
      <w:pPr>
        <w:rPr>
          <w:rFonts w:ascii="Cambria" w:hAnsi="Cambria"/>
          <w:sz w:val="24"/>
          <w:szCs w:val="24"/>
          <w:lang w:val="sr-Latn-RS"/>
        </w:rPr>
      </w:pPr>
      <w:r w:rsidRPr="004E5CDC">
        <w:rPr>
          <w:rFonts w:ascii="Cambria" w:hAnsi="Cambria"/>
          <w:sz w:val="24"/>
          <w:szCs w:val="24"/>
          <w:lang w:val="sr-Latn-RS"/>
        </w:rPr>
        <w:t>Polazn</w:t>
      </w:r>
      <w:r w:rsidR="00F14797">
        <w:rPr>
          <w:rFonts w:ascii="Cambria" w:hAnsi="Cambria"/>
          <w:sz w:val="24"/>
          <w:szCs w:val="24"/>
          <w:lang w:val="sr-Latn-RS"/>
        </w:rPr>
        <w:t>e</w:t>
      </w:r>
      <w:r w:rsidRPr="004E5CDC">
        <w:rPr>
          <w:rFonts w:ascii="Cambria" w:hAnsi="Cambria"/>
          <w:sz w:val="24"/>
          <w:szCs w:val="24"/>
          <w:lang w:val="sr-Latn-RS"/>
        </w:rPr>
        <w:t xml:space="preserve"> osnov</w:t>
      </w:r>
      <w:r w:rsidR="00F14797">
        <w:rPr>
          <w:rFonts w:ascii="Cambria" w:hAnsi="Cambria"/>
          <w:sz w:val="24"/>
          <w:szCs w:val="24"/>
          <w:lang w:val="sr-Latn-RS"/>
        </w:rPr>
        <w:t>e</w:t>
      </w:r>
      <w:r w:rsidRPr="004E5CDC">
        <w:rPr>
          <w:rFonts w:ascii="Cambria" w:hAnsi="Cambria"/>
          <w:sz w:val="24"/>
          <w:szCs w:val="24"/>
          <w:lang w:val="sr-Latn-RS"/>
        </w:rPr>
        <w:t xml:space="preserve"> za predlog novog modela oporezivanja rada u Crnoj Gori su:</w:t>
      </w:r>
    </w:p>
    <w:p w14:paraId="69F4188F" w14:textId="084A961A" w:rsidR="00596351" w:rsidRPr="004E5CDC" w:rsidRDefault="00CB0228" w:rsidP="002C72CC">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v</w:t>
      </w:r>
      <w:r w:rsidR="00596351" w:rsidRPr="004E5CDC">
        <w:rPr>
          <w:rFonts w:ascii="Cambria" w:hAnsi="Cambria"/>
          <w:sz w:val="24"/>
          <w:szCs w:val="24"/>
          <w:lang w:val="sr-Latn-RS"/>
        </w:rPr>
        <w:t xml:space="preserve">isoko poresko opterećenje na rad i zahtjevi udruženja poslodavaca za </w:t>
      </w:r>
      <w:r w:rsidR="006C3F87" w:rsidRPr="004E5CDC">
        <w:rPr>
          <w:rFonts w:ascii="Cambria" w:hAnsi="Cambria"/>
          <w:sz w:val="24"/>
          <w:szCs w:val="24"/>
          <w:lang w:val="sr-Latn-RS"/>
        </w:rPr>
        <w:t>njegovim</w:t>
      </w:r>
      <w:r w:rsidR="00596351" w:rsidRPr="004E5CDC">
        <w:rPr>
          <w:rFonts w:ascii="Cambria" w:hAnsi="Cambria"/>
          <w:sz w:val="24"/>
          <w:szCs w:val="24"/>
          <w:lang w:val="sr-Latn-RS"/>
        </w:rPr>
        <w:t xml:space="preserve"> smanjenjem;</w:t>
      </w:r>
    </w:p>
    <w:p w14:paraId="545F05C8" w14:textId="0D7300EC" w:rsidR="00596351" w:rsidRPr="004E5CDC" w:rsidRDefault="00C23EF4" w:rsidP="00596351">
      <w:pPr>
        <w:pStyle w:val="ListParagraph"/>
        <w:numPr>
          <w:ilvl w:val="0"/>
          <w:numId w:val="3"/>
        </w:numPr>
        <w:jc w:val="both"/>
        <w:rPr>
          <w:rFonts w:ascii="Cambria" w:hAnsi="Cambria"/>
          <w:sz w:val="24"/>
          <w:szCs w:val="24"/>
          <w:lang w:val="sr-Latn-RS"/>
        </w:rPr>
      </w:pPr>
      <w:r>
        <w:rPr>
          <w:rFonts w:ascii="Cambria" w:hAnsi="Cambria"/>
          <w:sz w:val="24"/>
          <w:szCs w:val="24"/>
          <w:lang w:val="sr-Latn-RS"/>
        </w:rPr>
        <w:t>nizak</w:t>
      </w:r>
      <w:r w:rsidR="007D3259">
        <w:rPr>
          <w:rFonts w:ascii="Cambria" w:hAnsi="Cambria"/>
          <w:sz w:val="24"/>
          <w:szCs w:val="24"/>
          <w:lang w:val="sr-Latn-RS"/>
        </w:rPr>
        <w:t xml:space="preserve"> životni </w:t>
      </w:r>
      <w:r w:rsidR="00596351" w:rsidRPr="004E5CDC">
        <w:rPr>
          <w:rFonts w:ascii="Cambria" w:hAnsi="Cambria"/>
          <w:sz w:val="24"/>
          <w:szCs w:val="24"/>
          <w:lang w:val="sr-Latn-RS"/>
        </w:rPr>
        <w:t xml:space="preserve">standard zaposlenih sa najnižim primanjima  </w:t>
      </w:r>
      <w:r w:rsidR="00B82364" w:rsidRPr="004E5CDC">
        <w:rPr>
          <w:rFonts w:ascii="Cambria" w:hAnsi="Cambria"/>
          <w:sz w:val="24"/>
          <w:szCs w:val="24"/>
          <w:lang w:val="sr-Latn-RS"/>
        </w:rPr>
        <w:t xml:space="preserve">i zahtjevi sindikalnih udruženja </w:t>
      </w:r>
      <w:r w:rsidR="00C35BAA" w:rsidRPr="004E5CDC">
        <w:rPr>
          <w:rFonts w:ascii="Cambria" w:hAnsi="Cambria"/>
          <w:sz w:val="24"/>
          <w:szCs w:val="24"/>
          <w:lang w:val="sr-Latn-RS"/>
        </w:rPr>
        <w:t>za povećanjem</w:t>
      </w:r>
      <w:r w:rsidR="00F14797">
        <w:rPr>
          <w:rFonts w:ascii="Cambria" w:hAnsi="Cambria"/>
          <w:sz w:val="24"/>
          <w:szCs w:val="24"/>
          <w:lang w:val="sr-Latn-RS"/>
        </w:rPr>
        <w:t xml:space="preserve"> minimalne zarade</w:t>
      </w:r>
      <w:r w:rsidR="00B82364" w:rsidRPr="004E5CDC">
        <w:rPr>
          <w:rFonts w:ascii="Cambria" w:hAnsi="Cambria"/>
          <w:sz w:val="24"/>
          <w:szCs w:val="24"/>
          <w:lang w:val="sr-Latn-RS"/>
        </w:rPr>
        <w:t>;</w:t>
      </w:r>
    </w:p>
    <w:p w14:paraId="5C6DAFB5" w14:textId="6353F85F" w:rsidR="00596351" w:rsidRPr="004E5CDC" w:rsidRDefault="00B82364" w:rsidP="00147BF5">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 xml:space="preserve">opredjeljenje Vlade Crne Gore da se instrumentima fiskalne politike obezbijedi manje poresko opterećenje </w:t>
      </w:r>
      <w:r w:rsidR="00C35BAA" w:rsidRPr="004E5CDC">
        <w:rPr>
          <w:rFonts w:ascii="Cambria" w:hAnsi="Cambria"/>
          <w:sz w:val="24"/>
          <w:szCs w:val="24"/>
          <w:lang w:val="sr-Latn-RS"/>
        </w:rPr>
        <w:t>na rad</w:t>
      </w:r>
      <w:r w:rsidR="00CA09C9">
        <w:rPr>
          <w:rFonts w:ascii="Cambria" w:hAnsi="Cambria"/>
          <w:sz w:val="24"/>
          <w:szCs w:val="24"/>
          <w:lang w:val="sr-Latn-RS"/>
        </w:rPr>
        <w:t xml:space="preserve"> </w:t>
      </w:r>
      <w:r w:rsidR="007D3259">
        <w:rPr>
          <w:rFonts w:ascii="Cambria" w:hAnsi="Cambria"/>
          <w:sz w:val="24"/>
          <w:szCs w:val="24"/>
          <w:lang w:val="sr-Latn-RS"/>
        </w:rPr>
        <w:t xml:space="preserve">a </w:t>
      </w:r>
      <w:r w:rsidR="00C35BAA" w:rsidRPr="004E5CDC">
        <w:rPr>
          <w:rFonts w:ascii="Cambria" w:hAnsi="Cambria"/>
          <w:sz w:val="24"/>
          <w:szCs w:val="24"/>
          <w:lang w:val="sr-Latn-RS"/>
        </w:rPr>
        <w:t>povećanje</w:t>
      </w:r>
      <w:r w:rsidR="007D3259">
        <w:rPr>
          <w:rFonts w:ascii="Cambria" w:hAnsi="Cambria"/>
          <w:sz w:val="24"/>
          <w:szCs w:val="24"/>
          <w:lang w:val="sr-Latn-RS"/>
        </w:rPr>
        <w:t>m</w:t>
      </w:r>
      <w:r w:rsidRPr="004E5CDC">
        <w:rPr>
          <w:rFonts w:ascii="Cambria" w:hAnsi="Cambria"/>
          <w:sz w:val="24"/>
          <w:szCs w:val="24"/>
          <w:lang w:val="sr-Latn-RS"/>
        </w:rPr>
        <w:t xml:space="preserve"> poresko</w:t>
      </w:r>
      <w:r w:rsidR="00C35BAA" w:rsidRPr="004E5CDC">
        <w:rPr>
          <w:rFonts w:ascii="Cambria" w:hAnsi="Cambria"/>
          <w:sz w:val="24"/>
          <w:szCs w:val="24"/>
          <w:lang w:val="sr-Latn-RS"/>
        </w:rPr>
        <w:t>g opterećenja</w:t>
      </w:r>
      <w:r w:rsidRPr="004E5CDC">
        <w:rPr>
          <w:rFonts w:ascii="Cambria" w:hAnsi="Cambria"/>
          <w:sz w:val="24"/>
          <w:szCs w:val="24"/>
          <w:lang w:val="sr-Latn-RS"/>
        </w:rPr>
        <w:t xml:space="preserve"> kroz uvođenje pr</w:t>
      </w:r>
      <w:r w:rsidR="008C5939" w:rsidRPr="004E5CDC">
        <w:rPr>
          <w:rFonts w:ascii="Cambria" w:hAnsi="Cambria"/>
          <w:sz w:val="24"/>
          <w:szCs w:val="24"/>
          <w:lang w:val="sr-Latn-RS"/>
        </w:rPr>
        <w:t xml:space="preserve">ogresivne stope poreza na </w:t>
      </w:r>
      <w:r w:rsidR="00AA30EE">
        <w:rPr>
          <w:rFonts w:ascii="Cambria" w:hAnsi="Cambria"/>
          <w:sz w:val="24"/>
          <w:szCs w:val="24"/>
          <w:lang w:val="sr-Latn-RS"/>
        </w:rPr>
        <w:t xml:space="preserve">dohodak i </w:t>
      </w:r>
      <w:r w:rsidR="008C5939" w:rsidRPr="004E5CDC">
        <w:rPr>
          <w:rFonts w:ascii="Cambria" w:hAnsi="Cambria"/>
          <w:sz w:val="24"/>
          <w:szCs w:val="24"/>
          <w:lang w:val="sr-Latn-RS"/>
        </w:rPr>
        <w:t>dobit i drugih poreskih intervencija</w:t>
      </w:r>
      <w:r w:rsidR="007D3259">
        <w:rPr>
          <w:rFonts w:ascii="Cambria" w:hAnsi="Cambria"/>
          <w:sz w:val="24"/>
          <w:szCs w:val="24"/>
          <w:lang w:val="sr-Latn-RS"/>
        </w:rPr>
        <w:t>,</w:t>
      </w:r>
      <w:r w:rsidR="008C5939" w:rsidRPr="004E5CDC">
        <w:rPr>
          <w:rFonts w:ascii="Cambria" w:hAnsi="Cambria"/>
          <w:sz w:val="24"/>
          <w:szCs w:val="24"/>
          <w:lang w:val="sr-Latn-RS"/>
        </w:rPr>
        <w:t xml:space="preserve">  </w:t>
      </w:r>
      <w:r w:rsidR="00CA09C9">
        <w:rPr>
          <w:rFonts w:ascii="Cambria" w:hAnsi="Cambria"/>
          <w:sz w:val="24"/>
          <w:szCs w:val="24"/>
          <w:lang w:val="sr-Latn-RS"/>
        </w:rPr>
        <w:t xml:space="preserve">kojima će se </w:t>
      </w:r>
      <w:r w:rsidR="008C5939" w:rsidRPr="004E5CDC">
        <w:rPr>
          <w:rFonts w:ascii="Cambria" w:hAnsi="Cambria"/>
          <w:sz w:val="24"/>
          <w:szCs w:val="24"/>
          <w:lang w:val="sr-Latn-RS"/>
        </w:rPr>
        <w:t>kompenzova</w:t>
      </w:r>
      <w:r w:rsidR="00CA09C9">
        <w:rPr>
          <w:rFonts w:ascii="Cambria" w:hAnsi="Cambria"/>
          <w:sz w:val="24"/>
          <w:szCs w:val="24"/>
          <w:lang w:val="sr-Latn-RS"/>
        </w:rPr>
        <w:t>ti</w:t>
      </w:r>
      <w:r w:rsidR="008C5939" w:rsidRPr="004E5CDC">
        <w:rPr>
          <w:rFonts w:ascii="Cambria" w:hAnsi="Cambria"/>
          <w:sz w:val="24"/>
          <w:szCs w:val="24"/>
          <w:lang w:val="sr-Latn-RS"/>
        </w:rPr>
        <w:t xml:space="preserve"> izgubljen</w:t>
      </w:r>
      <w:r w:rsidR="007D3259">
        <w:rPr>
          <w:rFonts w:ascii="Cambria" w:hAnsi="Cambria"/>
          <w:sz w:val="24"/>
          <w:szCs w:val="24"/>
          <w:lang w:val="sr-Latn-RS"/>
        </w:rPr>
        <w:t>i</w:t>
      </w:r>
      <w:r w:rsidR="008C5939" w:rsidRPr="004E5CDC">
        <w:rPr>
          <w:rFonts w:ascii="Cambria" w:hAnsi="Cambria"/>
          <w:sz w:val="24"/>
          <w:szCs w:val="24"/>
          <w:lang w:val="sr-Latn-RS"/>
        </w:rPr>
        <w:t xml:space="preserve"> </w:t>
      </w:r>
      <w:r w:rsidR="00C35BAA" w:rsidRPr="004E5CDC">
        <w:rPr>
          <w:rFonts w:ascii="Cambria" w:hAnsi="Cambria"/>
          <w:sz w:val="24"/>
          <w:szCs w:val="24"/>
          <w:lang w:val="sr-Latn-RS"/>
        </w:rPr>
        <w:t>budžetsk</w:t>
      </w:r>
      <w:r w:rsidR="007D3259">
        <w:rPr>
          <w:rFonts w:ascii="Cambria" w:hAnsi="Cambria"/>
          <w:sz w:val="24"/>
          <w:szCs w:val="24"/>
          <w:lang w:val="sr-Latn-RS"/>
        </w:rPr>
        <w:t>i</w:t>
      </w:r>
      <w:r w:rsidR="00C35BAA" w:rsidRPr="004E5CDC">
        <w:rPr>
          <w:rFonts w:ascii="Cambria" w:hAnsi="Cambria"/>
          <w:sz w:val="24"/>
          <w:szCs w:val="24"/>
          <w:lang w:val="sr-Latn-RS"/>
        </w:rPr>
        <w:t xml:space="preserve"> </w:t>
      </w:r>
      <w:r w:rsidR="008C5939" w:rsidRPr="004E5CDC">
        <w:rPr>
          <w:rFonts w:ascii="Cambria" w:hAnsi="Cambria"/>
          <w:sz w:val="24"/>
          <w:szCs w:val="24"/>
          <w:lang w:val="sr-Latn-RS"/>
        </w:rPr>
        <w:t>prihod</w:t>
      </w:r>
      <w:r w:rsidR="007D3259">
        <w:rPr>
          <w:rFonts w:ascii="Cambria" w:hAnsi="Cambria"/>
          <w:sz w:val="24"/>
          <w:szCs w:val="24"/>
          <w:lang w:val="sr-Latn-RS"/>
        </w:rPr>
        <w:t>i</w:t>
      </w:r>
      <w:r w:rsidR="008C5939" w:rsidRPr="004E5CDC">
        <w:rPr>
          <w:rFonts w:ascii="Cambria" w:hAnsi="Cambria"/>
          <w:sz w:val="24"/>
          <w:szCs w:val="24"/>
          <w:lang w:val="sr-Latn-RS"/>
        </w:rPr>
        <w:t>.</w:t>
      </w:r>
    </w:p>
    <w:p w14:paraId="76FA9BBA" w14:textId="77777777" w:rsidR="00B82364" w:rsidRPr="004E5CDC" w:rsidRDefault="008C5939" w:rsidP="00B82364">
      <w:pPr>
        <w:jc w:val="both"/>
        <w:rPr>
          <w:rFonts w:ascii="Cambria" w:hAnsi="Cambria"/>
          <w:b/>
          <w:sz w:val="24"/>
          <w:szCs w:val="24"/>
          <w:lang w:val="sr-Latn-RS"/>
        </w:rPr>
      </w:pPr>
      <w:r w:rsidRPr="004E5CDC">
        <w:rPr>
          <w:rFonts w:ascii="Cambria" w:hAnsi="Cambria"/>
          <w:b/>
          <w:sz w:val="24"/>
          <w:szCs w:val="24"/>
          <w:lang w:val="sr-Latn-RS"/>
        </w:rPr>
        <w:t>Po</w:t>
      </w:r>
      <w:r w:rsidR="00223B17" w:rsidRPr="004E5CDC">
        <w:rPr>
          <w:rFonts w:ascii="Cambria" w:hAnsi="Cambria"/>
          <w:b/>
          <w:sz w:val="24"/>
          <w:szCs w:val="24"/>
          <w:lang w:val="sr-Latn-RS"/>
        </w:rPr>
        <w:t>lazeći od navedenog, predlažu se</w:t>
      </w:r>
      <w:r w:rsidR="00145A1C">
        <w:rPr>
          <w:rFonts w:ascii="Cambria" w:hAnsi="Cambria"/>
          <w:b/>
          <w:sz w:val="24"/>
          <w:szCs w:val="24"/>
          <w:lang w:val="sr-Latn-RS"/>
        </w:rPr>
        <w:t xml:space="preserve"> sljedeće i</w:t>
      </w:r>
      <w:r w:rsidR="00B82364" w:rsidRPr="004E5CDC">
        <w:rPr>
          <w:rFonts w:ascii="Cambria" w:hAnsi="Cambria"/>
          <w:b/>
          <w:sz w:val="24"/>
          <w:szCs w:val="24"/>
          <w:lang w:val="sr-Latn-RS"/>
        </w:rPr>
        <w:t>zmjene poreskog opterećenja rada:</w:t>
      </w:r>
    </w:p>
    <w:p w14:paraId="07351AC5" w14:textId="77777777" w:rsidR="00B82364" w:rsidRPr="004E5CDC" w:rsidRDefault="00B82364" w:rsidP="00B82364">
      <w:pPr>
        <w:pStyle w:val="ListParagraph"/>
        <w:numPr>
          <w:ilvl w:val="0"/>
          <w:numId w:val="3"/>
        </w:numPr>
        <w:jc w:val="both"/>
        <w:rPr>
          <w:rFonts w:ascii="Cambria" w:hAnsi="Cambria"/>
          <w:b/>
          <w:sz w:val="24"/>
          <w:szCs w:val="24"/>
          <w:lang w:val="sr-Latn-RS"/>
        </w:rPr>
      </w:pPr>
      <w:r w:rsidRPr="004E5CDC">
        <w:rPr>
          <w:rFonts w:ascii="Cambria" w:hAnsi="Cambria"/>
          <w:b/>
          <w:sz w:val="24"/>
          <w:szCs w:val="24"/>
          <w:lang w:val="sr-Latn-RS"/>
        </w:rPr>
        <w:t>povećanje minimalne zarade na 450€ u neto iznosu</w:t>
      </w:r>
      <w:r w:rsidR="00EE1392" w:rsidRPr="004E5CDC">
        <w:rPr>
          <w:rFonts w:ascii="Cambria" w:hAnsi="Cambria"/>
          <w:b/>
          <w:sz w:val="24"/>
          <w:szCs w:val="24"/>
          <w:lang w:val="sr-Latn-RS"/>
        </w:rPr>
        <w:t>;</w:t>
      </w:r>
    </w:p>
    <w:p w14:paraId="1B50B622" w14:textId="77777777" w:rsidR="00EE1392" w:rsidRPr="004E5CDC" w:rsidRDefault="00EE1392" w:rsidP="00B82364">
      <w:pPr>
        <w:pStyle w:val="ListParagraph"/>
        <w:numPr>
          <w:ilvl w:val="0"/>
          <w:numId w:val="3"/>
        </w:numPr>
        <w:jc w:val="both"/>
        <w:rPr>
          <w:rFonts w:ascii="Cambria" w:hAnsi="Cambria"/>
          <w:b/>
          <w:sz w:val="24"/>
          <w:szCs w:val="24"/>
          <w:lang w:val="sr-Latn-RS"/>
        </w:rPr>
      </w:pPr>
      <w:r w:rsidRPr="004E5CDC">
        <w:rPr>
          <w:rFonts w:ascii="Cambria" w:hAnsi="Cambria"/>
          <w:b/>
          <w:sz w:val="24"/>
          <w:szCs w:val="24"/>
          <w:lang w:val="sr-Latn-RS"/>
        </w:rPr>
        <w:t>uvođenj</w:t>
      </w:r>
      <w:r w:rsidR="002512F8" w:rsidRPr="004E5CDC">
        <w:rPr>
          <w:rFonts w:ascii="Cambria" w:hAnsi="Cambria"/>
          <w:b/>
          <w:sz w:val="24"/>
          <w:szCs w:val="24"/>
          <w:lang w:val="sr-Latn-RS"/>
        </w:rPr>
        <w:t xml:space="preserve">e neoporezivog dijela zarade </w:t>
      </w:r>
      <w:r w:rsidR="00145A1C">
        <w:rPr>
          <w:rFonts w:ascii="Cambria" w:hAnsi="Cambria"/>
          <w:b/>
          <w:sz w:val="24"/>
          <w:szCs w:val="24"/>
          <w:lang w:val="sr-Latn-RS"/>
        </w:rPr>
        <w:t>od 700€ na bruto osnovicu</w:t>
      </w:r>
      <w:r w:rsidRPr="004E5CDC">
        <w:rPr>
          <w:rFonts w:ascii="Cambria" w:hAnsi="Cambria"/>
          <w:b/>
          <w:sz w:val="24"/>
          <w:szCs w:val="24"/>
          <w:lang w:val="sr-Latn-RS"/>
        </w:rPr>
        <w:t xml:space="preserve"> (stopa poreza </w:t>
      </w:r>
      <w:r w:rsidR="00145A1C">
        <w:rPr>
          <w:rFonts w:ascii="Cambria" w:hAnsi="Cambria"/>
          <w:b/>
          <w:sz w:val="24"/>
          <w:szCs w:val="24"/>
          <w:lang w:val="sr-Latn-RS"/>
        </w:rPr>
        <w:t>na dohodak od 0% na bruto osnovicu</w:t>
      </w:r>
      <w:r w:rsidRPr="004E5CDC">
        <w:rPr>
          <w:rFonts w:ascii="Cambria" w:hAnsi="Cambria"/>
          <w:b/>
          <w:sz w:val="24"/>
          <w:szCs w:val="24"/>
          <w:lang w:val="sr-Latn-RS"/>
        </w:rPr>
        <w:t xml:space="preserve"> do 700€);</w:t>
      </w:r>
    </w:p>
    <w:p w14:paraId="02680388" w14:textId="444C075D" w:rsidR="008C5939" w:rsidRPr="004E5CDC" w:rsidRDefault="00EE1392" w:rsidP="008C5939">
      <w:pPr>
        <w:pStyle w:val="ListParagraph"/>
        <w:numPr>
          <w:ilvl w:val="0"/>
          <w:numId w:val="3"/>
        </w:numPr>
        <w:jc w:val="both"/>
        <w:rPr>
          <w:rFonts w:ascii="Cambria" w:hAnsi="Cambria"/>
          <w:b/>
          <w:sz w:val="24"/>
          <w:szCs w:val="24"/>
          <w:lang w:val="sr-Latn-RS"/>
        </w:rPr>
      </w:pPr>
      <w:r w:rsidRPr="004E5CDC">
        <w:rPr>
          <w:rFonts w:ascii="Cambria" w:hAnsi="Cambria"/>
          <w:b/>
          <w:sz w:val="24"/>
          <w:szCs w:val="24"/>
          <w:lang w:val="sr-Latn-RS"/>
        </w:rPr>
        <w:t xml:space="preserve">uvođenje </w:t>
      </w:r>
      <w:r w:rsidR="00EB5698">
        <w:rPr>
          <w:rFonts w:ascii="Cambria" w:hAnsi="Cambria"/>
          <w:b/>
          <w:sz w:val="24"/>
          <w:szCs w:val="24"/>
          <w:lang w:val="sr-Latn-RS"/>
        </w:rPr>
        <w:t>uvećane</w:t>
      </w:r>
      <w:r w:rsidR="00EB5698" w:rsidRPr="004E5CDC">
        <w:rPr>
          <w:rFonts w:ascii="Cambria" w:hAnsi="Cambria"/>
          <w:b/>
          <w:sz w:val="24"/>
          <w:szCs w:val="24"/>
          <w:lang w:val="sr-Latn-RS"/>
        </w:rPr>
        <w:t xml:space="preserve"> </w:t>
      </w:r>
      <w:r w:rsidRPr="004E5CDC">
        <w:rPr>
          <w:rFonts w:ascii="Cambria" w:hAnsi="Cambria"/>
          <w:b/>
          <w:sz w:val="24"/>
          <w:szCs w:val="24"/>
          <w:lang w:val="sr-Latn-RS"/>
        </w:rPr>
        <w:t>stope poreza n</w:t>
      </w:r>
      <w:r w:rsidR="00145A1C">
        <w:rPr>
          <w:rFonts w:ascii="Cambria" w:hAnsi="Cambria"/>
          <w:b/>
          <w:sz w:val="24"/>
          <w:szCs w:val="24"/>
          <w:lang w:val="sr-Latn-RS"/>
        </w:rPr>
        <w:t>a dohodak od 15% na bruto osnovicu</w:t>
      </w:r>
      <w:r w:rsidRPr="004E5CDC">
        <w:rPr>
          <w:rFonts w:ascii="Cambria" w:hAnsi="Cambria"/>
          <w:b/>
          <w:sz w:val="24"/>
          <w:szCs w:val="24"/>
          <w:lang w:val="sr-Latn-RS"/>
        </w:rPr>
        <w:t xml:space="preserve"> iznad 1</w:t>
      </w:r>
      <w:r w:rsidR="00E01008">
        <w:rPr>
          <w:rFonts w:ascii="Cambria" w:hAnsi="Cambria"/>
          <w:b/>
          <w:sz w:val="24"/>
          <w:szCs w:val="24"/>
          <w:lang w:val="sr-Latn-RS"/>
        </w:rPr>
        <w:t>.</w:t>
      </w:r>
      <w:r w:rsidRPr="004E5CDC">
        <w:rPr>
          <w:rFonts w:ascii="Cambria" w:hAnsi="Cambria"/>
          <w:b/>
          <w:sz w:val="24"/>
          <w:szCs w:val="24"/>
          <w:lang w:val="sr-Latn-RS"/>
        </w:rPr>
        <w:t>000€</w:t>
      </w:r>
      <w:r w:rsidR="008C5939" w:rsidRPr="004E5CDC">
        <w:rPr>
          <w:rFonts w:ascii="Cambria" w:hAnsi="Cambria"/>
          <w:b/>
          <w:sz w:val="24"/>
          <w:szCs w:val="24"/>
          <w:lang w:val="sr-Latn-RS"/>
        </w:rPr>
        <w:t>;</w:t>
      </w:r>
    </w:p>
    <w:p w14:paraId="6B5C2F54" w14:textId="7558D8AC" w:rsidR="008C5939" w:rsidRPr="004E5CDC" w:rsidRDefault="008C5939" w:rsidP="008C5939">
      <w:pPr>
        <w:pStyle w:val="ListParagraph"/>
        <w:numPr>
          <w:ilvl w:val="0"/>
          <w:numId w:val="3"/>
        </w:numPr>
        <w:jc w:val="both"/>
        <w:rPr>
          <w:rFonts w:ascii="Cambria" w:hAnsi="Cambria"/>
          <w:b/>
          <w:sz w:val="24"/>
          <w:szCs w:val="24"/>
          <w:lang w:val="sr-Latn-RS"/>
        </w:rPr>
      </w:pPr>
      <w:r w:rsidRPr="004E5CDC">
        <w:rPr>
          <w:rFonts w:ascii="Cambria" w:hAnsi="Cambria"/>
          <w:b/>
          <w:sz w:val="24"/>
          <w:szCs w:val="24"/>
          <w:lang w:val="sr-Latn-RS"/>
        </w:rPr>
        <w:t>ukidanje obaveze plaćanja doprinosa za obavezno zdravstveno osiguranje</w:t>
      </w:r>
      <w:r w:rsidR="001A02C0" w:rsidRPr="004E5CDC">
        <w:rPr>
          <w:rFonts w:ascii="Cambria" w:hAnsi="Cambria"/>
          <w:b/>
          <w:sz w:val="24"/>
          <w:szCs w:val="24"/>
          <w:lang w:val="sr-Latn-RS"/>
        </w:rPr>
        <w:t xml:space="preserve"> (ukidanje stope doprinosa na teret </w:t>
      </w:r>
      <w:r w:rsidR="00737590">
        <w:rPr>
          <w:rFonts w:ascii="Cambria" w:hAnsi="Cambria"/>
          <w:b/>
          <w:sz w:val="24"/>
          <w:szCs w:val="24"/>
          <w:lang w:val="sr-Latn-RS"/>
        </w:rPr>
        <w:t xml:space="preserve">i </w:t>
      </w:r>
      <w:r w:rsidR="001A02C0" w:rsidRPr="004E5CDC">
        <w:rPr>
          <w:rFonts w:ascii="Cambria" w:hAnsi="Cambria"/>
          <w:b/>
          <w:sz w:val="24"/>
          <w:szCs w:val="24"/>
          <w:lang w:val="sr-Latn-RS"/>
        </w:rPr>
        <w:t>zaposlenog i poslodavca)</w:t>
      </w:r>
      <w:r w:rsidRPr="004E5CDC">
        <w:rPr>
          <w:rFonts w:ascii="Cambria" w:hAnsi="Cambria"/>
          <w:b/>
          <w:sz w:val="24"/>
          <w:szCs w:val="24"/>
          <w:lang w:val="sr-Latn-RS"/>
        </w:rPr>
        <w:t>.</w:t>
      </w:r>
    </w:p>
    <w:p w14:paraId="4A9088D4" w14:textId="0043FD73" w:rsidR="008C5939" w:rsidRPr="004E5CDC" w:rsidRDefault="008C5939" w:rsidP="008C5939">
      <w:pPr>
        <w:jc w:val="both"/>
        <w:rPr>
          <w:rFonts w:ascii="Cambria" w:hAnsi="Cambria"/>
          <w:sz w:val="24"/>
          <w:szCs w:val="24"/>
          <w:lang w:val="sr-Latn-RS"/>
        </w:rPr>
      </w:pPr>
      <w:r w:rsidRPr="004E5CDC">
        <w:rPr>
          <w:rFonts w:ascii="Cambria" w:hAnsi="Cambria"/>
          <w:b/>
          <w:sz w:val="24"/>
          <w:szCs w:val="24"/>
          <w:lang w:val="sr-Latn-RS"/>
        </w:rPr>
        <w:t>Predloženom reformom</w:t>
      </w:r>
      <w:r w:rsidR="00294646" w:rsidRPr="004E5CDC">
        <w:rPr>
          <w:rFonts w:ascii="Cambria" w:hAnsi="Cambria"/>
          <w:b/>
          <w:sz w:val="24"/>
          <w:szCs w:val="24"/>
          <w:lang w:val="sr-Latn-RS"/>
        </w:rPr>
        <w:t>,</w:t>
      </w:r>
      <w:r w:rsidRPr="004E5CDC">
        <w:rPr>
          <w:rFonts w:ascii="Cambria" w:hAnsi="Cambria"/>
          <w:b/>
          <w:sz w:val="24"/>
          <w:szCs w:val="24"/>
          <w:lang w:val="sr-Latn-RS"/>
        </w:rPr>
        <w:t xml:space="preserve"> poresko opterećenje na rad </w:t>
      </w:r>
      <w:r w:rsidR="00172CC0" w:rsidRPr="004E5CDC">
        <w:rPr>
          <w:rFonts w:ascii="Cambria" w:hAnsi="Cambria"/>
          <w:b/>
          <w:sz w:val="24"/>
          <w:szCs w:val="24"/>
          <w:lang w:val="sr-Latn-RS"/>
        </w:rPr>
        <w:t>u</w:t>
      </w:r>
      <w:r w:rsidR="0054283B" w:rsidRPr="004E5CDC">
        <w:rPr>
          <w:rFonts w:ascii="Cambria" w:hAnsi="Cambria"/>
          <w:b/>
          <w:sz w:val="24"/>
          <w:szCs w:val="24"/>
          <w:lang w:val="sr-Latn-RS"/>
        </w:rPr>
        <w:t xml:space="preserve"> Crnoj Gori</w:t>
      </w:r>
      <w:r w:rsidR="00294646" w:rsidRPr="004E5CDC">
        <w:rPr>
          <w:rFonts w:ascii="Cambria" w:hAnsi="Cambria"/>
          <w:b/>
          <w:sz w:val="24"/>
          <w:szCs w:val="24"/>
          <w:lang w:val="sr-Latn-RS"/>
        </w:rPr>
        <w:t>,</w:t>
      </w:r>
      <w:r w:rsidR="0054283B" w:rsidRPr="004E5CDC">
        <w:rPr>
          <w:rFonts w:ascii="Cambria" w:hAnsi="Cambria"/>
          <w:b/>
          <w:sz w:val="24"/>
          <w:szCs w:val="24"/>
          <w:lang w:val="sr-Latn-RS"/>
        </w:rPr>
        <w:t xml:space="preserve"> smanjuje se sa sadašnjih 39%</w:t>
      </w:r>
      <w:r w:rsidR="00E01008">
        <w:rPr>
          <w:rFonts w:ascii="Cambria" w:hAnsi="Cambria"/>
          <w:b/>
          <w:sz w:val="24"/>
          <w:szCs w:val="24"/>
          <w:lang w:val="sr-Latn-RS"/>
        </w:rPr>
        <w:t>,</w:t>
      </w:r>
      <w:r w:rsidR="00172CC0" w:rsidRPr="004E5CDC">
        <w:rPr>
          <w:rFonts w:ascii="Cambria" w:hAnsi="Cambria"/>
          <w:b/>
          <w:sz w:val="24"/>
          <w:szCs w:val="24"/>
          <w:lang w:val="sr-Latn-RS"/>
        </w:rPr>
        <w:t xml:space="preserve"> </w:t>
      </w:r>
      <w:r w:rsidR="008C3653" w:rsidRPr="004E5CDC">
        <w:rPr>
          <w:rFonts w:ascii="Cambria" w:hAnsi="Cambria"/>
          <w:b/>
          <w:sz w:val="24"/>
          <w:szCs w:val="24"/>
          <w:lang w:val="sr-Latn-RS"/>
        </w:rPr>
        <w:t>za sve nivoe dohotka</w:t>
      </w:r>
      <w:r w:rsidR="00E01008">
        <w:rPr>
          <w:rFonts w:ascii="Cambria" w:hAnsi="Cambria"/>
          <w:b/>
          <w:sz w:val="24"/>
          <w:szCs w:val="24"/>
          <w:lang w:val="sr-Latn-RS"/>
        </w:rPr>
        <w:t>,</w:t>
      </w:r>
      <w:r w:rsidR="008C3653" w:rsidRPr="004E5CDC">
        <w:rPr>
          <w:rFonts w:ascii="Cambria" w:hAnsi="Cambria"/>
          <w:b/>
          <w:sz w:val="24"/>
          <w:szCs w:val="24"/>
          <w:lang w:val="sr-Latn-RS"/>
        </w:rPr>
        <w:t xml:space="preserve"> </w:t>
      </w:r>
      <w:r w:rsidR="00172CC0" w:rsidRPr="004E5CDC">
        <w:rPr>
          <w:rFonts w:ascii="Cambria" w:hAnsi="Cambria"/>
          <w:b/>
          <w:sz w:val="24"/>
          <w:szCs w:val="24"/>
          <w:lang w:val="sr-Latn-RS"/>
        </w:rPr>
        <w:t xml:space="preserve">na </w:t>
      </w:r>
      <w:r w:rsidR="002A7FCA" w:rsidRPr="004E5CDC">
        <w:rPr>
          <w:rFonts w:ascii="Cambria" w:hAnsi="Cambria"/>
          <w:b/>
          <w:sz w:val="24"/>
          <w:szCs w:val="24"/>
          <w:lang w:val="sr-Latn-RS"/>
        </w:rPr>
        <w:t>20</w:t>
      </w:r>
      <w:r w:rsidR="00D37427" w:rsidRPr="004E5CDC">
        <w:rPr>
          <w:rFonts w:ascii="Cambria" w:hAnsi="Cambria"/>
          <w:b/>
          <w:sz w:val="24"/>
          <w:szCs w:val="24"/>
          <w:lang w:val="sr-Latn-RS"/>
        </w:rPr>
        <w:t>,4</w:t>
      </w:r>
      <w:r w:rsidR="002A7FCA" w:rsidRPr="004E5CDC">
        <w:rPr>
          <w:rFonts w:ascii="Cambria" w:hAnsi="Cambria"/>
          <w:b/>
          <w:sz w:val="24"/>
          <w:szCs w:val="24"/>
          <w:lang w:val="sr-Latn-RS"/>
        </w:rPr>
        <w:t>% za nivo nove minimalne zarade (450€)</w:t>
      </w:r>
      <w:r w:rsidR="008C3653" w:rsidRPr="004E5CDC">
        <w:rPr>
          <w:rFonts w:ascii="Cambria" w:hAnsi="Cambria"/>
          <w:b/>
          <w:sz w:val="24"/>
          <w:szCs w:val="24"/>
          <w:lang w:val="sr-Latn-RS"/>
        </w:rPr>
        <w:t>,</w:t>
      </w:r>
      <w:r w:rsidR="00D37427" w:rsidRPr="004E5CDC">
        <w:rPr>
          <w:rFonts w:ascii="Cambria" w:hAnsi="Cambria"/>
          <w:b/>
          <w:sz w:val="24"/>
          <w:szCs w:val="24"/>
          <w:lang w:val="sr-Latn-RS"/>
        </w:rPr>
        <w:t xml:space="preserve"> a zatim se progresivno povećava sa rastom zarada </w:t>
      </w:r>
      <w:r w:rsidR="00294646" w:rsidRPr="004E5CDC">
        <w:rPr>
          <w:rFonts w:ascii="Cambria" w:hAnsi="Cambria"/>
          <w:b/>
          <w:sz w:val="24"/>
          <w:szCs w:val="24"/>
          <w:lang w:val="sr-Latn-RS"/>
        </w:rPr>
        <w:t>do</w:t>
      </w:r>
      <w:r w:rsidR="00D37427" w:rsidRPr="004E5CDC">
        <w:rPr>
          <w:rFonts w:ascii="Cambria" w:hAnsi="Cambria"/>
          <w:b/>
          <w:sz w:val="24"/>
          <w:szCs w:val="24"/>
          <w:lang w:val="sr-Latn-RS"/>
        </w:rPr>
        <w:t xml:space="preserve"> nivoa </w:t>
      </w:r>
      <w:r w:rsidR="00294646" w:rsidRPr="008F534E">
        <w:rPr>
          <w:rFonts w:ascii="Cambria" w:hAnsi="Cambria"/>
          <w:b/>
          <w:sz w:val="24"/>
          <w:szCs w:val="24"/>
          <w:lang w:val="sr-Latn-RS"/>
        </w:rPr>
        <w:t xml:space="preserve">od </w:t>
      </w:r>
      <w:r w:rsidR="008C3653" w:rsidRPr="008F534E">
        <w:rPr>
          <w:rFonts w:ascii="Cambria" w:hAnsi="Cambria"/>
          <w:b/>
          <w:sz w:val="24"/>
          <w:szCs w:val="24"/>
          <w:lang w:val="sr-Latn-RS"/>
        </w:rPr>
        <w:t>31,3</w:t>
      </w:r>
      <w:r w:rsidR="00294646" w:rsidRPr="008F534E">
        <w:rPr>
          <w:rFonts w:ascii="Cambria" w:hAnsi="Cambria"/>
          <w:b/>
          <w:sz w:val="24"/>
          <w:szCs w:val="24"/>
          <w:lang w:val="sr-Latn-RS"/>
        </w:rPr>
        <w:t>% za</w:t>
      </w:r>
      <w:r w:rsidR="008C3653" w:rsidRPr="008F534E">
        <w:rPr>
          <w:rFonts w:ascii="Cambria" w:hAnsi="Cambria"/>
          <w:b/>
          <w:sz w:val="24"/>
          <w:szCs w:val="24"/>
          <w:lang w:val="sr-Latn-RS"/>
        </w:rPr>
        <w:t xml:space="preserve"> nivo neto zarade</w:t>
      </w:r>
      <w:r w:rsidR="00294646" w:rsidRPr="008F534E">
        <w:rPr>
          <w:rFonts w:ascii="Cambria" w:hAnsi="Cambria"/>
          <w:b/>
          <w:sz w:val="24"/>
          <w:szCs w:val="24"/>
          <w:lang w:val="sr-Latn-RS"/>
        </w:rPr>
        <w:t xml:space="preserve"> od 2</w:t>
      </w:r>
      <w:r w:rsidR="00E01008">
        <w:rPr>
          <w:rFonts w:ascii="Cambria" w:hAnsi="Cambria"/>
          <w:b/>
          <w:sz w:val="24"/>
          <w:szCs w:val="24"/>
          <w:lang w:val="sr-Latn-RS"/>
        </w:rPr>
        <w:t>.</w:t>
      </w:r>
      <w:r w:rsidR="00294646" w:rsidRPr="008F534E">
        <w:rPr>
          <w:rFonts w:ascii="Cambria" w:hAnsi="Cambria"/>
          <w:b/>
          <w:sz w:val="24"/>
          <w:szCs w:val="24"/>
          <w:lang w:val="sr-Latn-RS"/>
        </w:rPr>
        <w:t xml:space="preserve">000€ i nadalje u zavisnosti od </w:t>
      </w:r>
      <w:r w:rsidR="00520557">
        <w:rPr>
          <w:rFonts w:ascii="Cambria" w:hAnsi="Cambria"/>
          <w:b/>
          <w:sz w:val="24"/>
          <w:szCs w:val="24"/>
          <w:lang w:val="sr-Latn-RS"/>
        </w:rPr>
        <w:t>nivoa</w:t>
      </w:r>
      <w:r w:rsidR="00294646" w:rsidRPr="008F534E">
        <w:rPr>
          <w:rFonts w:ascii="Cambria" w:hAnsi="Cambria"/>
          <w:b/>
          <w:sz w:val="24"/>
          <w:szCs w:val="24"/>
          <w:lang w:val="sr-Latn-RS"/>
        </w:rPr>
        <w:t xml:space="preserve"> </w:t>
      </w:r>
      <w:r w:rsidR="00520557" w:rsidRPr="008F534E">
        <w:rPr>
          <w:rFonts w:ascii="Cambria" w:hAnsi="Cambria"/>
          <w:b/>
          <w:sz w:val="24"/>
          <w:szCs w:val="24"/>
          <w:lang w:val="sr-Latn-RS"/>
        </w:rPr>
        <w:t>zarad</w:t>
      </w:r>
      <w:r w:rsidR="00520557">
        <w:rPr>
          <w:rFonts w:ascii="Cambria" w:hAnsi="Cambria"/>
          <w:b/>
          <w:sz w:val="24"/>
          <w:szCs w:val="24"/>
          <w:lang w:val="sr-Latn-RS"/>
        </w:rPr>
        <w:t>e</w:t>
      </w:r>
      <w:r w:rsidR="00294646" w:rsidRPr="008F534E">
        <w:rPr>
          <w:rFonts w:ascii="Cambria" w:hAnsi="Cambria"/>
          <w:sz w:val="24"/>
          <w:szCs w:val="24"/>
          <w:lang w:val="sr-Latn-RS"/>
        </w:rPr>
        <w:t>.</w:t>
      </w:r>
    </w:p>
    <w:p w14:paraId="25DDF95F" w14:textId="77777777" w:rsidR="007049C7" w:rsidRPr="004E5CDC" w:rsidRDefault="007049C7" w:rsidP="008C5939">
      <w:pPr>
        <w:jc w:val="both"/>
        <w:rPr>
          <w:rFonts w:ascii="Cambria" w:hAnsi="Cambria"/>
          <w:sz w:val="24"/>
          <w:szCs w:val="24"/>
          <w:lang w:val="sr-Latn-RS"/>
        </w:rPr>
      </w:pPr>
      <w:r w:rsidRPr="004E5CDC">
        <w:rPr>
          <w:rFonts w:ascii="Cambria" w:hAnsi="Cambria"/>
          <w:sz w:val="24"/>
          <w:szCs w:val="24"/>
          <w:lang w:val="sr-Latn-RS"/>
        </w:rPr>
        <w:t>Predloženom reformom postižu se sljedeći ciljevi:</w:t>
      </w:r>
    </w:p>
    <w:p w14:paraId="4FB46882" w14:textId="2C5C37EB" w:rsidR="00B849AB" w:rsidRDefault="007049C7" w:rsidP="00B849AB">
      <w:pPr>
        <w:pStyle w:val="ListParagraph"/>
        <w:numPr>
          <w:ilvl w:val="0"/>
          <w:numId w:val="3"/>
        </w:numPr>
        <w:jc w:val="both"/>
        <w:rPr>
          <w:rFonts w:ascii="Cambria" w:hAnsi="Cambria"/>
          <w:sz w:val="24"/>
          <w:szCs w:val="24"/>
          <w:lang w:val="sr-Latn-RS"/>
        </w:rPr>
      </w:pPr>
      <w:r w:rsidRPr="00B849AB">
        <w:rPr>
          <w:rFonts w:ascii="Cambria" w:hAnsi="Cambria"/>
          <w:sz w:val="24"/>
          <w:szCs w:val="24"/>
          <w:lang w:val="sr-Latn-RS"/>
        </w:rPr>
        <w:t>unapređuje se životni standard svih zaposlenih, posebno onih sa najnižim primanjima</w:t>
      </w:r>
      <w:r w:rsidR="007859A6">
        <w:rPr>
          <w:rFonts w:ascii="Cambria" w:hAnsi="Cambria"/>
          <w:sz w:val="24"/>
          <w:szCs w:val="24"/>
          <w:lang w:val="sr-Latn-RS"/>
        </w:rPr>
        <w:t>,</w:t>
      </w:r>
      <w:r w:rsidRPr="00B849AB">
        <w:rPr>
          <w:rFonts w:ascii="Cambria" w:hAnsi="Cambria"/>
          <w:sz w:val="24"/>
          <w:szCs w:val="24"/>
          <w:lang w:val="sr-Latn-RS"/>
        </w:rPr>
        <w:t xml:space="preserve"> što utiče na smanj</w:t>
      </w:r>
      <w:r w:rsidR="007859A6">
        <w:rPr>
          <w:rFonts w:ascii="Cambria" w:hAnsi="Cambria"/>
          <w:sz w:val="24"/>
          <w:szCs w:val="24"/>
          <w:lang w:val="sr-Latn-RS"/>
        </w:rPr>
        <w:t>enje</w:t>
      </w:r>
      <w:r w:rsidRPr="00B849AB">
        <w:rPr>
          <w:rFonts w:ascii="Cambria" w:hAnsi="Cambria"/>
          <w:sz w:val="24"/>
          <w:szCs w:val="24"/>
          <w:lang w:val="sr-Latn-RS"/>
        </w:rPr>
        <w:t xml:space="preserve"> nejednakost</w:t>
      </w:r>
      <w:r w:rsidR="004454DF" w:rsidRPr="00B849AB">
        <w:rPr>
          <w:rFonts w:ascii="Cambria" w:hAnsi="Cambria"/>
          <w:sz w:val="24"/>
          <w:szCs w:val="24"/>
          <w:lang w:val="sr-Latn-RS"/>
        </w:rPr>
        <w:t>i</w:t>
      </w:r>
      <w:r w:rsidRPr="00B849AB">
        <w:rPr>
          <w:rFonts w:ascii="Cambria" w:hAnsi="Cambria"/>
          <w:sz w:val="24"/>
          <w:szCs w:val="24"/>
          <w:lang w:val="sr-Latn-RS"/>
        </w:rPr>
        <w:t xml:space="preserve"> dohotka;</w:t>
      </w:r>
    </w:p>
    <w:p w14:paraId="571A2981" w14:textId="77777777" w:rsidR="00B849AB" w:rsidRDefault="00B849AB" w:rsidP="00B849AB">
      <w:pPr>
        <w:pStyle w:val="ListParagraph"/>
        <w:jc w:val="both"/>
        <w:rPr>
          <w:rFonts w:ascii="Cambria" w:hAnsi="Cambria"/>
          <w:sz w:val="24"/>
          <w:szCs w:val="24"/>
          <w:lang w:val="sr-Latn-RS"/>
        </w:rPr>
      </w:pPr>
    </w:p>
    <w:p w14:paraId="21B71162" w14:textId="565F75F1" w:rsidR="007049C7" w:rsidRDefault="007049C7" w:rsidP="00B849AB">
      <w:pPr>
        <w:pStyle w:val="ListParagraph"/>
        <w:numPr>
          <w:ilvl w:val="0"/>
          <w:numId w:val="3"/>
        </w:numPr>
        <w:jc w:val="both"/>
        <w:rPr>
          <w:rFonts w:ascii="Cambria" w:hAnsi="Cambria"/>
          <w:sz w:val="24"/>
          <w:szCs w:val="24"/>
          <w:lang w:val="sr-Latn-RS"/>
        </w:rPr>
      </w:pPr>
      <w:r w:rsidRPr="00B849AB">
        <w:rPr>
          <w:rFonts w:ascii="Cambria" w:hAnsi="Cambria"/>
          <w:sz w:val="24"/>
          <w:szCs w:val="24"/>
          <w:lang w:val="sr-Latn-RS"/>
        </w:rPr>
        <w:t xml:space="preserve">smanjuje se poresko opterećenje na rad, čime se stvaraju uslovi za smanjenje "sive ekonomije" na tržištu rada odnosno </w:t>
      </w:r>
      <w:r w:rsidR="00B849AB">
        <w:rPr>
          <w:rFonts w:ascii="Cambria" w:hAnsi="Cambria"/>
          <w:sz w:val="24"/>
          <w:szCs w:val="24"/>
          <w:lang w:val="sr-Latn-RS"/>
        </w:rPr>
        <w:t>podstiče formalno zapošljavanje</w:t>
      </w:r>
      <w:r w:rsidR="00826830">
        <w:rPr>
          <w:rFonts w:ascii="Cambria" w:hAnsi="Cambria"/>
          <w:sz w:val="24"/>
          <w:szCs w:val="24"/>
          <w:lang w:val="sr-Latn-RS"/>
        </w:rPr>
        <w:t>;</w:t>
      </w:r>
    </w:p>
    <w:p w14:paraId="5DEC1ED4" w14:textId="77777777" w:rsidR="00826830" w:rsidRPr="00E01008" w:rsidRDefault="00826830" w:rsidP="00E01008">
      <w:pPr>
        <w:pStyle w:val="ListParagraph"/>
        <w:rPr>
          <w:rFonts w:ascii="Cambria" w:hAnsi="Cambria"/>
          <w:sz w:val="24"/>
          <w:szCs w:val="24"/>
          <w:lang w:val="sr-Latn-RS"/>
        </w:rPr>
      </w:pPr>
    </w:p>
    <w:p w14:paraId="158301E3" w14:textId="7655B18F" w:rsidR="00826830" w:rsidRDefault="00826830" w:rsidP="00B849AB">
      <w:pPr>
        <w:pStyle w:val="ListParagraph"/>
        <w:numPr>
          <w:ilvl w:val="0"/>
          <w:numId w:val="3"/>
        </w:numPr>
        <w:jc w:val="both"/>
        <w:rPr>
          <w:rFonts w:ascii="Cambria" w:hAnsi="Cambria"/>
          <w:sz w:val="24"/>
          <w:szCs w:val="24"/>
          <w:lang w:val="sr-Latn-RS"/>
        </w:rPr>
      </w:pPr>
      <w:r>
        <w:rPr>
          <w:rFonts w:ascii="Cambria" w:hAnsi="Cambria"/>
          <w:sz w:val="24"/>
          <w:szCs w:val="24"/>
          <w:lang w:val="sr-Latn-RS"/>
        </w:rPr>
        <w:t xml:space="preserve">privredi se smanjuju troškovi rada i time omogućava da dio sredstava preusmjeri na </w:t>
      </w:r>
      <w:r w:rsidR="00333359">
        <w:rPr>
          <w:rFonts w:ascii="Cambria" w:hAnsi="Cambria"/>
          <w:sz w:val="24"/>
          <w:szCs w:val="24"/>
          <w:lang w:val="sr-Latn-RS"/>
        </w:rPr>
        <w:t xml:space="preserve">povećanje investicija ili </w:t>
      </w:r>
      <w:r>
        <w:rPr>
          <w:rFonts w:ascii="Cambria" w:hAnsi="Cambria"/>
          <w:sz w:val="24"/>
          <w:szCs w:val="24"/>
          <w:lang w:val="sr-Latn-RS"/>
        </w:rPr>
        <w:t>po</w:t>
      </w:r>
      <w:r w:rsidR="00333359">
        <w:rPr>
          <w:rFonts w:ascii="Cambria" w:hAnsi="Cambria"/>
          <w:sz w:val="24"/>
          <w:szCs w:val="24"/>
          <w:lang w:val="sr-Latn-RS"/>
        </w:rPr>
        <w:t>krivanje</w:t>
      </w:r>
      <w:r>
        <w:rPr>
          <w:rFonts w:ascii="Cambria" w:hAnsi="Cambria"/>
          <w:sz w:val="24"/>
          <w:szCs w:val="24"/>
          <w:lang w:val="sr-Latn-RS"/>
        </w:rPr>
        <w:t xml:space="preserve"> drugih operativnih troškova</w:t>
      </w:r>
      <w:r w:rsidR="00E01008">
        <w:rPr>
          <w:rFonts w:ascii="Cambria" w:hAnsi="Cambria"/>
          <w:sz w:val="24"/>
          <w:szCs w:val="24"/>
          <w:lang w:val="sr-Latn-RS"/>
        </w:rPr>
        <w:t>;</w:t>
      </w:r>
    </w:p>
    <w:p w14:paraId="3F8347C8" w14:textId="77777777" w:rsidR="00826830" w:rsidRPr="00E01008" w:rsidRDefault="00826830" w:rsidP="00E01008">
      <w:pPr>
        <w:pStyle w:val="ListParagraph"/>
        <w:rPr>
          <w:rFonts w:ascii="Cambria" w:hAnsi="Cambria"/>
          <w:sz w:val="24"/>
          <w:szCs w:val="24"/>
          <w:lang w:val="sr-Latn-RS"/>
        </w:rPr>
      </w:pPr>
    </w:p>
    <w:p w14:paraId="26CA71FA" w14:textId="4D5D2DC7" w:rsidR="00826830" w:rsidRPr="00B849AB" w:rsidRDefault="00E01008" w:rsidP="00B849AB">
      <w:pPr>
        <w:pStyle w:val="ListParagraph"/>
        <w:numPr>
          <w:ilvl w:val="0"/>
          <w:numId w:val="3"/>
        </w:numPr>
        <w:jc w:val="both"/>
        <w:rPr>
          <w:rFonts w:ascii="Cambria" w:hAnsi="Cambria"/>
          <w:sz w:val="24"/>
          <w:szCs w:val="24"/>
          <w:lang w:val="sr-Latn-RS"/>
        </w:rPr>
      </w:pPr>
      <w:r>
        <w:rPr>
          <w:rFonts w:ascii="Cambria" w:hAnsi="Cambria"/>
          <w:sz w:val="24"/>
          <w:szCs w:val="24"/>
          <w:lang w:val="sr-Latn-RS"/>
        </w:rPr>
        <w:t>s</w:t>
      </w:r>
      <w:r w:rsidR="00826830">
        <w:rPr>
          <w:rFonts w:ascii="Cambria" w:hAnsi="Cambria"/>
          <w:sz w:val="24"/>
          <w:szCs w:val="24"/>
          <w:lang w:val="sr-Latn-RS"/>
        </w:rPr>
        <w:t>a povećanjem neto zarada, radnici postaju motivisaniji za rad, te za isti ili niži trošak bruto zarade, poslodavac dobija efikasnijeg radnika.</w:t>
      </w:r>
    </w:p>
    <w:p w14:paraId="07229613" w14:textId="1FF567F9" w:rsidR="006C5047" w:rsidRPr="004E5CDC" w:rsidRDefault="00837124" w:rsidP="0077622E">
      <w:pPr>
        <w:jc w:val="both"/>
        <w:rPr>
          <w:rFonts w:ascii="Cambria" w:hAnsi="Cambria"/>
          <w:b/>
          <w:sz w:val="24"/>
          <w:szCs w:val="24"/>
          <w:lang w:val="sr-Latn-RS"/>
        </w:rPr>
      </w:pPr>
      <w:r w:rsidRPr="001D27EB">
        <w:rPr>
          <w:rFonts w:ascii="Cambria" w:hAnsi="Cambria"/>
          <w:noProof/>
          <w:lang w:val="en-US"/>
        </w:rPr>
        <w:lastRenderedPageBreak/>
        <mc:AlternateContent>
          <mc:Choice Requires="wps">
            <w:drawing>
              <wp:anchor distT="91440" distB="91440" distL="114300" distR="114300" simplePos="0" relativeHeight="251664384" behindDoc="0" locked="0" layoutInCell="1" allowOverlap="1" wp14:anchorId="5FA8A1F7" wp14:editId="635A679B">
                <wp:simplePos x="0" y="0"/>
                <wp:positionH relativeFrom="margin">
                  <wp:posOffset>-41910</wp:posOffset>
                </wp:positionH>
                <wp:positionV relativeFrom="paragraph">
                  <wp:posOffset>1076960</wp:posOffset>
                </wp:positionV>
                <wp:extent cx="5843905" cy="1407160"/>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407160"/>
                        </a:xfrm>
                        <a:prstGeom prst="rect">
                          <a:avLst/>
                        </a:prstGeom>
                        <a:noFill/>
                        <a:ln w="9525">
                          <a:noFill/>
                          <a:miter lim="800000"/>
                          <a:headEnd/>
                          <a:tailEnd/>
                        </a:ln>
                      </wps:spPr>
                      <wps:txbx>
                        <w:txbxContent>
                          <w:p w14:paraId="287E053E" w14:textId="77777777" w:rsidR="002A1FAB" w:rsidRPr="00837124" w:rsidRDefault="002A1FAB" w:rsidP="00A07D13">
                            <w:pPr>
                              <w:pBdr>
                                <w:top w:val="single" w:sz="24" w:space="8" w:color="1C6194" w:themeColor="accent2" w:themeShade="BF"/>
                                <w:bottom w:val="single" w:sz="24" w:space="8" w:color="1C6194" w:themeColor="accent2" w:themeShade="BF"/>
                              </w:pBdr>
                              <w:spacing w:after="0"/>
                              <w:jc w:val="both"/>
                              <w:rPr>
                                <w:rFonts w:ascii="Cambria" w:hAnsi="Cambria"/>
                                <w:i/>
                                <w:iCs/>
                                <w:color w:val="1CADE4" w:themeColor="accent1"/>
                                <w:sz w:val="24"/>
                                <w:szCs w:val="24"/>
                              </w:rPr>
                            </w:pPr>
                            <w:r w:rsidRPr="00837124">
                              <w:rPr>
                                <w:rFonts w:ascii="Cambria" w:hAnsi="Cambria" w:cs="Calibri"/>
                                <w:sz w:val="24"/>
                                <w:szCs w:val="24"/>
                              </w:rPr>
                              <w:t>"</w:t>
                            </w:r>
                            <w:r w:rsidRPr="00837124">
                              <w:rPr>
                                <w:rFonts w:ascii="Cambria" w:hAnsi="Cambria"/>
                                <w:sz w:val="24"/>
                                <w:szCs w:val="24"/>
                              </w:rPr>
                              <w:t>Ukoliko izmjenom zakonskih propisa, dođe do smanjenja stope poreza na dohodak fizičkih lica i doprinosa za obavezno socijalno osiguranje iz ličnih primanja zaposlenih, poslodavac je dužan da efekte takvog smanjenja usmjeri na zarade, odnosno naknade zaposlenih, u skladu sa zakonom</w:t>
                            </w:r>
                            <w:r w:rsidRPr="00837124">
                              <w:rPr>
                                <w:rFonts w:ascii="Cambria" w:hAnsi="Cambria" w:cs="Calibri"/>
                                <w:sz w:val="24"/>
                                <w:szCs w:val="24"/>
                              </w:rPr>
                              <w:t>"</w:t>
                            </w:r>
                            <w:r w:rsidRPr="00837124">
                              <w:rPr>
                                <w:rFonts w:ascii="Cambria" w:hAnsi="Cambria"/>
                                <w:sz w:val="24"/>
                                <w:szCs w:val="24"/>
                              </w:rPr>
                              <w:t xml:space="preserve"> - </w:t>
                            </w:r>
                            <w:r w:rsidRPr="00837124">
                              <w:rPr>
                                <w:rFonts w:ascii="Cambria" w:hAnsi="Cambria"/>
                                <w:b/>
                                <w:sz w:val="24"/>
                                <w:szCs w:val="24"/>
                              </w:rPr>
                              <w:t>član 33, Opšti kolektivni ugovor</w:t>
                            </w:r>
                            <w:r w:rsidRPr="00837124">
                              <w:rPr>
                                <w:rFonts w:ascii="Cambria" w:hAnsi="Cambria"/>
                                <w:sz w:val="24"/>
                                <w:szCs w:val="24"/>
                              </w:rPr>
                              <w:t xml:space="preserve"> (Sl. list CG, br: 021/21 od 26.02.2021. godine).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8A1F7" id="_x0000_t202" coordsize="21600,21600" o:spt="202" path="m,l,21600r21600,l21600,xe">
                <v:stroke joinstyle="miter"/>
                <v:path gradientshapeok="t" o:connecttype="rect"/>
              </v:shapetype>
              <v:shape id="Text Box 2" o:spid="_x0000_s1026" type="#_x0000_t202" style="position:absolute;left:0;text-align:left;margin-left:-3.3pt;margin-top:84.8pt;width:460.15pt;height:110.8pt;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yuDgIAAPUDAAAOAAAAZHJzL2Uyb0RvYy54bWysU11v2yAUfZ+0/4B4X2ynSZNYIVXXrtOk&#10;7kNq9wMIxjEacBmQ2Nmv3wWnabS9TfODBdx7D/ece1jfDEaTg/RBgWW0mpSUSCugUXbH6Pfnh3dL&#10;SkLktuEarGT0KAO92bx9s+5dLafQgW6kJwhiQ907RrsYXV0UQXTS8DABJy0GW/CGR9z6XdF43iO6&#10;0cW0LK+LHnzjPAgZAp7ej0G6yfhtK0X82rZBRqIZxd5i/vv836Z/sVnzeue565Q4tcH/oQvDlcVL&#10;z1D3PHKy9+ovKKOEhwBtnAgwBbStEjJzQDZV+Qebp447mbmgOMGdZQr/D1Z8OXzzRDWMXpULSiw3&#10;OKRnOUTyHgYyTfr0LtSY9uQwMQ54jHPOXIN7BPEjEAt3Hbc7ees99J3kDfZXpcrionTECQlk23+G&#10;Bq/h+wgZaGi9SeKhHATRcU7H82xSKwIP58vZ1aqcUyIwVs3KRXWdp1fw+qXc+RA/SjAkLRj1OPwM&#10;zw+PIaZ2eP2Skm6z8KC0zgbQlvSMrubTeS64iBgV0Z9aGUaXZfpGxySWH2yTiyNXelzjBdqeaCem&#10;I+c4bAdMTFpsoTmiAB5GH+K7wUUH/hclPXqQ0fBzz72kRH+yKOKqms2SafNmNl9MceMvI9vLCLcC&#10;oRiNlIzLu5iNPnK9RbFblWV47eTUK3orq3N6B8m8l/uc9fpaN78BAAD//wMAUEsDBBQABgAIAAAA&#10;IQAdhO2I3gAAAAoBAAAPAAAAZHJzL2Rvd25yZXYueG1sTI9NT8MwDIbvSPyHyJO4bUk3KLRrOiEQ&#10;V9A2QOKWNV5b0ThVk63l32NO7OaPR68fF5vJdeKMQ2g9aUgWCgRS5W1LtYb3/cv8AUSIhqzpPKGG&#10;HwywKa+vCpNbP9IWz7tYCw6hkBsNTYx9LmWoGnQmLHyPxLujH5yJ3A61tIMZOdx1cqlUKp1piS80&#10;psenBqvv3clp+Hg9fn3eqrf62d31o5+UJJdJrW9m0+MaRMQp/sPwp8/qULLTwZ/IBtFpmKcpkzxP&#10;My4YyJLVPYiDhlWWLEGWhbx8ofwFAAD//wMAUEsBAi0AFAAGAAgAAAAhALaDOJL+AAAA4QEAABMA&#10;AAAAAAAAAAAAAAAAAAAAAFtDb250ZW50X1R5cGVzXS54bWxQSwECLQAUAAYACAAAACEAOP0h/9YA&#10;AACUAQAACwAAAAAAAAAAAAAAAAAvAQAAX3JlbHMvLnJlbHNQSwECLQAUAAYACAAAACEAdGgMrg4C&#10;AAD1AwAADgAAAAAAAAAAAAAAAAAuAgAAZHJzL2Uyb0RvYy54bWxQSwECLQAUAAYACAAAACEAHYTt&#10;iN4AAAAKAQAADwAAAAAAAAAAAAAAAABoBAAAZHJzL2Rvd25yZXYueG1sUEsFBgAAAAAEAAQA8wAA&#10;AHMFAAAAAA==&#10;" filled="f" stroked="f">
                <v:textbox>
                  <w:txbxContent>
                    <w:p w14:paraId="287E053E" w14:textId="77777777" w:rsidR="002A1FAB" w:rsidRPr="00837124" w:rsidRDefault="002A1FAB" w:rsidP="00A07D13">
                      <w:pPr>
                        <w:pBdr>
                          <w:top w:val="single" w:sz="24" w:space="8" w:color="1C6194" w:themeColor="accent2" w:themeShade="BF"/>
                          <w:bottom w:val="single" w:sz="24" w:space="8" w:color="1C6194" w:themeColor="accent2" w:themeShade="BF"/>
                        </w:pBdr>
                        <w:spacing w:after="0"/>
                        <w:jc w:val="both"/>
                        <w:rPr>
                          <w:rFonts w:ascii="Cambria" w:hAnsi="Cambria"/>
                          <w:i/>
                          <w:iCs/>
                          <w:color w:val="1CADE4" w:themeColor="accent1"/>
                          <w:sz w:val="24"/>
                          <w:szCs w:val="24"/>
                        </w:rPr>
                      </w:pPr>
                      <w:r w:rsidRPr="00837124">
                        <w:rPr>
                          <w:rFonts w:ascii="Cambria" w:hAnsi="Cambria" w:cs="Calibri"/>
                          <w:sz w:val="24"/>
                          <w:szCs w:val="24"/>
                        </w:rPr>
                        <w:t>"</w:t>
                      </w:r>
                      <w:r w:rsidRPr="00837124">
                        <w:rPr>
                          <w:rFonts w:ascii="Cambria" w:hAnsi="Cambria"/>
                          <w:sz w:val="24"/>
                          <w:szCs w:val="24"/>
                        </w:rPr>
                        <w:t>Ukoliko izmjenom zakonskih propisa, dođe do smanjenja stope poreza na dohodak fizičkih lica i doprinosa za obavezno socijalno osiguranje iz ličnih primanja zaposlenih, poslodavac je dužan da efekte takvog smanjenja usmjeri na zarade, odnosno naknade zaposlenih, u skladu sa zakonom</w:t>
                      </w:r>
                      <w:r w:rsidRPr="00837124">
                        <w:rPr>
                          <w:rFonts w:ascii="Cambria" w:hAnsi="Cambria" w:cs="Calibri"/>
                          <w:sz w:val="24"/>
                          <w:szCs w:val="24"/>
                        </w:rPr>
                        <w:t>"</w:t>
                      </w:r>
                      <w:r w:rsidRPr="00837124">
                        <w:rPr>
                          <w:rFonts w:ascii="Cambria" w:hAnsi="Cambria"/>
                          <w:sz w:val="24"/>
                          <w:szCs w:val="24"/>
                        </w:rPr>
                        <w:t xml:space="preserve"> - </w:t>
                      </w:r>
                      <w:r w:rsidRPr="00837124">
                        <w:rPr>
                          <w:rFonts w:ascii="Cambria" w:hAnsi="Cambria"/>
                          <w:b/>
                          <w:sz w:val="24"/>
                          <w:szCs w:val="24"/>
                        </w:rPr>
                        <w:t>član 33, Opšti kolektivni ugovor</w:t>
                      </w:r>
                      <w:r w:rsidRPr="00837124">
                        <w:rPr>
                          <w:rFonts w:ascii="Cambria" w:hAnsi="Cambria"/>
                          <w:sz w:val="24"/>
                          <w:szCs w:val="24"/>
                        </w:rPr>
                        <w:t xml:space="preserve"> (Sl. list CG, br: 021/21 od 26.02.2021. godine).</w:t>
                      </w:r>
                    </w:p>
                  </w:txbxContent>
                </v:textbox>
                <w10:wrap type="topAndBottom" anchorx="margin"/>
              </v:shape>
            </w:pict>
          </mc:Fallback>
        </mc:AlternateContent>
      </w:r>
      <w:r w:rsidR="002F63C3" w:rsidRPr="001D27EB">
        <w:rPr>
          <w:rFonts w:ascii="Cambria" w:hAnsi="Cambria"/>
          <w:sz w:val="24"/>
          <w:szCs w:val="24"/>
          <w:lang w:val="sr-Latn-RS"/>
        </w:rPr>
        <w:t>U</w:t>
      </w:r>
      <w:r w:rsidR="00B64831" w:rsidRPr="001D27EB">
        <w:rPr>
          <w:rFonts w:ascii="Cambria" w:hAnsi="Cambria"/>
          <w:sz w:val="24"/>
          <w:szCs w:val="24"/>
          <w:lang w:val="sr-Latn-RS"/>
        </w:rPr>
        <w:t xml:space="preserve">štede koje poslodavac ostvaruje odnose se na iznos ukidanja doprinosa za zdravstveno osiguranje na teret poslodavca </w:t>
      </w:r>
      <w:r w:rsidR="0077622E" w:rsidRPr="001D27EB">
        <w:rPr>
          <w:rFonts w:ascii="Cambria" w:hAnsi="Cambria"/>
          <w:sz w:val="24"/>
          <w:szCs w:val="24"/>
          <w:lang w:val="sr-Latn-RS"/>
        </w:rPr>
        <w:t>i ušted</w:t>
      </w:r>
      <w:r w:rsidR="004F023A">
        <w:rPr>
          <w:rFonts w:ascii="Cambria" w:hAnsi="Cambria"/>
          <w:sz w:val="24"/>
          <w:szCs w:val="24"/>
          <w:lang w:val="sr-Latn-RS"/>
        </w:rPr>
        <w:t>u</w:t>
      </w:r>
      <w:r w:rsidR="0077622E" w:rsidRPr="001D27EB">
        <w:rPr>
          <w:rFonts w:ascii="Cambria" w:hAnsi="Cambria"/>
          <w:sz w:val="24"/>
          <w:szCs w:val="24"/>
          <w:lang w:val="sr-Latn-RS"/>
        </w:rPr>
        <w:t xml:space="preserve"> koja se ostvaruje po osnovu proporcionalnog smanjenja troška za prirez porezu </w:t>
      </w:r>
      <w:r w:rsidR="00B849AB">
        <w:rPr>
          <w:rFonts w:ascii="Cambria" w:hAnsi="Cambria"/>
          <w:sz w:val="24"/>
          <w:szCs w:val="24"/>
          <w:lang w:val="sr-Latn-RS"/>
        </w:rPr>
        <w:t>(uvođenje</w:t>
      </w:r>
      <w:r w:rsidR="00112C70">
        <w:rPr>
          <w:rFonts w:ascii="Cambria" w:hAnsi="Cambria"/>
          <w:sz w:val="24"/>
          <w:szCs w:val="24"/>
          <w:lang w:val="sr-Latn-RS"/>
        </w:rPr>
        <w:t>m</w:t>
      </w:r>
      <w:r w:rsidR="00B849AB">
        <w:rPr>
          <w:rFonts w:ascii="Cambria" w:hAnsi="Cambria"/>
          <w:sz w:val="24"/>
          <w:szCs w:val="24"/>
          <w:lang w:val="sr-Latn-RS"/>
        </w:rPr>
        <w:t xml:space="preserve"> neoporezivog dijela zarade)</w:t>
      </w:r>
      <w:r w:rsidR="00635282">
        <w:rPr>
          <w:rFonts w:ascii="Cambria" w:hAnsi="Cambria"/>
          <w:sz w:val="24"/>
          <w:szCs w:val="24"/>
          <w:lang w:val="sr-Latn-RS"/>
        </w:rPr>
        <w:t>,</w:t>
      </w:r>
      <w:r w:rsidR="00B849AB">
        <w:rPr>
          <w:rFonts w:ascii="Cambria" w:hAnsi="Cambria"/>
          <w:sz w:val="24"/>
          <w:szCs w:val="24"/>
          <w:lang w:val="sr-Latn-RS"/>
        </w:rPr>
        <w:t xml:space="preserve"> </w:t>
      </w:r>
      <w:r w:rsidR="00B64831" w:rsidRPr="001D27EB">
        <w:rPr>
          <w:rFonts w:ascii="Cambria" w:hAnsi="Cambria"/>
          <w:sz w:val="24"/>
          <w:szCs w:val="24"/>
          <w:lang w:val="sr-Latn-RS"/>
        </w:rPr>
        <w:t xml:space="preserve">dok se iznos dosadašnjeg doprinosa </w:t>
      </w:r>
      <w:r w:rsidR="00C2709E" w:rsidRPr="001D27EB">
        <w:rPr>
          <w:rFonts w:ascii="Cambria" w:hAnsi="Cambria"/>
          <w:sz w:val="24"/>
          <w:szCs w:val="24"/>
          <w:lang w:val="sr-Latn-RS"/>
        </w:rPr>
        <w:t>z</w:t>
      </w:r>
      <w:r w:rsidR="00B64831" w:rsidRPr="001D27EB">
        <w:rPr>
          <w:rFonts w:ascii="Cambria" w:hAnsi="Cambria"/>
          <w:sz w:val="24"/>
          <w:szCs w:val="24"/>
          <w:lang w:val="sr-Latn-RS"/>
        </w:rPr>
        <w:t xml:space="preserve">a zdravstveno osiguranje </w:t>
      </w:r>
      <w:r w:rsidR="00112C70">
        <w:rPr>
          <w:rFonts w:ascii="Cambria" w:hAnsi="Cambria"/>
          <w:sz w:val="24"/>
          <w:szCs w:val="24"/>
          <w:lang w:val="sr-Latn-RS"/>
        </w:rPr>
        <w:t xml:space="preserve">na teret zaposlenog </w:t>
      </w:r>
      <w:r w:rsidR="00B64831" w:rsidRPr="001D27EB">
        <w:rPr>
          <w:rFonts w:ascii="Cambria" w:hAnsi="Cambria"/>
          <w:sz w:val="24"/>
          <w:szCs w:val="24"/>
          <w:lang w:val="sr-Latn-RS"/>
        </w:rPr>
        <w:t>i neoporez</w:t>
      </w:r>
      <w:r w:rsidR="00C2709E" w:rsidRPr="001D27EB">
        <w:rPr>
          <w:rFonts w:ascii="Cambria" w:hAnsi="Cambria"/>
          <w:sz w:val="24"/>
          <w:szCs w:val="24"/>
          <w:lang w:val="sr-Latn-RS"/>
        </w:rPr>
        <w:t>i</w:t>
      </w:r>
      <w:r w:rsidR="00B64831" w:rsidRPr="001D27EB">
        <w:rPr>
          <w:rFonts w:ascii="Cambria" w:hAnsi="Cambria"/>
          <w:sz w:val="24"/>
          <w:szCs w:val="24"/>
          <w:lang w:val="sr-Latn-RS"/>
        </w:rPr>
        <w:t xml:space="preserve">vi dio zarade preusmjerava na </w:t>
      </w:r>
      <w:r w:rsidRPr="001D27EB">
        <w:rPr>
          <w:rFonts w:ascii="Cambria" w:hAnsi="Cambria"/>
          <w:sz w:val="24"/>
          <w:szCs w:val="24"/>
          <w:lang w:val="sr-Latn-RS"/>
        </w:rPr>
        <w:t>n</w:t>
      </w:r>
      <w:r w:rsidR="006B304B" w:rsidRPr="001D27EB">
        <w:rPr>
          <w:rFonts w:ascii="Cambria" w:hAnsi="Cambria"/>
          <w:sz w:val="24"/>
          <w:szCs w:val="24"/>
          <w:lang w:val="sr-Latn-RS"/>
        </w:rPr>
        <w:t xml:space="preserve">eto zaradu </w:t>
      </w:r>
      <w:r w:rsidR="00B64831" w:rsidRPr="001D27EB">
        <w:rPr>
          <w:rFonts w:ascii="Cambria" w:hAnsi="Cambria"/>
          <w:sz w:val="24"/>
          <w:szCs w:val="24"/>
          <w:lang w:val="sr-Latn-RS"/>
        </w:rPr>
        <w:t>zaposlenog.</w:t>
      </w:r>
    </w:p>
    <w:p w14:paraId="54E41697" w14:textId="7251DB64" w:rsidR="00B849AB" w:rsidRDefault="00DC5629" w:rsidP="0077622E">
      <w:pPr>
        <w:jc w:val="both"/>
        <w:rPr>
          <w:rFonts w:ascii="Cambria" w:hAnsi="Cambria"/>
          <w:sz w:val="24"/>
          <w:szCs w:val="24"/>
          <w:lang w:val="sr-Latn-RS"/>
        </w:rPr>
      </w:pPr>
      <w:r w:rsidRPr="004E5CDC">
        <w:rPr>
          <w:rFonts w:ascii="Cambria" w:hAnsi="Cambria"/>
          <w:sz w:val="24"/>
          <w:szCs w:val="24"/>
          <w:lang w:val="sr-Latn-RS"/>
        </w:rPr>
        <w:t>S</w:t>
      </w:r>
      <w:r w:rsidR="002721D0" w:rsidRPr="004E5CDC">
        <w:rPr>
          <w:rFonts w:ascii="Cambria" w:hAnsi="Cambria"/>
          <w:sz w:val="24"/>
          <w:szCs w:val="24"/>
          <w:lang w:val="sr-Latn-RS"/>
        </w:rPr>
        <w:t xml:space="preserve">manjenjem poreskog opterećenja </w:t>
      </w:r>
      <w:r w:rsidR="002F63C3" w:rsidRPr="004E5CDC">
        <w:rPr>
          <w:rFonts w:ascii="Cambria" w:hAnsi="Cambria"/>
          <w:sz w:val="24"/>
          <w:szCs w:val="24"/>
          <w:lang w:val="sr-Latn-RS"/>
        </w:rPr>
        <w:t>na rad</w:t>
      </w:r>
      <w:r w:rsidR="002721D0" w:rsidRPr="004E5CDC">
        <w:rPr>
          <w:rFonts w:ascii="Cambria" w:hAnsi="Cambria"/>
          <w:sz w:val="24"/>
          <w:szCs w:val="24"/>
          <w:lang w:val="sr-Latn-RS"/>
        </w:rPr>
        <w:t xml:space="preserve"> utiče se na smanjenje obuhvata "sive ekonomije" u dijelu isplate zarada zaposlenih (isplać</w:t>
      </w:r>
      <w:r w:rsidR="00B849AB">
        <w:rPr>
          <w:rFonts w:ascii="Cambria" w:hAnsi="Cambria"/>
          <w:sz w:val="24"/>
          <w:szCs w:val="24"/>
          <w:lang w:val="sr-Latn-RS"/>
        </w:rPr>
        <w:t>ivanje dijela zarade "na ruke"),</w:t>
      </w:r>
      <w:r w:rsidR="00376C76" w:rsidRPr="004E5CDC">
        <w:rPr>
          <w:rFonts w:ascii="Cambria" w:hAnsi="Cambria"/>
          <w:sz w:val="24"/>
          <w:szCs w:val="24"/>
          <w:lang w:val="sr-Latn-RS"/>
        </w:rPr>
        <w:t xml:space="preserve"> </w:t>
      </w:r>
      <w:r w:rsidR="002F63C3" w:rsidRPr="004E5CDC">
        <w:rPr>
          <w:rFonts w:ascii="Cambria" w:hAnsi="Cambria"/>
          <w:sz w:val="24"/>
          <w:szCs w:val="24"/>
          <w:lang w:val="sr-Latn-RS"/>
        </w:rPr>
        <w:t xml:space="preserve">budući da </w:t>
      </w:r>
      <w:r w:rsidR="00376C76" w:rsidRPr="004E5CDC">
        <w:rPr>
          <w:rFonts w:ascii="Cambria" w:hAnsi="Cambria"/>
          <w:sz w:val="24"/>
          <w:szCs w:val="24"/>
          <w:lang w:val="sr-Latn-RS"/>
        </w:rPr>
        <w:t xml:space="preserve">poslodavci više neće imati interes da pribjegavaju isplati gotovine </w:t>
      </w:r>
      <w:r w:rsidR="00376C76" w:rsidRPr="004E5CDC">
        <w:rPr>
          <w:rFonts w:ascii="Cambria" w:hAnsi="Cambria" w:cs="Calibri"/>
          <w:sz w:val="24"/>
          <w:szCs w:val="24"/>
          <w:lang w:val="sr-Latn-RS"/>
        </w:rPr>
        <w:t>"</w:t>
      </w:r>
      <w:r w:rsidR="00376C76" w:rsidRPr="004E5CDC">
        <w:rPr>
          <w:rFonts w:ascii="Cambria" w:hAnsi="Cambria"/>
          <w:sz w:val="24"/>
          <w:szCs w:val="24"/>
          <w:lang w:val="sr-Latn-RS"/>
        </w:rPr>
        <w:t>na ruke" i rizikuj</w:t>
      </w:r>
      <w:r w:rsidR="002F63C3" w:rsidRPr="004E5CDC">
        <w:rPr>
          <w:rFonts w:ascii="Cambria" w:hAnsi="Cambria"/>
          <w:sz w:val="24"/>
          <w:szCs w:val="24"/>
          <w:lang w:val="sr-Latn-RS"/>
        </w:rPr>
        <w:t>u</w:t>
      </w:r>
      <w:r w:rsidR="00376C76" w:rsidRPr="004E5CDC">
        <w:rPr>
          <w:rFonts w:ascii="Cambria" w:hAnsi="Cambria"/>
          <w:sz w:val="24"/>
          <w:szCs w:val="24"/>
          <w:lang w:val="sr-Latn-RS"/>
        </w:rPr>
        <w:t xml:space="preserve"> značajne kazne koje izriču inspekcijski organi</w:t>
      </w:r>
      <w:r w:rsidR="00826830">
        <w:rPr>
          <w:rFonts w:ascii="Cambria" w:hAnsi="Cambria"/>
          <w:sz w:val="24"/>
          <w:szCs w:val="24"/>
          <w:lang w:val="sr-Latn-RS"/>
        </w:rPr>
        <w:t>,</w:t>
      </w:r>
      <w:r w:rsidR="00376C76" w:rsidRPr="004E5CDC">
        <w:rPr>
          <w:rFonts w:ascii="Cambria" w:hAnsi="Cambria"/>
          <w:sz w:val="24"/>
          <w:szCs w:val="24"/>
          <w:lang w:val="sr-Latn-RS"/>
        </w:rPr>
        <w:t xml:space="preserve"> dok na drugoj strani</w:t>
      </w:r>
      <w:r w:rsidR="00826830">
        <w:rPr>
          <w:rFonts w:ascii="Cambria" w:hAnsi="Cambria"/>
          <w:sz w:val="24"/>
          <w:szCs w:val="24"/>
          <w:lang w:val="sr-Latn-RS"/>
        </w:rPr>
        <w:t>,</w:t>
      </w:r>
      <w:r w:rsidR="00376C76" w:rsidRPr="004E5CDC">
        <w:rPr>
          <w:rFonts w:ascii="Cambria" w:hAnsi="Cambria"/>
          <w:sz w:val="24"/>
          <w:szCs w:val="24"/>
          <w:lang w:val="sr-Latn-RS"/>
        </w:rPr>
        <w:t xml:space="preserve"> zaposleni ostvaruje ben</w:t>
      </w:r>
      <w:r w:rsidR="002F63C3" w:rsidRPr="004E5CDC">
        <w:rPr>
          <w:rFonts w:ascii="Cambria" w:hAnsi="Cambria"/>
          <w:sz w:val="24"/>
          <w:szCs w:val="24"/>
          <w:lang w:val="sr-Latn-RS"/>
        </w:rPr>
        <w:t>efite od formalnog zaposlenja, uključujući veću osnovu za buduće penzije</w:t>
      </w:r>
      <w:r w:rsidR="00AA30EE">
        <w:rPr>
          <w:rFonts w:ascii="Cambria" w:hAnsi="Cambria"/>
          <w:sz w:val="24"/>
          <w:szCs w:val="24"/>
          <w:lang w:val="sr-Latn-RS"/>
        </w:rPr>
        <w:t>, kao i veću osnovu za pristup bankarskim kreditima</w:t>
      </w:r>
      <w:r w:rsidR="002F63C3" w:rsidRPr="004E5CDC">
        <w:rPr>
          <w:rFonts w:ascii="Cambria" w:hAnsi="Cambria"/>
          <w:sz w:val="24"/>
          <w:szCs w:val="24"/>
          <w:lang w:val="sr-Latn-RS"/>
        </w:rPr>
        <w:t>.</w:t>
      </w:r>
    </w:p>
    <w:p w14:paraId="4D4387D4" w14:textId="77777777" w:rsidR="005449B5" w:rsidRPr="004E5CDC" w:rsidRDefault="002F63C3" w:rsidP="0077622E">
      <w:pPr>
        <w:jc w:val="both"/>
        <w:rPr>
          <w:rFonts w:ascii="Cambria" w:hAnsi="Cambria"/>
          <w:sz w:val="24"/>
          <w:szCs w:val="24"/>
          <w:lang w:val="sr-Latn-RS"/>
        </w:rPr>
      </w:pPr>
      <w:r w:rsidRPr="004E5CDC">
        <w:rPr>
          <w:rFonts w:ascii="Cambria" w:hAnsi="Cambria"/>
          <w:noProof/>
          <w:sz w:val="24"/>
          <w:szCs w:val="24"/>
          <w:lang w:val="en-US"/>
        </w:rPr>
        <w:drawing>
          <wp:inline distT="0" distB="0" distL="0" distR="0" wp14:anchorId="1E458E36" wp14:editId="6D6D6C7B">
            <wp:extent cx="5717306" cy="3068396"/>
            <wp:effectExtent l="0" t="0" r="0" b="0"/>
            <wp:docPr id="2" name="Picture 2" descr="E:\minimalna zarada 2021\EVROPA SAD!\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imalna zarada 2021\EVROPA SAD!\grafi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953" cy="3071964"/>
                    </a:xfrm>
                    <a:prstGeom prst="rect">
                      <a:avLst/>
                    </a:prstGeom>
                    <a:noFill/>
                    <a:ln>
                      <a:noFill/>
                    </a:ln>
                  </pic:spPr>
                </pic:pic>
              </a:graphicData>
            </a:graphic>
          </wp:inline>
        </w:drawing>
      </w:r>
    </w:p>
    <w:p w14:paraId="32BEBC37" w14:textId="77777777" w:rsidR="00DF4736" w:rsidRPr="004E5CDC" w:rsidRDefault="00DF4736" w:rsidP="00757EA2">
      <w:pPr>
        <w:jc w:val="both"/>
        <w:rPr>
          <w:rFonts w:ascii="Cambria" w:hAnsi="Cambria"/>
          <w:sz w:val="24"/>
          <w:szCs w:val="24"/>
          <w:lang w:val="sr-Latn-RS"/>
        </w:rPr>
      </w:pPr>
    </w:p>
    <w:p w14:paraId="5A47488B" w14:textId="7A165CB7" w:rsidR="0077622E" w:rsidRPr="004E5CDC" w:rsidRDefault="007049C7" w:rsidP="00757EA2">
      <w:pPr>
        <w:jc w:val="both"/>
        <w:rPr>
          <w:rFonts w:ascii="Cambria" w:hAnsi="Cambria"/>
          <w:sz w:val="24"/>
          <w:szCs w:val="24"/>
          <w:lang w:val="sr-Latn-RS"/>
        </w:rPr>
      </w:pPr>
      <w:r w:rsidRPr="004E5CDC">
        <w:rPr>
          <w:rFonts w:ascii="Cambria" w:hAnsi="Cambria"/>
          <w:sz w:val="24"/>
          <w:szCs w:val="24"/>
          <w:lang w:val="sr-Latn-RS"/>
        </w:rPr>
        <w:t xml:space="preserve">Prepoznati </w:t>
      </w:r>
      <w:r w:rsidR="0077622E" w:rsidRPr="004E5CDC">
        <w:rPr>
          <w:rFonts w:ascii="Cambria" w:hAnsi="Cambria"/>
          <w:sz w:val="24"/>
          <w:szCs w:val="24"/>
          <w:lang w:val="sr-Latn-RS"/>
        </w:rPr>
        <w:t xml:space="preserve">rizik uvođenja ove reforme jeste odluka poslodavca da uštedu ostvarenu po osnovu smanjenja poreskog opterećenja na rad preusmjeri na zaposlenog, na šta ga </w:t>
      </w:r>
      <w:r w:rsidR="002721D0" w:rsidRPr="004E5CDC">
        <w:rPr>
          <w:rFonts w:ascii="Cambria" w:hAnsi="Cambria"/>
          <w:sz w:val="24"/>
          <w:szCs w:val="24"/>
          <w:lang w:val="sr-Latn-RS"/>
        </w:rPr>
        <w:t>obavezuju</w:t>
      </w:r>
      <w:r w:rsidR="0077622E" w:rsidRPr="004E5CDC">
        <w:rPr>
          <w:rFonts w:ascii="Cambria" w:hAnsi="Cambria"/>
          <w:sz w:val="24"/>
          <w:szCs w:val="24"/>
          <w:lang w:val="sr-Latn-RS"/>
        </w:rPr>
        <w:t xml:space="preserve"> odredbe </w:t>
      </w:r>
      <w:r w:rsidR="002721D0" w:rsidRPr="004E5CDC">
        <w:rPr>
          <w:rFonts w:ascii="Cambria" w:hAnsi="Cambria"/>
          <w:sz w:val="24"/>
          <w:szCs w:val="24"/>
          <w:lang w:val="sr-Latn-RS"/>
        </w:rPr>
        <w:t>opštih propisa o radu</w:t>
      </w:r>
      <w:r w:rsidR="007577F8" w:rsidRPr="004E5CDC">
        <w:rPr>
          <w:rFonts w:ascii="Cambria" w:hAnsi="Cambria"/>
          <w:sz w:val="24"/>
          <w:szCs w:val="24"/>
          <w:lang w:val="sr-Latn-RS"/>
        </w:rPr>
        <w:t>, te će pojačane inspekcij</w:t>
      </w:r>
      <w:r w:rsidR="001B4DBC" w:rsidRPr="004E5CDC">
        <w:rPr>
          <w:rFonts w:ascii="Cambria" w:hAnsi="Cambria"/>
          <w:sz w:val="24"/>
          <w:szCs w:val="24"/>
          <w:lang w:val="sr-Latn-RS"/>
        </w:rPr>
        <w:t>ske kon</w:t>
      </w:r>
      <w:r w:rsidR="00757EA2" w:rsidRPr="004E5CDC">
        <w:rPr>
          <w:rFonts w:ascii="Cambria" w:hAnsi="Cambria"/>
          <w:sz w:val="24"/>
          <w:szCs w:val="24"/>
          <w:lang w:val="sr-Latn-RS"/>
        </w:rPr>
        <w:t>trole biti od presudnog značaja za ispunjenje opšteg cilja predložene reforme.</w:t>
      </w:r>
    </w:p>
    <w:p w14:paraId="7BB6F008" w14:textId="4CEA944D" w:rsidR="00D01513" w:rsidRPr="004E5CDC" w:rsidRDefault="0077622E" w:rsidP="003C3A81">
      <w:pPr>
        <w:pStyle w:val="Heading2"/>
        <w:rPr>
          <w:rFonts w:ascii="Cambria" w:hAnsi="Cambria"/>
          <w:sz w:val="32"/>
          <w:szCs w:val="32"/>
          <w:lang w:val="sr-Latn-RS"/>
        </w:rPr>
      </w:pPr>
      <w:bookmarkStart w:id="6" w:name="_Toc86755071"/>
      <w:r w:rsidRPr="004E5CDC">
        <w:rPr>
          <w:rFonts w:ascii="Cambria" w:hAnsi="Cambria"/>
          <w:sz w:val="32"/>
          <w:szCs w:val="32"/>
          <w:lang w:val="sr-Latn-RS"/>
        </w:rPr>
        <w:lastRenderedPageBreak/>
        <w:t>Pregled poreskog opterećenja rada nakon sprovedene reforme</w:t>
      </w:r>
      <w:bookmarkEnd w:id="6"/>
    </w:p>
    <w:tbl>
      <w:tblPr>
        <w:tblpPr w:leftFromText="180" w:rightFromText="180" w:vertAnchor="text" w:horzAnchor="margin" w:tblpY="297"/>
        <w:tblW w:w="3582" w:type="dxa"/>
        <w:tblBorders>
          <w:top w:val="single" w:sz="12" w:space="0" w:color="1481AB" w:themeColor="accent1" w:themeShade="BF"/>
          <w:left w:val="single" w:sz="12" w:space="0" w:color="1481AB" w:themeColor="accent1" w:themeShade="BF"/>
          <w:bottom w:val="single" w:sz="12" w:space="0" w:color="1481AB" w:themeColor="accent1" w:themeShade="BF"/>
          <w:right w:val="single" w:sz="12" w:space="0" w:color="1481AB" w:themeColor="accent1" w:themeShade="BF"/>
          <w:insideH w:val="single" w:sz="12" w:space="0" w:color="1481AB" w:themeColor="accent1" w:themeShade="BF"/>
          <w:insideV w:val="single" w:sz="12" w:space="0" w:color="1481AB" w:themeColor="accent1" w:themeShade="BF"/>
        </w:tblBorders>
        <w:tblLook w:val="04A0" w:firstRow="1" w:lastRow="0" w:firstColumn="1" w:lastColumn="0" w:noHBand="0" w:noVBand="1"/>
      </w:tblPr>
      <w:tblGrid>
        <w:gridCol w:w="1779"/>
        <w:gridCol w:w="1803"/>
      </w:tblGrid>
      <w:tr w:rsidR="00FB2E0C" w:rsidRPr="004E5CDC" w14:paraId="3456F0B3" w14:textId="77777777" w:rsidTr="006C0FC5">
        <w:trPr>
          <w:trHeight w:val="884"/>
        </w:trPr>
        <w:tc>
          <w:tcPr>
            <w:tcW w:w="1779" w:type="dxa"/>
            <w:shd w:val="clear" w:color="auto" w:fill="auto"/>
            <w:vAlign w:val="center"/>
            <w:hideMark/>
          </w:tcPr>
          <w:p w14:paraId="3423668E" w14:textId="77777777" w:rsidR="00FB2E0C" w:rsidRPr="004E5CDC" w:rsidRDefault="00FB2E0C" w:rsidP="00FB2E0C">
            <w:pPr>
              <w:spacing w:after="0" w:line="240" w:lineRule="auto"/>
              <w:jc w:val="center"/>
              <w:rPr>
                <w:rFonts w:ascii="Cambria" w:eastAsia="Times New Roman" w:hAnsi="Cambria" w:cs="Times New Roman"/>
                <w:b/>
                <w:color w:val="000000"/>
                <w:sz w:val="20"/>
                <w:szCs w:val="20"/>
                <w:lang w:val="sr-Latn-RS" w:eastAsia="sr-Latn-ME"/>
              </w:rPr>
            </w:pPr>
            <w:r w:rsidRPr="004E5CDC">
              <w:rPr>
                <w:rFonts w:ascii="Cambria" w:eastAsia="Times New Roman" w:hAnsi="Cambria" w:cs="Times New Roman"/>
                <w:b/>
                <w:color w:val="000000"/>
                <w:sz w:val="20"/>
                <w:szCs w:val="20"/>
                <w:lang w:val="sr-Latn-RS" w:eastAsia="sr-Latn-ME"/>
              </w:rPr>
              <w:t>Neto zarada</w:t>
            </w:r>
          </w:p>
        </w:tc>
        <w:tc>
          <w:tcPr>
            <w:tcW w:w="1803" w:type="dxa"/>
            <w:shd w:val="clear" w:color="auto" w:fill="auto"/>
            <w:vAlign w:val="center"/>
            <w:hideMark/>
          </w:tcPr>
          <w:p w14:paraId="4D2234F8" w14:textId="77777777" w:rsidR="00FB2E0C" w:rsidRPr="004E5CDC" w:rsidRDefault="00FB2E0C" w:rsidP="00FB2E0C">
            <w:pPr>
              <w:spacing w:after="0" w:line="240" w:lineRule="auto"/>
              <w:jc w:val="center"/>
              <w:rPr>
                <w:rFonts w:ascii="Cambria" w:eastAsia="Times New Roman" w:hAnsi="Cambria" w:cs="Times New Roman"/>
                <w:b/>
                <w:color w:val="000000"/>
                <w:sz w:val="20"/>
                <w:szCs w:val="20"/>
                <w:lang w:val="sr-Latn-RS" w:eastAsia="sr-Latn-ME"/>
              </w:rPr>
            </w:pPr>
            <w:r w:rsidRPr="004E5CDC">
              <w:rPr>
                <w:rFonts w:ascii="Cambria" w:eastAsia="Times New Roman" w:hAnsi="Cambria" w:cs="Times New Roman"/>
                <w:b/>
                <w:color w:val="000000"/>
                <w:sz w:val="20"/>
                <w:szCs w:val="20"/>
                <w:lang w:val="sr-Latn-RS" w:eastAsia="sr-Latn-ME"/>
              </w:rPr>
              <w:t>Poresko opterećenje na rad</w:t>
            </w:r>
          </w:p>
        </w:tc>
      </w:tr>
      <w:tr w:rsidR="00FB2E0C" w:rsidRPr="004E5CDC" w14:paraId="20F022FE" w14:textId="77777777" w:rsidTr="006C0FC5">
        <w:trPr>
          <w:trHeight w:val="294"/>
        </w:trPr>
        <w:tc>
          <w:tcPr>
            <w:tcW w:w="1779" w:type="dxa"/>
            <w:shd w:val="clear" w:color="auto" w:fill="auto"/>
            <w:noWrap/>
            <w:vAlign w:val="bottom"/>
            <w:hideMark/>
          </w:tcPr>
          <w:p w14:paraId="065CDE5E" w14:textId="77777777" w:rsidR="00FB2E0C" w:rsidRPr="004E5CDC" w:rsidRDefault="00FB2E0C" w:rsidP="00FB2E0C">
            <w:pPr>
              <w:spacing w:after="0" w:line="240" w:lineRule="auto"/>
              <w:jc w:val="center"/>
              <w:rPr>
                <w:rFonts w:ascii="Cambria" w:eastAsia="Times New Roman" w:hAnsi="Cambria" w:cs="Times New Roman"/>
                <w:b/>
                <w:color w:val="000000"/>
                <w:sz w:val="20"/>
                <w:szCs w:val="20"/>
                <w:lang w:val="sr-Latn-RS" w:eastAsia="sr-Latn-ME"/>
              </w:rPr>
            </w:pPr>
            <w:r w:rsidRPr="004E5CDC">
              <w:rPr>
                <w:rFonts w:ascii="Cambria" w:eastAsia="Times New Roman" w:hAnsi="Cambria" w:cs="Times New Roman"/>
                <w:b/>
                <w:color w:val="000000"/>
                <w:sz w:val="20"/>
                <w:szCs w:val="20"/>
                <w:lang w:val="sr-Latn-RS" w:eastAsia="sr-Latn-ME"/>
              </w:rPr>
              <w:t>450,0</w:t>
            </w:r>
          </w:p>
        </w:tc>
        <w:tc>
          <w:tcPr>
            <w:tcW w:w="1803" w:type="dxa"/>
            <w:shd w:val="clear" w:color="auto" w:fill="auto"/>
            <w:vAlign w:val="center"/>
            <w:hideMark/>
          </w:tcPr>
          <w:p w14:paraId="33CB7FBC" w14:textId="77777777" w:rsidR="00FB2E0C" w:rsidRPr="004E5CDC" w:rsidRDefault="00FB2E0C" w:rsidP="00FB2E0C">
            <w:pPr>
              <w:spacing w:after="0" w:line="240" w:lineRule="auto"/>
              <w:jc w:val="center"/>
              <w:rPr>
                <w:rFonts w:ascii="Cambria" w:eastAsia="Times New Roman" w:hAnsi="Cambria" w:cs="Times New Roman"/>
                <w:b/>
                <w:color w:val="000000"/>
                <w:sz w:val="20"/>
                <w:szCs w:val="20"/>
                <w:lang w:val="sr-Latn-RS" w:eastAsia="sr-Latn-ME"/>
              </w:rPr>
            </w:pPr>
            <w:r w:rsidRPr="004E5CDC">
              <w:rPr>
                <w:rFonts w:ascii="Cambria" w:eastAsia="Times New Roman" w:hAnsi="Cambria" w:cs="Times New Roman"/>
                <w:b/>
                <w:color w:val="000000"/>
                <w:sz w:val="20"/>
                <w:szCs w:val="20"/>
                <w:lang w:val="sr-Latn-RS" w:eastAsia="sr-Latn-ME"/>
              </w:rPr>
              <w:t>20,4</w:t>
            </w:r>
          </w:p>
        </w:tc>
      </w:tr>
      <w:tr w:rsidR="00FB2E0C" w:rsidRPr="004E5CDC" w14:paraId="1868B0A9" w14:textId="77777777" w:rsidTr="006C0FC5">
        <w:trPr>
          <w:trHeight w:val="294"/>
        </w:trPr>
        <w:tc>
          <w:tcPr>
            <w:tcW w:w="1779" w:type="dxa"/>
            <w:shd w:val="clear" w:color="auto" w:fill="auto"/>
            <w:noWrap/>
            <w:vAlign w:val="bottom"/>
            <w:hideMark/>
          </w:tcPr>
          <w:p w14:paraId="377B3FFE"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550,0</w:t>
            </w:r>
          </w:p>
        </w:tc>
        <w:tc>
          <w:tcPr>
            <w:tcW w:w="1803" w:type="dxa"/>
            <w:shd w:val="clear" w:color="auto" w:fill="auto"/>
            <w:noWrap/>
            <w:vAlign w:val="bottom"/>
            <w:hideMark/>
          </w:tcPr>
          <w:p w14:paraId="0E52C553"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20,4</w:t>
            </w:r>
          </w:p>
        </w:tc>
      </w:tr>
      <w:tr w:rsidR="00FB2E0C" w:rsidRPr="004E5CDC" w14:paraId="5B3CF000" w14:textId="77777777" w:rsidTr="006C0FC5">
        <w:trPr>
          <w:trHeight w:val="294"/>
        </w:trPr>
        <w:tc>
          <w:tcPr>
            <w:tcW w:w="1779" w:type="dxa"/>
            <w:shd w:val="clear" w:color="auto" w:fill="auto"/>
            <w:noWrap/>
            <w:vAlign w:val="bottom"/>
            <w:hideMark/>
          </w:tcPr>
          <w:p w14:paraId="034DFD05"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650,0</w:t>
            </w:r>
          </w:p>
        </w:tc>
        <w:tc>
          <w:tcPr>
            <w:tcW w:w="1803" w:type="dxa"/>
            <w:shd w:val="clear" w:color="auto" w:fill="auto"/>
            <w:noWrap/>
            <w:vAlign w:val="bottom"/>
            <w:hideMark/>
          </w:tcPr>
          <w:p w14:paraId="61F05014" w14:textId="77777777" w:rsidR="00FB2E0C" w:rsidRPr="004E5CDC" w:rsidRDefault="007577F8"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21,4</w:t>
            </w:r>
          </w:p>
        </w:tc>
      </w:tr>
      <w:tr w:rsidR="00FB2E0C" w:rsidRPr="004E5CDC" w14:paraId="0799B038" w14:textId="77777777" w:rsidTr="006C0FC5">
        <w:trPr>
          <w:trHeight w:val="294"/>
        </w:trPr>
        <w:tc>
          <w:tcPr>
            <w:tcW w:w="1779" w:type="dxa"/>
            <w:shd w:val="clear" w:color="auto" w:fill="auto"/>
            <w:noWrap/>
            <w:vAlign w:val="bottom"/>
            <w:hideMark/>
          </w:tcPr>
          <w:p w14:paraId="4BD00D96"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750,0</w:t>
            </w:r>
          </w:p>
        </w:tc>
        <w:tc>
          <w:tcPr>
            <w:tcW w:w="1803" w:type="dxa"/>
            <w:shd w:val="clear" w:color="auto" w:fill="auto"/>
            <w:noWrap/>
            <w:vAlign w:val="bottom"/>
            <w:hideMark/>
          </w:tcPr>
          <w:p w14:paraId="07A60851" w14:textId="77777777" w:rsidR="00FB2E0C" w:rsidRPr="004E5CDC" w:rsidRDefault="007577F8"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22,6</w:t>
            </w:r>
          </w:p>
        </w:tc>
      </w:tr>
      <w:tr w:rsidR="00FB2E0C" w:rsidRPr="004E5CDC" w14:paraId="3F4A065F" w14:textId="77777777" w:rsidTr="006C0FC5">
        <w:trPr>
          <w:trHeight w:val="294"/>
        </w:trPr>
        <w:tc>
          <w:tcPr>
            <w:tcW w:w="1779" w:type="dxa"/>
            <w:shd w:val="clear" w:color="auto" w:fill="auto"/>
            <w:noWrap/>
            <w:vAlign w:val="bottom"/>
            <w:hideMark/>
          </w:tcPr>
          <w:p w14:paraId="2E0A0EF0"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850,0</w:t>
            </w:r>
          </w:p>
        </w:tc>
        <w:tc>
          <w:tcPr>
            <w:tcW w:w="1803" w:type="dxa"/>
            <w:shd w:val="clear" w:color="auto" w:fill="auto"/>
            <w:noWrap/>
            <w:vAlign w:val="bottom"/>
            <w:hideMark/>
          </w:tcPr>
          <w:p w14:paraId="52EBE8AD" w14:textId="77777777" w:rsidR="00FB2E0C" w:rsidRPr="004E5CDC" w:rsidRDefault="00D215B9"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23,8</w:t>
            </w:r>
          </w:p>
        </w:tc>
      </w:tr>
      <w:tr w:rsidR="00FB2E0C" w:rsidRPr="004E5CDC" w14:paraId="5B123E87" w14:textId="77777777" w:rsidTr="006C0FC5">
        <w:trPr>
          <w:trHeight w:val="294"/>
        </w:trPr>
        <w:tc>
          <w:tcPr>
            <w:tcW w:w="1779" w:type="dxa"/>
            <w:shd w:val="clear" w:color="auto" w:fill="auto"/>
            <w:noWrap/>
            <w:vAlign w:val="bottom"/>
            <w:hideMark/>
          </w:tcPr>
          <w:p w14:paraId="15E335F8"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950,0</w:t>
            </w:r>
          </w:p>
        </w:tc>
        <w:tc>
          <w:tcPr>
            <w:tcW w:w="1803" w:type="dxa"/>
            <w:shd w:val="clear" w:color="auto" w:fill="auto"/>
            <w:noWrap/>
            <w:vAlign w:val="bottom"/>
            <w:hideMark/>
          </w:tcPr>
          <w:p w14:paraId="489A1B33" w14:textId="77777777" w:rsidR="00FB2E0C" w:rsidRPr="004E5CDC" w:rsidRDefault="00D215B9"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25,3</w:t>
            </w:r>
          </w:p>
        </w:tc>
      </w:tr>
      <w:tr w:rsidR="00FB2E0C" w:rsidRPr="004E5CDC" w14:paraId="096E264B" w14:textId="77777777" w:rsidTr="006C0FC5">
        <w:trPr>
          <w:trHeight w:val="294"/>
        </w:trPr>
        <w:tc>
          <w:tcPr>
            <w:tcW w:w="1779" w:type="dxa"/>
            <w:shd w:val="clear" w:color="auto" w:fill="auto"/>
            <w:noWrap/>
            <w:vAlign w:val="bottom"/>
            <w:hideMark/>
          </w:tcPr>
          <w:p w14:paraId="65F5BA6D"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1000,0</w:t>
            </w:r>
          </w:p>
        </w:tc>
        <w:tc>
          <w:tcPr>
            <w:tcW w:w="1803" w:type="dxa"/>
            <w:shd w:val="clear" w:color="auto" w:fill="auto"/>
            <w:noWrap/>
            <w:vAlign w:val="bottom"/>
            <w:hideMark/>
          </w:tcPr>
          <w:p w14:paraId="1EFDCB54" w14:textId="77777777" w:rsidR="00FB2E0C" w:rsidRPr="004E5CDC" w:rsidRDefault="00D215B9"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25,9</w:t>
            </w:r>
          </w:p>
        </w:tc>
      </w:tr>
      <w:tr w:rsidR="00FB2E0C" w:rsidRPr="004E5CDC" w14:paraId="574257D7" w14:textId="77777777" w:rsidTr="006C0FC5">
        <w:trPr>
          <w:trHeight w:val="294"/>
        </w:trPr>
        <w:tc>
          <w:tcPr>
            <w:tcW w:w="1779" w:type="dxa"/>
            <w:shd w:val="clear" w:color="auto" w:fill="auto"/>
            <w:noWrap/>
            <w:vAlign w:val="bottom"/>
            <w:hideMark/>
          </w:tcPr>
          <w:p w14:paraId="61BFB761"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1250,0</w:t>
            </w:r>
          </w:p>
        </w:tc>
        <w:tc>
          <w:tcPr>
            <w:tcW w:w="1803" w:type="dxa"/>
            <w:shd w:val="clear" w:color="auto" w:fill="auto"/>
            <w:noWrap/>
            <w:vAlign w:val="bottom"/>
            <w:hideMark/>
          </w:tcPr>
          <w:p w14:paraId="12EADD8E" w14:textId="77777777" w:rsidR="00FB2E0C" w:rsidRPr="004E5CDC" w:rsidRDefault="00D215B9"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28,2</w:t>
            </w:r>
          </w:p>
        </w:tc>
      </w:tr>
      <w:tr w:rsidR="00FB2E0C" w:rsidRPr="004E5CDC" w14:paraId="0F87C572" w14:textId="77777777" w:rsidTr="006C0FC5">
        <w:trPr>
          <w:trHeight w:val="294"/>
        </w:trPr>
        <w:tc>
          <w:tcPr>
            <w:tcW w:w="1779" w:type="dxa"/>
            <w:shd w:val="clear" w:color="auto" w:fill="auto"/>
            <w:noWrap/>
            <w:vAlign w:val="bottom"/>
            <w:hideMark/>
          </w:tcPr>
          <w:p w14:paraId="2730C958"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1500,0</w:t>
            </w:r>
          </w:p>
        </w:tc>
        <w:tc>
          <w:tcPr>
            <w:tcW w:w="1803" w:type="dxa"/>
            <w:shd w:val="clear" w:color="auto" w:fill="auto"/>
            <w:noWrap/>
            <w:vAlign w:val="bottom"/>
            <w:hideMark/>
          </w:tcPr>
          <w:p w14:paraId="15A90093" w14:textId="77777777" w:rsidR="00FB2E0C" w:rsidRPr="004E5CDC" w:rsidRDefault="00D215B9"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29,6</w:t>
            </w:r>
          </w:p>
        </w:tc>
      </w:tr>
      <w:tr w:rsidR="00FB2E0C" w:rsidRPr="004E5CDC" w14:paraId="124ED696" w14:textId="77777777" w:rsidTr="006C0FC5">
        <w:trPr>
          <w:trHeight w:val="294"/>
        </w:trPr>
        <w:tc>
          <w:tcPr>
            <w:tcW w:w="1779" w:type="dxa"/>
            <w:shd w:val="clear" w:color="auto" w:fill="auto"/>
            <w:noWrap/>
            <w:vAlign w:val="bottom"/>
            <w:hideMark/>
          </w:tcPr>
          <w:p w14:paraId="66AE692C"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1750,0</w:t>
            </w:r>
          </w:p>
        </w:tc>
        <w:tc>
          <w:tcPr>
            <w:tcW w:w="1803" w:type="dxa"/>
            <w:shd w:val="clear" w:color="auto" w:fill="auto"/>
            <w:noWrap/>
            <w:vAlign w:val="bottom"/>
            <w:hideMark/>
          </w:tcPr>
          <w:p w14:paraId="4C05B71E" w14:textId="77777777" w:rsidR="00FB2E0C" w:rsidRPr="004E5CDC" w:rsidRDefault="00101CA4"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30,6</w:t>
            </w:r>
          </w:p>
        </w:tc>
      </w:tr>
      <w:tr w:rsidR="00FB2E0C" w:rsidRPr="004E5CDC" w14:paraId="253DEE13" w14:textId="77777777" w:rsidTr="006C0FC5">
        <w:trPr>
          <w:trHeight w:val="294"/>
        </w:trPr>
        <w:tc>
          <w:tcPr>
            <w:tcW w:w="1779" w:type="dxa"/>
            <w:shd w:val="clear" w:color="auto" w:fill="auto"/>
            <w:noWrap/>
            <w:vAlign w:val="bottom"/>
            <w:hideMark/>
          </w:tcPr>
          <w:p w14:paraId="758B066A"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2000,0</w:t>
            </w:r>
          </w:p>
        </w:tc>
        <w:tc>
          <w:tcPr>
            <w:tcW w:w="1803" w:type="dxa"/>
            <w:shd w:val="clear" w:color="auto" w:fill="auto"/>
            <w:noWrap/>
            <w:vAlign w:val="bottom"/>
            <w:hideMark/>
          </w:tcPr>
          <w:p w14:paraId="71820D1C" w14:textId="77777777" w:rsidR="00FB2E0C" w:rsidRPr="004E5CDC" w:rsidRDefault="00101CA4"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31,3</w:t>
            </w:r>
          </w:p>
        </w:tc>
      </w:tr>
      <w:tr w:rsidR="00FB2E0C" w:rsidRPr="004E5CDC" w14:paraId="556785AA" w14:textId="77777777" w:rsidTr="006C0FC5">
        <w:trPr>
          <w:trHeight w:val="294"/>
        </w:trPr>
        <w:tc>
          <w:tcPr>
            <w:tcW w:w="1779" w:type="dxa"/>
            <w:shd w:val="clear" w:color="auto" w:fill="auto"/>
            <w:noWrap/>
            <w:vAlign w:val="bottom"/>
            <w:hideMark/>
          </w:tcPr>
          <w:p w14:paraId="53E30EF7" w14:textId="77777777" w:rsidR="00FB2E0C" w:rsidRPr="004E5CDC" w:rsidRDefault="00FB2E0C"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2250,0</w:t>
            </w:r>
          </w:p>
        </w:tc>
        <w:tc>
          <w:tcPr>
            <w:tcW w:w="1803" w:type="dxa"/>
            <w:shd w:val="clear" w:color="auto" w:fill="auto"/>
            <w:noWrap/>
            <w:vAlign w:val="bottom"/>
            <w:hideMark/>
          </w:tcPr>
          <w:p w14:paraId="48C1FF2F" w14:textId="77777777" w:rsidR="00FB2E0C" w:rsidRPr="004E5CDC" w:rsidRDefault="00101CA4" w:rsidP="00FB2E0C">
            <w:pPr>
              <w:spacing w:after="0" w:line="240" w:lineRule="auto"/>
              <w:jc w:val="center"/>
              <w:rPr>
                <w:rFonts w:ascii="Cambria" w:eastAsia="Times New Roman" w:hAnsi="Cambria" w:cs="Times New Roman"/>
                <w:color w:val="000000"/>
                <w:sz w:val="20"/>
                <w:szCs w:val="20"/>
                <w:lang w:val="sr-Latn-RS" w:eastAsia="sr-Latn-ME"/>
              </w:rPr>
            </w:pPr>
            <w:r w:rsidRPr="004E5CDC">
              <w:rPr>
                <w:rFonts w:ascii="Cambria" w:eastAsia="Times New Roman" w:hAnsi="Cambria" w:cs="Times New Roman"/>
                <w:color w:val="000000"/>
                <w:sz w:val="20"/>
                <w:szCs w:val="20"/>
                <w:lang w:val="sr-Latn-RS" w:eastAsia="sr-Latn-ME"/>
              </w:rPr>
              <w:t>31,8</w:t>
            </w:r>
          </w:p>
        </w:tc>
      </w:tr>
    </w:tbl>
    <w:p w14:paraId="7F7FB18E" w14:textId="77777777" w:rsidR="0077622E" w:rsidRPr="004E5CDC" w:rsidRDefault="0077622E" w:rsidP="0077622E">
      <w:pPr>
        <w:jc w:val="both"/>
        <w:rPr>
          <w:rFonts w:ascii="Cambria" w:hAnsi="Cambria"/>
          <w:sz w:val="24"/>
          <w:szCs w:val="24"/>
          <w:lang w:val="sr-Latn-RS"/>
        </w:rPr>
      </w:pPr>
    </w:p>
    <w:p w14:paraId="60CB9CE1" w14:textId="77777777" w:rsidR="00D01513" w:rsidRPr="004E5CDC" w:rsidRDefault="00361E20" w:rsidP="0077622E">
      <w:pPr>
        <w:jc w:val="both"/>
        <w:rPr>
          <w:rFonts w:ascii="Cambria" w:hAnsi="Cambria"/>
          <w:sz w:val="24"/>
          <w:szCs w:val="24"/>
          <w:lang w:val="sr-Latn-RS"/>
        </w:rPr>
      </w:pPr>
      <w:r w:rsidRPr="004E5CDC">
        <w:rPr>
          <w:rFonts w:ascii="Cambria" w:hAnsi="Cambria"/>
          <w:noProof/>
          <w:lang w:val="en-US"/>
        </w:rPr>
        <w:drawing>
          <wp:anchor distT="0" distB="0" distL="114300" distR="114300" simplePos="0" relativeHeight="251665408" behindDoc="1" locked="0" layoutInCell="1" allowOverlap="1" wp14:anchorId="19E793BC" wp14:editId="641B603F">
            <wp:simplePos x="0" y="0"/>
            <wp:positionH relativeFrom="margin">
              <wp:align>right</wp:align>
            </wp:positionH>
            <wp:positionV relativeFrom="paragraph">
              <wp:posOffset>315843</wp:posOffset>
            </wp:positionV>
            <wp:extent cx="3368675" cy="1939925"/>
            <wp:effectExtent l="0" t="0" r="3175" b="3175"/>
            <wp:wrapTight wrapText="bothSides">
              <wp:wrapPolygon edited="0">
                <wp:start x="0" y="0"/>
                <wp:lineTo x="0" y="21423"/>
                <wp:lineTo x="21498" y="21423"/>
                <wp:lineTo x="2149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E4E4D29" w14:textId="77777777" w:rsidR="0077622E" w:rsidRPr="004E5CDC" w:rsidRDefault="0077622E" w:rsidP="0077622E">
      <w:pPr>
        <w:jc w:val="both"/>
        <w:rPr>
          <w:rFonts w:ascii="Cambria" w:hAnsi="Cambria"/>
          <w:sz w:val="24"/>
          <w:szCs w:val="24"/>
          <w:lang w:val="sr-Latn-RS"/>
        </w:rPr>
      </w:pPr>
    </w:p>
    <w:p w14:paraId="1CF30D8A" w14:textId="77777777" w:rsidR="00FB2E0C" w:rsidRPr="004E5CDC" w:rsidRDefault="00FB2E0C" w:rsidP="0077622E">
      <w:pPr>
        <w:jc w:val="both"/>
        <w:rPr>
          <w:rFonts w:ascii="Cambria" w:hAnsi="Cambria"/>
          <w:sz w:val="24"/>
          <w:szCs w:val="24"/>
          <w:lang w:val="sr-Latn-RS"/>
        </w:rPr>
      </w:pPr>
    </w:p>
    <w:p w14:paraId="4CD2F968" w14:textId="448D0A03" w:rsidR="002E2EAD" w:rsidRPr="004E5CDC" w:rsidRDefault="002E2EAD" w:rsidP="0077622E">
      <w:pPr>
        <w:jc w:val="both"/>
        <w:rPr>
          <w:rFonts w:ascii="Cambria" w:hAnsi="Cambria"/>
          <w:sz w:val="24"/>
          <w:szCs w:val="24"/>
          <w:lang w:val="sr-Latn-RS"/>
        </w:rPr>
      </w:pPr>
    </w:p>
    <w:p w14:paraId="0E6AA4A4" w14:textId="5A532083" w:rsidR="006C0FC5" w:rsidRPr="00EA3D01" w:rsidRDefault="00FB2E0C" w:rsidP="0077622E">
      <w:pPr>
        <w:jc w:val="both"/>
        <w:rPr>
          <w:rFonts w:ascii="Cambria" w:hAnsi="Cambria"/>
          <w:sz w:val="24"/>
          <w:szCs w:val="24"/>
          <w:lang w:val="sr-Latn-RS"/>
        </w:rPr>
      </w:pPr>
      <w:r w:rsidRPr="004E5CDC">
        <w:rPr>
          <w:rFonts w:ascii="Cambria" w:hAnsi="Cambria"/>
          <w:sz w:val="24"/>
          <w:szCs w:val="24"/>
          <w:lang w:val="sr-Latn-RS"/>
        </w:rPr>
        <w:t xml:space="preserve">Pregled nove neto i bruto </w:t>
      </w:r>
      <w:r w:rsidR="00FC22EF" w:rsidRPr="004E5CDC">
        <w:rPr>
          <w:rFonts w:ascii="Cambria" w:hAnsi="Cambria"/>
          <w:sz w:val="24"/>
          <w:szCs w:val="24"/>
          <w:lang w:val="sr-Latn-RS"/>
        </w:rPr>
        <w:t>II</w:t>
      </w:r>
      <w:r w:rsidR="00B86882">
        <w:rPr>
          <w:rFonts w:ascii="Cambria" w:hAnsi="Cambria"/>
          <w:sz w:val="24"/>
          <w:szCs w:val="24"/>
          <w:lang w:val="sr-Latn-RS"/>
        </w:rPr>
        <w:t xml:space="preserve"> zarade zaposlenih</w:t>
      </w:r>
      <w:r w:rsidR="00AA30EE">
        <w:rPr>
          <w:rFonts w:ascii="Cambria" w:hAnsi="Cambria"/>
          <w:sz w:val="24"/>
          <w:szCs w:val="24"/>
          <w:lang w:val="sr-Latn-RS"/>
        </w:rPr>
        <w:t>, a u skladu sa odredb</w:t>
      </w:r>
      <w:r w:rsidR="00CF0AFA">
        <w:rPr>
          <w:rFonts w:ascii="Cambria" w:hAnsi="Cambria"/>
          <w:sz w:val="24"/>
          <w:szCs w:val="24"/>
          <w:lang w:val="sr-Latn-RS"/>
        </w:rPr>
        <w:t>ama Opšteg kolektivnog ugovora</w:t>
      </w:r>
      <w:r w:rsidRPr="004E5CDC">
        <w:rPr>
          <w:rFonts w:ascii="Cambria" w:hAnsi="Cambria"/>
          <w:sz w:val="24"/>
          <w:szCs w:val="24"/>
          <w:lang w:val="sr-Latn-RS"/>
        </w:rPr>
        <w:t>:</w:t>
      </w:r>
    </w:p>
    <w:p w14:paraId="4C620794" w14:textId="7DC0D5AF" w:rsidR="00FD5D7F" w:rsidRPr="004E5CDC" w:rsidRDefault="006C0FC5" w:rsidP="0077622E">
      <w:pPr>
        <w:jc w:val="both"/>
        <w:rPr>
          <w:rFonts w:ascii="Cambria" w:hAnsi="Cambria"/>
          <w:b/>
          <w:sz w:val="24"/>
          <w:szCs w:val="24"/>
          <w:lang w:val="sr-Latn-RS"/>
        </w:rPr>
      </w:pPr>
      <w:r>
        <w:rPr>
          <w:rFonts w:ascii="Cambria" w:hAnsi="Cambria"/>
          <w:b/>
          <w:sz w:val="24"/>
          <w:szCs w:val="24"/>
          <w:lang w:val="sr-Latn-RS"/>
        </w:rPr>
        <w:t xml:space="preserve">    </w:t>
      </w:r>
      <w:r>
        <w:rPr>
          <w:rFonts w:ascii="Cambria" w:hAnsi="Cambria"/>
          <w:b/>
          <w:noProof/>
          <w:sz w:val="24"/>
          <w:szCs w:val="24"/>
          <w:lang w:val="en-US"/>
        </w:rPr>
        <w:drawing>
          <wp:inline distT="0" distB="0" distL="0" distR="0" wp14:anchorId="41D47D4A" wp14:editId="19D05EE9">
            <wp:extent cx="5173980" cy="4518660"/>
            <wp:effectExtent l="0" t="0" r="7620" b="0"/>
            <wp:docPr id="7" name="Picture 7" descr="C:\Users\branka.nedeljakovic\Desktop\evropa sad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ka.nedeljakovic\Desktop\evropa sad pla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3980" cy="4518660"/>
                    </a:xfrm>
                    <a:prstGeom prst="rect">
                      <a:avLst/>
                    </a:prstGeom>
                    <a:noFill/>
                    <a:ln>
                      <a:noFill/>
                    </a:ln>
                  </pic:spPr>
                </pic:pic>
              </a:graphicData>
            </a:graphic>
          </wp:inline>
        </w:drawing>
      </w:r>
    </w:p>
    <w:p w14:paraId="67C9A123" w14:textId="09A8F4C3" w:rsidR="00FB2E0C" w:rsidRPr="004E5CDC" w:rsidRDefault="00F34032" w:rsidP="0077622E">
      <w:pPr>
        <w:jc w:val="both"/>
        <w:rPr>
          <w:rFonts w:ascii="Cambria" w:hAnsi="Cambria"/>
          <w:b/>
          <w:sz w:val="24"/>
          <w:szCs w:val="24"/>
          <w:lang w:val="sr-Latn-RS"/>
        </w:rPr>
      </w:pPr>
      <w:r w:rsidRPr="004E5CDC">
        <w:rPr>
          <w:rFonts w:ascii="Cambria" w:hAnsi="Cambria"/>
          <w:b/>
          <w:sz w:val="24"/>
          <w:szCs w:val="24"/>
          <w:lang w:val="sr-Latn-RS"/>
        </w:rPr>
        <w:lastRenderedPageBreak/>
        <w:t>Iz prethodne tabele se može zaključiti da refo</w:t>
      </w:r>
      <w:r w:rsidR="009D18DB" w:rsidRPr="004E5CDC">
        <w:rPr>
          <w:rFonts w:ascii="Cambria" w:hAnsi="Cambria"/>
          <w:b/>
          <w:sz w:val="24"/>
          <w:szCs w:val="24"/>
          <w:lang w:val="sr-Latn-RS"/>
        </w:rPr>
        <w:t xml:space="preserve">rma donosi opšti rast zarada </w:t>
      </w:r>
      <w:r w:rsidR="002550CE" w:rsidRPr="004E5CDC">
        <w:rPr>
          <w:rFonts w:ascii="Cambria" w:hAnsi="Cambria"/>
          <w:b/>
          <w:sz w:val="24"/>
          <w:szCs w:val="24"/>
          <w:lang w:val="sr-Latn-RS"/>
        </w:rPr>
        <w:t xml:space="preserve">u neto iznosu </w:t>
      </w:r>
      <w:r w:rsidR="009D18DB" w:rsidRPr="004E5CDC">
        <w:rPr>
          <w:rFonts w:ascii="Cambria" w:hAnsi="Cambria"/>
          <w:b/>
          <w:sz w:val="24"/>
          <w:szCs w:val="24"/>
          <w:lang w:val="sr-Latn-RS"/>
        </w:rPr>
        <w:t>odnos</w:t>
      </w:r>
      <w:r w:rsidRPr="004E5CDC">
        <w:rPr>
          <w:rFonts w:ascii="Cambria" w:hAnsi="Cambria"/>
          <w:b/>
          <w:sz w:val="24"/>
          <w:szCs w:val="24"/>
          <w:lang w:val="sr-Latn-RS"/>
        </w:rPr>
        <w:t xml:space="preserve">no rast </w:t>
      </w:r>
      <w:r w:rsidR="002550CE" w:rsidRPr="004E5CDC">
        <w:rPr>
          <w:rFonts w:ascii="Cambria" w:hAnsi="Cambria"/>
          <w:b/>
          <w:sz w:val="24"/>
          <w:szCs w:val="24"/>
          <w:lang w:val="sr-Latn-RS"/>
        </w:rPr>
        <w:t xml:space="preserve">neto </w:t>
      </w:r>
      <w:r w:rsidRPr="004E5CDC">
        <w:rPr>
          <w:rFonts w:ascii="Cambria" w:hAnsi="Cambria"/>
          <w:b/>
          <w:sz w:val="24"/>
          <w:szCs w:val="24"/>
          <w:lang w:val="sr-Latn-RS"/>
        </w:rPr>
        <w:t>zarada po svim nivoima dohotka</w:t>
      </w:r>
      <w:r w:rsidR="002550CE" w:rsidRPr="004E5CDC">
        <w:rPr>
          <w:rFonts w:ascii="Cambria" w:hAnsi="Cambria"/>
          <w:b/>
          <w:sz w:val="24"/>
          <w:szCs w:val="24"/>
          <w:lang w:val="sr-Latn-RS"/>
        </w:rPr>
        <w:t>,</w:t>
      </w:r>
      <w:r w:rsidRPr="004E5CDC">
        <w:rPr>
          <w:rFonts w:ascii="Cambria" w:hAnsi="Cambria"/>
          <w:b/>
          <w:sz w:val="24"/>
          <w:szCs w:val="24"/>
          <w:lang w:val="sr-Latn-RS"/>
        </w:rPr>
        <w:t xml:space="preserve"> pri čemu zaposleni sa najnižim nivoom dohotka </w:t>
      </w:r>
      <w:r w:rsidR="002550CE" w:rsidRPr="004E5CDC">
        <w:rPr>
          <w:rFonts w:ascii="Cambria" w:hAnsi="Cambria"/>
          <w:b/>
          <w:sz w:val="24"/>
          <w:szCs w:val="24"/>
          <w:lang w:val="sr-Latn-RS"/>
        </w:rPr>
        <w:t xml:space="preserve">(nivo trenutne neto MZ) </w:t>
      </w:r>
      <w:r w:rsidRPr="004E5CDC">
        <w:rPr>
          <w:rFonts w:ascii="Cambria" w:hAnsi="Cambria"/>
          <w:b/>
          <w:sz w:val="24"/>
          <w:szCs w:val="24"/>
          <w:lang w:val="sr-Latn-RS"/>
        </w:rPr>
        <w:t>ostvaruju najveći rast</w:t>
      </w:r>
      <w:r w:rsidR="00D4550A">
        <w:rPr>
          <w:rFonts w:ascii="Cambria" w:hAnsi="Cambria"/>
          <w:b/>
          <w:sz w:val="24"/>
          <w:szCs w:val="24"/>
          <w:lang w:val="sr-Latn-RS"/>
        </w:rPr>
        <w:t>,</w:t>
      </w:r>
      <w:r w:rsidRPr="004E5CDC">
        <w:rPr>
          <w:rFonts w:ascii="Cambria" w:hAnsi="Cambria"/>
          <w:b/>
          <w:sz w:val="24"/>
          <w:szCs w:val="24"/>
          <w:lang w:val="sr-Latn-RS"/>
        </w:rPr>
        <w:t xml:space="preserve"> a zatim se taj rast postepeno smanj</w:t>
      </w:r>
      <w:r w:rsidR="002F4DD5" w:rsidRPr="004E5CDC">
        <w:rPr>
          <w:rFonts w:ascii="Cambria" w:hAnsi="Cambria"/>
          <w:b/>
          <w:sz w:val="24"/>
          <w:szCs w:val="24"/>
          <w:lang w:val="sr-Latn-RS"/>
        </w:rPr>
        <w:t>uje sa rastom zarada, usljed progresivnog oporezivanja dohotka i uvođenja neoporezivog dijela dohotka.</w:t>
      </w:r>
    </w:p>
    <w:p w14:paraId="3D37BCE4" w14:textId="6875E607" w:rsidR="00FC22EF" w:rsidRPr="004E5CDC" w:rsidRDefault="00002FD9" w:rsidP="0077622E">
      <w:pPr>
        <w:jc w:val="both"/>
        <w:rPr>
          <w:rFonts w:ascii="Cambria" w:hAnsi="Cambria"/>
          <w:b/>
          <w:sz w:val="24"/>
          <w:szCs w:val="24"/>
          <w:lang w:val="sr-Latn-RS"/>
        </w:rPr>
      </w:pPr>
      <w:r>
        <w:rPr>
          <w:rFonts w:ascii="Cambria" w:hAnsi="Cambria"/>
          <w:b/>
          <w:sz w:val="24"/>
          <w:szCs w:val="24"/>
          <w:lang w:val="sr-Latn-RS"/>
        </w:rPr>
        <w:t>Polazeći od navedenog, prema projekciji Ministarstva finansija i socijalnog staranja, prosječna neto zarada u Crnoj Gori na kraju 2022. godine iznosiće oko 700€</w:t>
      </w:r>
      <w:r w:rsidR="00D12A71">
        <w:rPr>
          <w:rFonts w:ascii="Cambria" w:hAnsi="Cambria"/>
          <w:b/>
          <w:sz w:val="24"/>
          <w:szCs w:val="24"/>
          <w:lang w:val="sr-Latn-RS"/>
        </w:rPr>
        <w:t>, što predstavlja povećanje od 33% u odnosu na kraj 2020, kada je prosječna neto zarada iznosila 527</w:t>
      </w:r>
      <w:r w:rsidR="00D12A71" w:rsidRPr="00D12A71">
        <w:rPr>
          <w:rFonts w:ascii="Cambria" w:hAnsi="Cambria"/>
          <w:b/>
          <w:sz w:val="24"/>
          <w:szCs w:val="24"/>
          <w:lang w:val="sr-Latn-RS"/>
        </w:rPr>
        <w:t>€</w:t>
      </w:r>
      <w:r>
        <w:rPr>
          <w:rFonts w:ascii="Cambria" w:hAnsi="Cambria"/>
          <w:b/>
          <w:sz w:val="24"/>
          <w:szCs w:val="24"/>
          <w:lang w:val="sr-Latn-RS"/>
        </w:rPr>
        <w:t>.</w:t>
      </w:r>
    </w:p>
    <w:p w14:paraId="713BF7F6" w14:textId="43AF1093" w:rsidR="00535046" w:rsidRPr="00C81CEA" w:rsidRDefault="00FD5D7F" w:rsidP="00C81CEA">
      <w:pPr>
        <w:pStyle w:val="Heading2"/>
        <w:rPr>
          <w:rFonts w:ascii="Cambria" w:hAnsi="Cambria"/>
          <w:sz w:val="32"/>
          <w:szCs w:val="32"/>
          <w:lang w:val="sr-Latn-RS"/>
        </w:rPr>
      </w:pPr>
      <w:bookmarkStart w:id="7" w:name="_Toc86755072"/>
      <w:r w:rsidRPr="004E5CDC">
        <w:rPr>
          <w:rFonts w:ascii="Cambria" w:hAnsi="Cambria"/>
          <w:sz w:val="32"/>
          <w:szCs w:val="32"/>
          <w:lang w:val="sr-Latn-RS"/>
        </w:rPr>
        <w:t xml:space="preserve">Zarade zaposlenih u </w:t>
      </w:r>
      <w:r w:rsidR="00A56D50" w:rsidRPr="004E5CDC">
        <w:rPr>
          <w:rFonts w:ascii="Cambria" w:hAnsi="Cambria"/>
          <w:sz w:val="32"/>
          <w:szCs w:val="32"/>
          <w:lang w:val="sr-Latn-RS"/>
        </w:rPr>
        <w:t>javno</w:t>
      </w:r>
      <w:r w:rsidR="00E86751" w:rsidRPr="004E5CDC">
        <w:rPr>
          <w:rFonts w:ascii="Cambria" w:hAnsi="Cambria"/>
          <w:sz w:val="32"/>
          <w:szCs w:val="32"/>
          <w:lang w:val="sr-Latn-RS"/>
        </w:rPr>
        <w:t>m</w:t>
      </w:r>
      <w:r w:rsidRPr="004E5CDC">
        <w:rPr>
          <w:rFonts w:ascii="Cambria" w:hAnsi="Cambria"/>
          <w:sz w:val="32"/>
          <w:szCs w:val="32"/>
          <w:lang w:val="sr-Latn-RS"/>
        </w:rPr>
        <w:t xml:space="preserve"> </w:t>
      </w:r>
      <w:r w:rsidR="00E86751" w:rsidRPr="004E5CDC">
        <w:rPr>
          <w:rFonts w:ascii="Cambria" w:hAnsi="Cambria"/>
          <w:sz w:val="32"/>
          <w:szCs w:val="32"/>
          <w:lang w:val="sr-Latn-RS"/>
        </w:rPr>
        <w:t>sektoru</w:t>
      </w:r>
      <w:bookmarkEnd w:id="7"/>
    </w:p>
    <w:p w14:paraId="1B36F962" w14:textId="1DA43102" w:rsidR="00FC3119" w:rsidRPr="00FC3119" w:rsidRDefault="00FC3119" w:rsidP="00FC3119">
      <w:pPr>
        <w:jc w:val="both"/>
        <w:rPr>
          <w:rFonts w:ascii="Cambria" w:eastAsia="Calibri" w:hAnsi="Cambria" w:cs="Times New Roman"/>
          <w:sz w:val="24"/>
          <w:szCs w:val="24"/>
          <w:lang w:val="sr-Latn-RS"/>
        </w:rPr>
      </w:pPr>
      <w:r w:rsidRPr="00FC3119">
        <w:rPr>
          <w:rFonts w:ascii="Cambria" w:eastAsia="Calibri" w:hAnsi="Cambria" w:cs="Times New Roman"/>
          <w:sz w:val="24"/>
          <w:szCs w:val="24"/>
          <w:lang w:val="sr-Latn-RS"/>
        </w:rPr>
        <w:t>Zarade zaposlenih u javnom sektoru regulisane su Zakonom o zaradama zaposlenih u javnom sekt</w:t>
      </w:r>
      <w:r w:rsidR="00112C70">
        <w:rPr>
          <w:rFonts w:ascii="Cambria" w:eastAsia="Calibri" w:hAnsi="Cambria" w:cs="Times New Roman"/>
          <w:sz w:val="24"/>
          <w:szCs w:val="24"/>
          <w:lang w:val="sr-Latn-RS"/>
        </w:rPr>
        <w:t xml:space="preserve">oru (Sl.list CG, br: 16/16 ... </w:t>
      </w:r>
      <w:r w:rsidRPr="00FC3119">
        <w:rPr>
          <w:rFonts w:ascii="Cambria" w:eastAsia="Calibri" w:hAnsi="Cambria" w:cs="Times New Roman"/>
          <w:sz w:val="24"/>
          <w:szCs w:val="24"/>
          <w:lang w:val="sr-Latn-RS"/>
        </w:rPr>
        <w:t>34/19).</w:t>
      </w:r>
    </w:p>
    <w:p w14:paraId="2709F47A" w14:textId="77777777" w:rsidR="00FC3119" w:rsidRPr="00FC3119" w:rsidRDefault="00FC3119" w:rsidP="00FC3119">
      <w:pPr>
        <w:jc w:val="both"/>
        <w:rPr>
          <w:rFonts w:ascii="Cambria" w:eastAsia="Calibri" w:hAnsi="Cambria" w:cs="Times New Roman"/>
          <w:sz w:val="24"/>
          <w:szCs w:val="24"/>
          <w:lang w:val="sr-Latn-RS"/>
        </w:rPr>
      </w:pPr>
      <w:r w:rsidRPr="00FC3119">
        <w:rPr>
          <w:rFonts w:ascii="Cambria" w:eastAsia="Calibri" w:hAnsi="Cambria" w:cs="Times New Roman"/>
          <w:sz w:val="24"/>
          <w:szCs w:val="24"/>
          <w:lang w:val="sr-Latn-RS"/>
        </w:rPr>
        <w:t>Država odnosno lokalna samouprava kao poslodavac ostvaruje uštedu usljed ukidanja doprinosa za zdravstveno osiguranje na teret poslodavca i pripadajućeg iznosa prireza porezu. Na drugoj strani, troškovi u okviru ukupnog fonda bruto zarada povećavaju se po osnovu zarada zaposlenih koji ostvaruju pravo na minimalnu neto zaradu od 250€ do visine minimalne neto zarade od 450€ .</w:t>
      </w:r>
    </w:p>
    <w:p w14:paraId="43F4B7EC" w14:textId="77777777" w:rsidR="00FC3119" w:rsidRPr="00FC3119" w:rsidRDefault="00FC3119" w:rsidP="00FC3119">
      <w:pPr>
        <w:jc w:val="both"/>
        <w:rPr>
          <w:rFonts w:ascii="Cambria" w:eastAsia="Calibri" w:hAnsi="Cambria" w:cs="Times New Roman"/>
          <w:sz w:val="24"/>
          <w:szCs w:val="24"/>
          <w:lang w:val="sr-Latn-RS"/>
        </w:rPr>
      </w:pPr>
      <w:r w:rsidRPr="00FC3119">
        <w:rPr>
          <w:rFonts w:ascii="Cambria" w:eastAsia="Calibri" w:hAnsi="Cambria" w:cs="Times New Roman"/>
          <w:sz w:val="24"/>
          <w:szCs w:val="24"/>
          <w:lang w:val="sr-Latn-RS"/>
        </w:rPr>
        <w:t>Polazeći od reforme izmjene poreskog opterećenja na rad, sve zarade zaposlenih u javnom sektoru biće povećane, pri čemu će najveći procentualni rast ostvariti zaposleni sa najnižim zaradama.</w:t>
      </w:r>
    </w:p>
    <w:p w14:paraId="1E40BD24" w14:textId="77777777" w:rsidR="00FC3119" w:rsidRPr="00FC3119" w:rsidRDefault="00FC3119" w:rsidP="00FC3119">
      <w:pPr>
        <w:jc w:val="both"/>
        <w:rPr>
          <w:rFonts w:ascii="Cambria" w:eastAsia="Calibri" w:hAnsi="Cambria" w:cs="Times New Roman"/>
          <w:sz w:val="24"/>
          <w:szCs w:val="24"/>
          <w:lang w:val="sr-Latn-RS"/>
        </w:rPr>
      </w:pPr>
      <w:r w:rsidRPr="00FC3119">
        <w:rPr>
          <w:rFonts w:ascii="Cambria" w:eastAsia="Calibri" w:hAnsi="Cambria" w:cs="Times New Roman"/>
          <w:sz w:val="24"/>
          <w:szCs w:val="24"/>
          <w:lang w:val="sr-Latn-RS"/>
        </w:rPr>
        <w:t>Imajući u vidu da visinu zarada zaposlenih opredjeljuje koeficijent složenosti poslova, te da je obračunska vrijednost koeficijenta ista (90€) za sve nivoe koeficijenata, shodno sadašnjoj regulativi, rast zarada ostvario bi se u proporcionalnom iznosu u skladu sa rasponom koeficijenata.</w:t>
      </w:r>
    </w:p>
    <w:p w14:paraId="34A4D0D7" w14:textId="2D5F2A53" w:rsidR="00FC3119" w:rsidRPr="00FC3119" w:rsidRDefault="00FC3119" w:rsidP="00FC3119">
      <w:pPr>
        <w:jc w:val="both"/>
        <w:rPr>
          <w:rFonts w:ascii="Cambria" w:eastAsia="Calibri" w:hAnsi="Cambria" w:cs="Times New Roman"/>
          <w:b/>
          <w:sz w:val="24"/>
          <w:szCs w:val="24"/>
          <w:lang w:val="sr-Latn-RS"/>
        </w:rPr>
      </w:pPr>
      <w:r w:rsidRPr="00FC3119">
        <w:rPr>
          <w:rFonts w:ascii="Cambria" w:eastAsia="Calibri" w:hAnsi="Cambria" w:cs="Times New Roman"/>
          <w:b/>
          <w:sz w:val="24"/>
          <w:szCs w:val="24"/>
          <w:lang w:val="sr-Latn-RS"/>
        </w:rPr>
        <w:t xml:space="preserve">U cilju smanjenja nejednakosti zarada, opredjeljenje Vlade je da </w:t>
      </w:r>
      <w:r>
        <w:rPr>
          <w:rFonts w:ascii="Cambria" w:eastAsia="Calibri" w:hAnsi="Cambria" w:cs="Times New Roman"/>
          <w:b/>
          <w:sz w:val="24"/>
          <w:szCs w:val="24"/>
          <w:lang w:val="sr-Latn-RS"/>
        </w:rPr>
        <w:t>ovom reformom predlo</w:t>
      </w:r>
      <w:r w:rsidRPr="00FC3119">
        <w:rPr>
          <w:rFonts w:ascii="Cambria" w:eastAsia="Calibri" w:hAnsi="Cambria" w:cs="Times New Roman"/>
          <w:b/>
          <w:sz w:val="24"/>
          <w:szCs w:val="24"/>
          <w:lang w:val="sr-Latn-RS"/>
        </w:rPr>
        <w:t>ži smanjenje obračunske vrijednosti koeficijenta za koeficijente koji se okvirno nalaze u grupi poslova A, B i C, dok bi za koeficijente iz grupe poslova D, obračunska vrijednost koeficijenta ostala nepromijenjena.</w:t>
      </w:r>
    </w:p>
    <w:p w14:paraId="31EC9BE0" w14:textId="77777777" w:rsidR="00FC3119" w:rsidRPr="00FC3119" w:rsidRDefault="00FC3119" w:rsidP="00FC3119">
      <w:pPr>
        <w:jc w:val="both"/>
        <w:rPr>
          <w:rFonts w:ascii="Cambria" w:eastAsia="Calibri" w:hAnsi="Cambria" w:cs="Times New Roman"/>
          <w:b/>
          <w:sz w:val="24"/>
          <w:szCs w:val="24"/>
          <w:lang w:val="sr-Latn-RS"/>
        </w:rPr>
      </w:pPr>
      <w:r w:rsidRPr="00FC3119">
        <w:rPr>
          <w:rFonts w:ascii="Cambria" w:eastAsia="Calibri" w:hAnsi="Cambria" w:cs="Times New Roman"/>
          <w:b/>
          <w:sz w:val="24"/>
          <w:szCs w:val="24"/>
          <w:lang w:val="sr-Latn-RS"/>
        </w:rPr>
        <w:t>Na ovaj način, ograničava se rast zarada zaposlenih sa najvećim zaradama, dok najveći benefit reforme ostvaruju zaposleni iz grupe poslova D.</w:t>
      </w:r>
    </w:p>
    <w:p w14:paraId="5D24BD0F" w14:textId="7B5CACB8" w:rsidR="00FC3119" w:rsidRPr="00FC3119" w:rsidRDefault="00FC3119" w:rsidP="00FC3119">
      <w:pPr>
        <w:jc w:val="both"/>
        <w:rPr>
          <w:rFonts w:ascii="Cambria" w:eastAsia="Calibri" w:hAnsi="Cambria" w:cs="Times New Roman"/>
          <w:b/>
          <w:sz w:val="24"/>
          <w:szCs w:val="24"/>
          <w:lang w:val="sr-Latn-RS"/>
        </w:rPr>
      </w:pPr>
      <w:r w:rsidRPr="00FC3119">
        <w:rPr>
          <w:rFonts w:ascii="Cambria" w:eastAsia="Calibri" w:hAnsi="Cambria" w:cs="Times New Roman"/>
          <w:b/>
          <w:sz w:val="24"/>
          <w:szCs w:val="24"/>
          <w:lang w:val="sr-Latn-RS"/>
        </w:rPr>
        <w:t>Kako predložena izmjena obračunske vrijednosti koeficijenta ne bi imala za posl</w:t>
      </w:r>
      <w:r w:rsidR="008720D8">
        <w:rPr>
          <w:rFonts w:ascii="Cambria" w:eastAsia="Calibri" w:hAnsi="Cambria" w:cs="Times New Roman"/>
          <w:b/>
          <w:sz w:val="24"/>
          <w:szCs w:val="24"/>
          <w:lang w:val="sr-Latn-RS"/>
        </w:rPr>
        <w:t>j</w:t>
      </w:r>
      <w:r w:rsidRPr="00FC3119">
        <w:rPr>
          <w:rFonts w:ascii="Cambria" w:eastAsia="Calibri" w:hAnsi="Cambria" w:cs="Times New Roman"/>
          <w:b/>
          <w:sz w:val="24"/>
          <w:szCs w:val="24"/>
          <w:lang w:val="sr-Latn-RS"/>
        </w:rPr>
        <w:t>edicu ograničenje rasta zarada zaposlenih u zdravstvu, koeficijenti zvanja u ovom sektoru biće predmet izmjene Granskog kolektivnog ugovora za zdravstvenu djelatnost.</w:t>
      </w:r>
    </w:p>
    <w:p w14:paraId="6575DCBC" w14:textId="77777777" w:rsidR="00FC3119" w:rsidRPr="00FC3119" w:rsidRDefault="00FC3119" w:rsidP="005A38E9">
      <w:pPr>
        <w:pBdr>
          <w:top w:val="single" w:sz="4" w:space="1" w:color="2E74B5"/>
          <w:left w:val="single" w:sz="4" w:space="0" w:color="2E74B5"/>
          <w:bottom w:val="single" w:sz="4" w:space="1" w:color="2E74B5"/>
          <w:right w:val="single" w:sz="4" w:space="4" w:color="2E74B5"/>
        </w:pBdr>
        <w:shd w:val="clear" w:color="auto" w:fill="74B5E4" w:themeFill="accent2" w:themeFillTint="99"/>
        <w:ind w:left="4248" w:firstLine="708"/>
        <w:jc w:val="both"/>
        <w:rPr>
          <w:rFonts w:ascii="Cambria" w:eastAsia="Calibri" w:hAnsi="Cambria" w:cs="Times New Roman"/>
          <w:lang w:val="sr-Latn-RS"/>
        </w:rPr>
      </w:pPr>
      <w:r w:rsidRPr="00FC3119">
        <w:rPr>
          <w:rFonts w:ascii="Cambria" w:eastAsia="Calibri" w:hAnsi="Cambria" w:cs="Times New Roman"/>
          <w:lang w:val="sr-Latn-RS"/>
        </w:rPr>
        <w:t>obračunske vrijednosti koeficijenta:</w:t>
      </w:r>
    </w:p>
    <w:p w14:paraId="75A214E6" w14:textId="3DFE6C07" w:rsidR="00FC3119" w:rsidRPr="00FC3119" w:rsidRDefault="00412753" w:rsidP="00FC3119">
      <w:pPr>
        <w:pBdr>
          <w:top w:val="single" w:sz="4" w:space="1" w:color="2E74B5"/>
          <w:left w:val="single" w:sz="4" w:space="4" w:color="2E74B5"/>
          <w:bottom w:val="single" w:sz="4" w:space="1" w:color="2E74B5"/>
          <w:right w:val="single" w:sz="4" w:space="4" w:color="2E74B5"/>
        </w:pBdr>
        <w:jc w:val="both"/>
        <w:rPr>
          <w:rFonts w:ascii="Cambria" w:eastAsia="Calibri" w:hAnsi="Cambria" w:cs="Times New Roman"/>
          <w:sz w:val="24"/>
          <w:szCs w:val="24"/>
          <w:lang w:val="sr-Latn-RS"/>
        </w:rPr>
      </w:pPr>
      <w:r>
        <w:rPr>
          <w:rFonts w:ascii="Cambria" w:eastAsia="Calibri" w:hAnsi="Cambria" w:cs="Times New Roman"/>
          <w:sz w:val="24"/>
          <w:szCs w:val="24"/>
          <w:lang w:val="sr-Latn-RS"/>
        </w:rPr>
        <w:t>za</w:t>
      </w:r>
      <w:r w:rsidR="00FC3119" w:rsidRPr="00FC3119">
        <w:rPr>
          <w:rFonts w:ascii="Cambria" w:eastAsia="Calibri" w:hAnsi="Cambria" w:cs="Times New Roman"/>
          <w:sz w:val="24"/>
          <w:szCs w:val="24"/>
          <w:lang w:val="sr-Latn-RS"/>
        </w:rPr>
        <w:t xml:space="preserve"> koeficijent</w:t>
      </w:r>
      <w:r>
        <w:rPr>
          <w:rFonts w:ascii="Cambria" w:eastAsia="Calibri" w:hAnsi="Cambria" w:cs="Times New Roman"/>
          <w:sz w:val="24"/>
          <w:szCs w:val="24"/>
          <w:lang w:val="sr-Latn-RS"/>
        </w:rPr>
        <w:t>e</w:t>
      </w:r>
      <w:r w:rsidR="00FC3119" w:rsidRPr="00FC3119">
        <w:rPr>
          <w:rFonts w:ascii="Cambria" w:eastAsia="Calibri" w:hAnsi="Cambria" w:cs="Times New Roman"/>
          <w:sz w:val="24"/>
          <w:szCs w:val="24"/>
          <w:lang w:val="sr-Latn-RS"/>
        </w:rPr>
        <w:t xml:space="preserve"> složenosti poslova  do 9,94</w:t>
      </w:r>
      <w:r w:rsidR="00FC3119" w:rsidRPr="00FC3119">
        <w:rPr>
          <w:rFonts w:ascii="Cambria" w:eastAsia="Calibri" w:hAnsi="Cambria" w:cs="Times New Roman"/>
          <w:sz w:val="24"/>
          <w:szCs w:val="24"/>
          <w:lang w:val="sr-Latn-RS"/>
        </w:rPr>
        <w:tab/>
      </w:r>
      <w:r w:rsidR="00FC3119" w:rsidRPr="00FC3119">
        <w:rPr>
          <w:rFonts w:ascii="Cambria" w:eastAsia="Calibri" w:hAnsi="Cambria" w:cs="Times New Roman"/>
          <w:sz w:val="24"/>
          <w:szCs w:val="24"/>
          <w:lang w:val="sr-Latn-RS"/>
        </w:rPr>
        <w:tab/>
      </w:r>
      <w:r w:rsidR="00FC3119" w:rsidRPr="00FC3119">
        <w:rPr>
          <w:rFonts w:ascii="Cambria" w:eastAsia="Calibri" w:hAnsi="Cambria" w:cs="Times New Roman"/>
          <w:sz w:val="24"/>
          <w:szCs w:val="24"/>
          <w:lang w:val="sr-Latn-RS"/>
        </w:rPr>
        <w:tab/>
        <w:t>90</w:t>
      </w:r>
      <w:r w:rsidR="00927A14">
        <w:rPr>
          <w:rFonts w:ascii="Cambria" w:eastAsia="Calibri" w:hAnsi="Cambria" w:cs="Times New Roman"/>
          <w:sz w:val="24"/>
          <w:szCs w:val="24"/>
          <w:lang w:val="sr-Latn-RS"/>
        </w:rPr>
        <w:t>€</w:t>
      </w:r>
    </w:p>
    <w:p w14:paraId="6608BE61" w14:textId="67BB8673" w:rsidR="00FC3119" w:rsidRPr="00FC3119" w:rsidRDefault="00254C87" w:rsidP="00FC3119">
      <w:pPr>
        <w:pBdr>
          <w:top w:val="single" w:sz="4" w:space="1" w:color="2E74B5"/>
          <w:left w:val="single" w:sz="4" w:space="4" w:color="2E74B5"/>
          <w:bottom w:val="single" w:sz="4" w:space="1" w:color="2E74B5"/>
          <w:right w:val="single" w:sz="4" w:space="4" w:color="2E74B5"/>
        </w:pBdr>
        <w:jc w:val="both"/>
        <w:rPr>
          <w:rFonts w:ascii="Cambria" w:eastAsia="Calibri" w:hAnsi="Cambria" w:cs="Times New Roman"/>
          <w:sz w:val="24"/>
          <w:szCs w:val="24"/>
          <w:lang w:val="sr-Latn-RS"/>
        </w:rPr>
      </w:pPr>
      <w:r>
        <w:rPr>
          <w:rFonts w:ascii="Cambria" w:eastAsia="Calibri" w:hAnsi="Cambria" w:cs="Times New Roman"/>
          <w:sz w:val="24"/>
          <w:szCs w:val="24"/>
          <w:lang w:val="sr-Latn-RS"/>
        </w:rPr>
        <w:t>za</w:t>
      </w:r>
      <w:r w:rsidR="00FC3119" w:rsidRPr="00FC3119">
        <w:rPr>
          <w:rFonts w:ascii="Cambria" w:eastAsia="Calibri" w:hAnsi="Cambria" w:cs="Times New Roman"/>
          <w:sz w:val="24"/>
          <w:szCs w:val="24"/>
          <w:lang w:val="sr-Latn-RS"/>
        </w:rPr>
        <w:t xml:space="preserve"> koeficijent</w:t>
      </w:r>
      <w:r>
        <w:rPr>
          <w:rFonts w:ascii="Cambria" w:eastAsia="Calibri" w:hAnsi="Cambria" w:cs="Times New Roman"/>
          <w:sz w:val="24"/>
          <w:szCs w:val="24"/>
          <w:lang w:val="sr-Latn-RS"/>
        </w:rPr>
        <w:t>e</w:t>
      </w:r>
      <w:r w:rsidR="00FC3119" w:rsidRPr="00FC3119">
        <w:rPr>
          <w:rFonts w:ascii="Cambria" w:eastAsia="Calibri" w:hAnsi="Cambria" w:cs="Times New Roman"/>
          <w:sz w:val="24"/>
          <w:szCs w:val="24"/>
          <w:lang w:val="sr-Latn-RS"/>
        </w:rPr>
        <w:t xml:space="preserve"> složenosti poslova </w:t>
      </w:r>
      <w:r>
        <w:rPr>
          <w:rFonts w:ascii="Cambria" w:eastAsia="Calibri" w:hAnsi="Cambria" w:cs="Times New Roman"/>
          <w:sz w:val="24"/>
          <w:szCs w:val="24"/>
          <w:lang w:val="sr-Latn-RS"/>
        </w:rPr>
        <w:t xml:space="preserve">od </w:t>
      </w:r>
      <w:r w:rsidR="00412753">
        <w:rPr>
          <w:rFonts w:ascii="Cambria" w:eastAsia="Calibri" w:hAnsi="Cambria" w:cs="Times New Roman"/>
          <w:sz w:val="24"/>
          <w:szCs w:val="24"/>
          <w:lang w:val="sr-Latn-RS"/>
        </w:rPr>
        <w:t>9,95 do 10,89</w:t>
      </w:r>
      <w:r w:rsidR="00412753">
        <w:rPr>
          <w:rFonts w:ascii="Cambria" w:eastAsia="Calibri" w:hAnsi="Cambria" w:cs="Times New Roman"/>
          <w:sz w:val="24"/>
          <w:szCs w:val="24"/>
          <w:lang w:val="sr-Latn-RS"/>
        </w:rPr>
        <w:tab/>
      </w:r>
      <w:r w:rsidR="00412753">
        <w:rPr>
          <w:rFonts w:ascii="Cambria" w:eastAsia="Calibri" w:hAnsi="Cambria" w:cs="Times New Roman"/>
          <w:sz w:val="24"/>
          <w:szCs w:val="24"/>
          <w:lang w:val="sr-Latn-RS"/>
        </w:rPr>
        <w:tab/>
      </w:r>
      <w:r w:rsidR="00FC3119" w:rsidRPr="00FC3119">
        <w:rPr>
          <w:rFonts w:ascii="Cambria" w:eastAsia="Calibri" w:hAnsi="Cambria" w:cs="Times New Roman"/>
          <w:sz w:val="24"/>
          <w:szCs w:val="24"/>
          <w:lang w:val="sr-Latn-RS"/>
        </w:rPr>
        <w:t>85</w:t>
      </w:r>
      <w:r w:rsidR="00927A14">
        <w:rPr>
          <w:rFonts w:ascii="Cambria" w:eastAsia="Calibri" w:hAnsi="Cambria" w:cs="Times New Roman"/>
          <w:sz w:val="24"/>
          <w:szCs w:val="24"/>
          <w:lang w:val="sr-Latn-RS"/>
        </w:rPr>
        <w:t>€</w:t>
      </w:r>
    </w:p>
    <w:p w14:paraId="6B392F92" w14:textId="4FE2994E" w:rsidR="009B70AC" w:rsidRPr="00C81CEA" w:rsidRDefault="00412753" w:rsidP="00C81CEA">
      <w:pPr>
        <w:pBdr>
          <w:top w:val="single" w:sz="4" w:space="1" w:color="2E74B5"/>
          <w:left w:val="single" w:sz="4" w:space="4" w:color="2E74B5"/>
          <w:bottom w:val="single" w:sz="4" w:space="1" w:color="2E74B5"/>
          <w:right w:val="single" w:sz="4" w:space="4" w:color="2E74B5"/>
        </w:pBdr>
        <w:jc w:val="both"/>
        <w:rPr>
          <w:rFonts w:ascii="Cambria" w:eastAsia="Calibri" w:hAnsi="Cambria" w:cs="Times New Roman"/>
          <w:sz w:val="24"/>
          <w:szCs w:val="24"/>
          <w:lang w:val="sr-Latn-RS"/>
        </w:rPr>
      </w:pPr>
      <w:r>
        <w:rPr>
          <w:rFonts w:ascii="Cambria" w:eastAsia="Calibri" w:hAnsi="Cambria" w:cs="Times New Roman"/>
          <w:sz w:val="24"/>
          <w:szCs w:val="24"/>
          <w:lang w:val="sr-Latn-RS"/>
        </w:rPr>
        <w:t>za</w:t>
      </w:r>
      <w:r w:rsidR="00FC3119" w:rsidRPr="00FC3119">
        <w:rPr>
          <w:rFonts w:ascii="Cambria" w:eastAsia="Calibri" w:hAnsi="Cambria" w:cs="Times New Roman"/>
          <w:sz w:val="24"/>
          <w:szCs w:val="24"/>
          <w:lang w:val="sr-Latn-RS"/>
        </w:rPr>
        <w:t xml:space="preserve"> koeficijent</w:t>
      </w:r>
      <w:r>
        <w:rPr>
          <w:rFonts w:ascii="Cambria" w:eastAsia="Calibri" w:hAnsi="Cambria" w:cs="Times New Roman"/>
          <w:sz w:val="24"/>
          <w:szCs w:val="24"/>
          <w:lang w:val="sr-Latn-RS"/>
        </w:rPr>
        <w:t>e</w:t>
      </w:r>
      <w:r w:rsidR="00FC3119" w:rsidRPr="00FC3119">
        <w:rPr>
          <w:rFonts w:ascii="Cambria" w:eastAsia="Calibri" w:hAnsi="Cambria" w:cs="Times New Roman"/>
          <w:sz w:val="24"/>
          <w:szCs w:val="24"/>
          <w:lang w:val="sr-Latn-RS"/>
        </w:rPr>
        <w:t xml:space="preserve"> složenosti poslova </w:t>
      </w:r>
      <w:r>
        <w:rPr>
          <w:rFonts w:ascii="Cambria" w:eastAsia="Calibri" w:hAnsi="Cambria" w:cs="Times New Roman"/>
          <w:sz w:val="24"/>
          <w:szCs w:val="24"/>
          <w:lang w:val="sr-Latn-RS"/>
        </w:rPr>
        <w:t xml:space="preserve">od </w:t>
      </w:r>
      <w:r w:rsidR="00FC3119" w:rsidRPr="00FC3119">
        <w:rPr>
          <w:rFonts w:ascii="Cambria" w:eastAsia="Calibri" w:hAnsi="Cambria" w:cs="Times New Roman"/>
          <w:sz w:val="24"/>
          <w:szCs w:val="24"/>
          <w:lang w:val="sr-Latn-RS"/>
        </w:rPr>
        <w:t>10,90</w:t>
      </w:r>
      <w:r>
        <w:rPr>
          <w:rFonts w:ascii="Cambria" w:eastAsia="Calibri" w:hAnsi="Cambria" w:cs="Times New Roman"/>
          <w:sz w:val="24"/>
          <w:szCs w:val="24"/>
          <w:lang w:val="sr-Latn-RS"/>
        </w:rPr>
        <w:tab/>
      </w:r>
      <w:r w:rsidR="00FC3119" w:rsidRPr="00FC3119">
        <w:rPr>
          <w:rFonts w:ascii="Cambria" w:eastAsia="Calibri" w:hAnsi="Cambria" w:cs="Times New Roman"/>
          <w:sz w:val="24"/>
          <w:szCs w:val="24"/>
          <w:lang w:val="sr-Latn-RS"/>
        </w:rPr>
        <w:tab/>
      </w:r>
      <w:r w:rsidR="00FC3119" w:rsidRPr="00FC3119">
        <w:rPr>
          <w:rFonts w:ascii="Cambria" w:eastAsia="Calibri" w:hAnsi="Cambria" w:cs="Times New Roman"/>
          <w:sz w:val="24"/>
          <w:szCs w:val="24"/>
          <w:lang w:val="sr-Latn-RS"/>
        </w:rPr>
        <w:tab/>
        <w:t>83</w:t>
      </w:r>
      <w:r w:rsidR="00927A14">
        <w:rPr>
          <w:rFonts w:ascii="Cambria" w:eastAsia="Calibri" w:hAnsi="Cambria" w:cs="Times New Roman"/>
          <w:sz w:val="24"/>
          <w:szCs w:val="24"/>
          <w:lang w:val="sr-Latn-RS"/>
        </w:rPr>
        <w:t>€</w:t>
      </w:r>
    </w:p>
    <w:p w14:paraId="4B4852E0" w14:textId="4A84FF0B" w:rsidR="00B21B0A" w:rsidRPr="004E5CDC" w:rsidRDefault="00B21B0A" w:rsidP="001F24EA">
      <w:pPr>
        <w:pStyle w:val="Heading1"/>
        <w:jc w:val="both"/>
        <w:rPr>
          <w:rFonts w:ascii="Cambria" w:hAnsi="Cambria"/>
          <w:b/>
          <w:lang w:val="sr-Latn-RS"/>
        </w:rPr>
      </w:pPr>
      <w:bookmarkStart w:id="8" w:name="_Toc86755073"/>
      <w:r w:rsidRPr="004E5CDC">
        <w:rPr>
          <w:rFonts w:ascii="Cambria" w:hAnsi="Cambria"/>
          <w:b/>
          <w:lang w:val="sr-Latn-RS"/>
        </w:rPr>
        <w:lastRenderedPageBreak/>
        <w:t>OSTALE MJERE PORESKE POLITIKE SA PROCIJENJENIM EFEKTIMA</w:t>
      </w:r>
      <w:r w:rsidR="007448B2" w:rsidRPr="004E5CDC">
        <w:rPr>
          <w:rFonts w:ascii="Cambria" w:hAnsi="Cambria"/>
          <w:b/>
          <w:lang w:val="sr-Latn-RS"/>
        </w:rPr>
        <w:t xml:space="preserve"> </w:t>
      </w:r>
      <w:r w:rsidR="00837124" w:rsidRPr="004E5CDC">
        <w:rPr>
          <w:rFonts w:ascii="Cambria" w:hAnsi="Cambria"/>
          <w:b/>
          <w:lang w:val="sr-Latn-RS"/>
        </w:rPr>
        <w:t>(predložene izmjene zakonske regulative)</w:t>
      </w:r>
      <w:bookmarkEnd w:id="8"/>
    </w:p>
    <w:p w14:paraId="30A0348A" w14:textId="77777777" w:rsidR="0070296A" w:rsidRPr="004E5CDC" w:rsidRDefault="0070296A" w:rsidP="0070296A">
      <w:pPr>
        <w:rPr>
          <w:rFonts w:ascii="Cambria" w:eastAsiaTheme="majorEastAsia" w:hAnsi="Cambria" w:cstheme="majorBidi"/>
          <w:color w:val="1481AB" w:themeColor="accent1" w:themeShade="BF"/>
          <w:sz w:val="32"/>
          <w:szCs w:val="32"/>
          <w:lang w:val="sr-Latn-RS"/>
        </w:rPr>
      </w:pPr>
    </w:p>
    <w:p w14:paraId="0D0C71D2" w14:textId="2B4309B1" w:rsidR="0070296A" w:rsidRPr="004E5CDC" w:rsidRDefault="0070296A" w:rsidP="0070296A">
      <w:pPr>
        <w:jc w:val="both"/>
        <w:rPr>
          <w:rFonts w:ascii="Cambria" w:hAnsi="Cambria"/>
          <w:b/>
          <w:caps/>
          <w:color w:val="1481AB" w:themeColor="accent1" w:themeShade="BF"/>
          <w:sz w:val="26"/>
          <w:szCs w:val="26"/>
          <w:lang w:val="sr-Latn-RS"/>
        </w:rPr>
      </w:pPr>
      <w:r w:rsidRPr="004E5CDC">
        <w:rPr>
          <w:rFonts w:ascii="Cambria" w:eastAsia="Calibri" w:hAnsi="Cambria" w:cs="Times New Roman"/>
          <w:sz w:val="24"/>
          <w:szCs w:val="24"/>
          <w:lang w:val="sr-Latn-RS"/>
        </w:rPr>
        <w:t xml:space="preserve">U cilju stvaranja uslova za kompenzovanje najvećeg dijela izgubljenih prihoda po osnovu implementacije reforme usmjerene na povećanje minimalne zarade i smanjenje poreskog opterećenja rada, uporedo se predlažu sljedeće izmjene </w:t>
      </w:r>
      <w:r w:rsidR="00147BF5" w:rsidRPr="004E5CDC">
        <w:rPr>
          <w:rFonts w:ascii="Cambria" w:eastAsia="Calibri" w:hAnsi="Cambria" w:cs="Times New Roman"/>
          <w:sz w:val="24"/>
          <w:szCs w:val="24"/>
          <w:lang w:val="sr-Latn-RS"/>
        </w:rPr>
        <w:t>zakonske regulative</w:t>
      </w:r>
      <w:r w:rsidRPr="004E5CDC">
        <w:rPr>
          <w:rFonts w:ascii="Cambria" w:eastAsia="Calibri" w:hAnsi="Cambria" w:cs="Times New Roman"/>
          <w:sz w:val="24"/>
          <w:szCs w:val="24"/>
          <w:lang w:val="sr-Latn-RS"/>
        </w:rPr>
        <w:t>:</w:t>
      </w:r>
    </w:p>
    <w:p w14:paraId="3177370B" w14:textId="6B5C5C3E" w:rsidR="009C669F" w:rsidRPr="004E5CDC" w:rsidRDefault="00F467D7" w:rsidP="009C669F">
      <w:pPr>
        <w:jc w:val="both"/>
        <w:rPr>
          <w:rFonts w:ascii="Cambria" w:hAnsi="Cambria"/>
          <w:b/>
          <w:caps/>
          <w:color w:val="1481AB" w:themeColor="accent1" w:themeShade="BF"/>
          <w:sz w:val="24"/>
          <w:szCs w:val="26"/>
          <w:lang w:val="sr-Latn-RS"/>
        </w:rPr>
      </w:pPr>
      <w:r>
        <w:rPr>
          <w:rFonts w:ascii="Cambria" w:hAnsi="Cambria"/>
          <w:b/>
          <w:caps/>
          <w:color w:val="1481AB" w:themeColor="accent1" w:themeShade="BF"/>
          <w:sz w:val="26"/>
          <w:szCs w:val="26"/>
          <w:lang w:val="sr-Latn-RS"/>
        </w:rPr>
        <w:t xml:space="preserve">1. </w:t>
      </w:r>
      <w:r w:rsidR="006F1E4E" w:rsidRPr="004E5CDC">
        <w:rPr>
          <w:rFonts w:ascii="Cambria" w:hAnsi="Cambria"/>
          <w:b/>
          <w:caps/>
          <w:color w:val="1481AB" w:themeColor="accent1" w:themeShade="BF"/>
          <w:sz w:val="26"/>
          <w:szCs w:val="26"/>
          <w:lang w:val="sr-Latn-RS"/>
        </w:rPr>
        <w:t>Iz</w:t>
      </w:r>
      <w:r w:rsidR="009C669F" w:rsidRPr="004E5CDC">
        <w:rPr>
          <w:rFonts w:ascii="Cambria" w:hAnsi="Cambria"/>
          <w:b/>
          <w:caps/>
          <w:color w:val="1481AB" w:themeColor="accent1" w:themeShade="BF"/>
          <w:sz w:val="26"/>
          <w:szCs w:val="26"/>
          <w:lang w:val="sr-Latn-RS"/>
        </w:rPr>
        <w:t xml:space="preserve">mjene i dopune zakona o akcizamA </w:t>
      </w:r>
      <w:r w:rsidR="009C669F" w:rsidRPr="004E5CDC">
        <w:rPr>
          <w:rFonts w:ascii="Cambria" w:hAnsi="Cambria"/>
          <w:b/>
          <w:color w:val="1481AB" w:themeColor="accent1" w:themeShade="BF"/>
          <w:sz w:val="26"/>
          <w:szCs w:val="26"/>
          <w:lang w:val="sr-Latn-RS"/>
        </w:rPr>
        <w:t xml:space="preserve">– procijenjeni </w:t>
      </w:r>
      <w:r w:rsidR="00147BF5" w:rsidRPr="004E5CDC">
        <w:rPr>
          <w:rFonts w:ascii="Cambria" w:hAnsi="Cambria"/>
          <w:b/>
          <w:color w:val="1481AB" w:themeColor="accent1" w:themeShade="BF"/>
          <w:sz w:val="26"/>
          <w:szCs w:val="26"/>
          <w:lang w:val="sr-Latn-RS"/>
        </w:rPr>
        <w:t>godišnji fiskal</w:t>
      </w:r>
      <w:r w:rsidR="009C669F" w:rsidRPr="004E5CDC">
        <w:rPr>
          <w:rFonts w:ascii="Cambria" w:hAnsi="Cambria"/>
          <w:b/>
          <w:color w:val="1481AB" w:themeColor="accent1" w:themeShade="BF"/>
          <w:sz w:val="26"/>
          <w:szCs w:val="26"/>
          <w:lang w:val="sr-Latn-RS"/>
        </w:rPr>
        <w:t xml:space="preserve">ni efekat </w:t>
      </w:r>
      <w:r w:rsidR="00147BF5" w:rsidRPr="004E5CDC">
        <w:rPr>
          <w:rFonts w:ascii="Cambria" w:hAnsi="Cambria"/>
          <w:b/>
          <w:color w:val="1481AB" w:themeColor="accent1" w:themeShade="BF"/>
          <w:sz w:val="26"/>
          <w:szCs w:val="26"/>
          <w:lang w:val="sr-Latn-RS"/>
        </w:rPr>
        <w:t>2</w:t>
      </w:r>
      <w:r w:rsidR="000A7045">
        <w:rPr>
          <w:rFonts w:ascii="Cambria" w:hAnsi="Cambria"/>
          <w:b/>
          <w:color w:val="1481AB" w:themeColor="accent1" w:themeShade="BF"/>
          <w:sz w:val="26"/>
          <w:szCs w:val="26"/>
          <w:lang w:val="sr-Latn-RS"/>
        </w:rPr>
        <w:t>3</w:t>
      </w:r>
      <w:r w:rsidR="00147BF5" w:rsidRPr="004E5CDC">
        <w:rPr>
          <w:rFonts w:ascii="Cambria" w:hAnsi="Cambria"/>
          <w:b/>
          <w:color w:val="1481AB" w:themeColor="accent1" w:themeShade="BF"/>
          <w:sz w:val="26"/>
          <w:szCs w:val="26"/>
          <w:lang w:val="sr-Latn-RS"/>
        </w:rPr>
        <w:t xml:space="preserve"> mil. €</w:t>
      </w:r>
    </w:p>
    <w:p w14:paraId="45876BD9" w14:textId="76990BAF" w:rsidR="006F1E4E" w:rsidRPr="004E5CDC" w:rsidRDefault="006F1E4E" w:rsidP="006F1E4E">
      <w:pPr>
        <w:jc w:val="both"/>
        <w:rPr>
          <w:rFonts w:ascii="Cambria" w:eastAsia="Calibri" w:hAnsi="Cambria" w:cs="Times New Roman"/>
          <w:sz w:val="24"/>
          <w:szCs w:val="24"/>
          <w:lang w:val="sr-Latn-RS"/>
        </w:rPr>
      </w:pPr>
      <w:r w:rsidRPr="004E5CDC">
        <w:rPr>
          <w:rFonts w:ascii="Cambria" w:eastAsia="Calibri" w:hAnsi="Cambria" w:cs="Times New Roman"/>
          <w:b/>
          <w:sz w:val="24"/>
          <w:szCs w:val="24"/>
          <w:u w:val="single"/>
          <w:lang w:val="sr-Latn-RS"/>
        </w:rPr>
        <w:t>1) Povećanje akcize na duvan i duvanske proizvode</w:t>
      </w:r>
      <w:r w:rsidRPr="004E5CDC">
        <w:rPr>
          <w:rFonts w:ascii="Cambria" w:eastAsia="Calibri" w:hAnsi="Cambria" w:cs="Times New Roman"/>
          <w:sz w:val="24"/>
          <w:szCs w:val="24"/>
          <w:lang w:val="sr-Latn-RS"/>
        </w:rPr>
        <w:t xml:space="preserve">: </w:t>
      </w:r>
    </w:p>
    <w:p w14:paraId="77414F47" w14:textId="6862213F" w:rsidR="006F1E4E" w:rsidRPr="004E5CDC" w:rsidRDefault="00B14584" w:rsidP="006F1E4E">
      <w:pPr>
        <w:spacing w:line="240" w:lineRule="auto"/>
        <w:jc w:val="both"/>
        <w:rPr>
          <w:rFonts w:ascii="Cambria" w:eastAsia="Calibri" w:hAnsi="Cambria" w:cs="Times New Roman"/>
          <w:sz w:val="24"/>
          <w:szCs w:val="24"/>
          <w:lang w:val="sr-Latn-RS"/>
        </w:rPr>
      </w:pPr>
      <w:r w:rsidRPr="007611F4">
        <w:rPr>
          <w:rFonts w:ascii="Cambria" w:eastAsia="Calibri" w:hAnsi="Cambria" w:cs="Times New Roman"/>
          <w:noProof/>
          <w:sz w:val="24"/>
          <w:szCs w:val="24"/>
          <w:lang w:val="en-US"/>
        </w:rPr>
        <mc:AlternateContent>
          <mc:Choice Requires="wpg">
            <w:drawing>
              <wp:anchor distT="0" distB="0" distL="114300" distR="114300" simplePos="0" relativeHeight="251667456" behindDoc="0" locked="0" layoutInCell="1" allowOverlap="1" wp14:anchorId="09483FA2" wp14:editId="0132E59D">
                <wp:simplePos x="0" y="0"/>
                <wp:positionH relativeFrom="margin">
                  <wp:posOffset>3510915</wp:posOffset>
                </wp:positionH>
                <wp:positionV relativeFrom="margin">
                  <wp:posOffset>2376805</wp:posOffset>
                </wp:positionV>
                <wp:extent cx="2225040" cy="4133850"/>
                <wp:effectExtent l="0" t="0" r="22860" b="19050"/>
                <wp:wrapSquare wrapText="bothSides"/>
                <wp:docPr id="211" name="Group 211"/>
                <wp:cNvGraphicFramePr/>
                <a:graphic xmlns:a="http://schemas.openxmlformats.org/drawingml/2006/main">
                  <a:graphicData uri="http://schemas.microsoft.com/office/word/2010/wordprocessingGroup">
                    <wpg:wgp>
                      <wpg:cNvGrpSpPr/>
                      <wpg:grpSpPr>
                        <a:xfrm>
                          <a:off x="0" y="0"/>
                          <a:ext cx="2225040" cy="4133850"/>
                          <a:chOff x="0" y="-3"/>
                          <a:chExt cx="2475865" cy="9711072"/>
                        </a:xfrm>
                      </wpg:grpSpPr>
                      <wps:wsp>
                        <wps:cNvPr id="212" name="AutoShape 14"/>
                        <wps:cNvSpPr>
                          <a:spLocks noChangeArrowheads="1"/>
                        </wps:cNvSpPr>
                        <wps:spPr bwMode="auto">
                          <a:xfrm>
                            <a:off x="0" y="-3"/>
                            <a:ext cx="2475865" cy="9711072"/>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9775599" w14:textId="77777777" w:rsidR="002A1FAB" w:rsidRPr="00F60D7D" w:rsidRDefault="002A1FAB" w:rsidP="002721A8">
                              <w:pPr>
                                <w:jc w:val="both"/>
                                <w:rPr>
                                  <w:rFonts w:asciiTheme="majorHAnsi" w:eastAsiaTheme="majorEastAsia" w:hAnsiTheme="majorHAnsi" w:cstheme="majorBidi"/>
                                  <w:color w:val="1C6194" w:themeColor="accent2" w:themeShade="BF"/>
                                  <w:sz w:val="24"/>
                                  <w:szCs w:val="24"/>
                                </w:rPr>
                              </w:pPr>
                              <w:r w:rsidRPr="00F60D7D">
                                <w:rPr>
                                  <w:rFonts w:asciiTheme="majorHAnsi" w:eastAsiaTheme="majorEastAsia" w:hAnsiTheme="majorHAnsi" w:cstheme="majorBidi"/>
                                  <w:color w:val="1C6194" w:themeColor="accent2" w:themeShade="BF"/>
                                  <w:sz w:val="24"/>
                                  <w:szCs w:val="24"/>
                                </w:rPr>
                                <w:t>Crna Gora ima najveću prevalencu pušenja u regionu od 36,5% (SZO, 2017). Na osnovu istraživanja Svjetske zdravstvene organizacije, prevalenca pušenja bi kod odraslih mogla porasti na nivo od 52% do 2035. godine, ukoliko ne dođe do promjena u regulativi.</w:t>
                              </w:r>
                              <w:r>
                                <w:rPr>
                                  <w:rFonts w:asciiTheme="majorHAnsi" w:eastAsiaTheme="majorEastAsia" w:hAnsiTheme="majorHAnsi" w:cstheme="majorBidi"/>
                                  <w:color w:val="1C6194" w:themeColor="accent2" w:themeShade="BF"/>
                                  <w:sz w:val="24"/>
                                  <w:szCs w:val="24"/>
                                </w:rPr>
                                <w:t xml:space="preserve"> Relevantna </w:t>
                              </w:r>
                              <w:r w:rsidRPr="00F60D7D">
                                <w:rPr>
                                  <w:rFonts w:asciiTheme="majorHAnsi" w:eastAsiaTheme="majorEastAsia" w:hAnsiTheme="majorHAnsi" w:cstheme="majorBidi"/>
                                  <w:color w:val="1C6194" w:themeColor="accent2" w:themeShade="BF"/>
                                  <w:sz w:val="24"/>
                                  <w:szCs w:val="24"/>
                                </w:rPr>
                                <w:t>istraživanja na međunarodnom nivou dokazuju da je poreska politika jedan od najefektivnijih alata u procesu smanjenja prevalence posebno među mlađom populacijom i domaćinstvima sa nižim dohotkom.</w:t>
                              </w:r>
                              <w:r>
                                <w:rPr>
                                  <w:rFonts w:asciiTheme="majorHAnsi" w:eastAsiaTheme="majorEastAsia" w:hAnsiTheme="majorHAnsi" w:cstheme="majorBidi"/>
                                  <w:color w:val="1C6194" w:themeColor="accent2" w:themeShade="BF"/>
                                  <w:sz w:val="24"/>
                                  <w:szCs w:val="24"/>
                                </w:rPr>
                                <w:t xml:space="preserve"> (Institut za socio-ekonomske analize – ISEA).</w:t>
                              </w:r>
                            </w:p>
                            <w:p w14:paraId="021BA414" w14:textId="77777777" w:rsidR="002A1FAB" w:rsidRPr="00F60D7D" w:rsidRDefault="002A1FAB" w:rsidP="002721A8">
                              <w:pPr>
                                <w:jc w:val="both"/>
                                <w:rPr>
                                  <w:color w:val="1C6194" w:themeColor="accent2" w:themeShade="BF"/>
                                  <w:sz w:val="24"/>
                                  <w:szCs w:val="24"/>
                                </w:rPr>
                              </w:pPr>
                              <w:r w:rsidRPr="00F60D7D">
                                <w:rPr>
                                  <w:rFonts w:asciiTheme="majorHAnsi" w:eastAsiaTheme="majorEastAsia" w:hAnsiTheme="majorHAnsi" w:cstheme="majorBidi"/>
                                  <w:color w:val="1C6194" w:themeColor="accent2" w:themeShade="BF"/>
                                  <w:sz w:val="24"/>
                                  <w:szCs w:val="24"/>
                                </w:rPr>
                                <w:t>Povećanje akciza na cigarete utiče na smanjenje njihove potrošnje, dok istovremeno doprinosi povećanju budžetskih prihoda.</w:t>
                              </w:r>
                            </w:p>
                          </w:txbxContent>
                        </wps:txbx>
                        <wps:bodyPr rot="0" vert="horz" wrap="square" lIns="182880" tIns="457200" rIns="182880" bIns="73152" anchor="t" anchorCtr="0" upright="1">
                          <a:noAutofit/>
                        </wps:bodyPr>
                      </wps:wsp>
                      <wps:wsp>
                        <wps:cNvPr id="213" name="Rectangle 213"/>
                        <wps:cNvSpPr/>
                        <wps:spPr>
                          <a:xfrm>
                            <a:off x="71919" y="-1"/>
                            <a:ext cx="2331720" cy="70421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38804" w14:textId="77777777" w:rsidR="002A1FAB" w:rsidRDefault="002A1FA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483FA2" id="Group 211" o:spid="_x0000_s1027" style="position:absolute;left:0;text-align:left;margin-left:276.45pt;margin-top:187.15pt;width:175.2pt;height:325.5pt;z-index:251667456;mso-position-horizontal-relative:margin;mso-position-vertical-relative:margin" coordorigin="" coordsize="24758,9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LH7gMAAHUKAAAOAAAAZHJzL2Uyb0RvYy54bWy8Vttu4zYQfS/QfyD0nliSrcgx4iyMbBMU&#10;SHeDzRb7TFPUpaVIlqQjZ7++w6GoOBckeynqB5mXmeHMmTlDnr3b94LccWM7JddJdpwmhEumqk42&#10;6+TPz5dHy4RYR2VFhZJ8ndxzm7w7//WXs0GveK5aJSpuCBiRdjXoddI6p1ezmWUt76k9VppL2KyV&#10;6amDqWlmlaEDWO/FLE/Tk9mgTKWNYtxaWH0fNpNztF/XnLmPdW25I2KdgG8Ovwa/W/+dnZ/RVWOo&#10;bjs2ukF/wIuedhIOnUy9p46Snememeo7ZpRVtTtmqp+puu4Yxxggmix9Es2VUTuNsTSrodETTADt&#10;E5x+2Cz7cHdjSFetkzzLEiJpD0nCc4lfAHgG3axA6sroW31jxoUmzHzE+9r0/h9iIXsE9n4Clu8d&#10;YbCY53mRLgB/BnuLbD5fFiP0rIX8POgdzUNGWPtbVF2UxfKkCKqnZZalZe5lZvHkmXdw8mfQUEf2&#10;ASr7c1DdtlRzzID1IExQ5RGqzc4pFCLZIqCFgh4qD4rV14r9bYlUFy2VDd8Yo4aW0wr8QnTB+wMF&#10;P7GgSrbDH6qCTFAwj3X1IsoRrQnmt7CiK22su+KqJ36wTgwQBO3Tu2vrAqxRBP1XoqsuOyFw4knJ&#10;L4QhdxTotG1CBBDloZSQZIDgimVZoOVHm8jrQxM5yohdD/EGs0UKvzHDkzjm+8ASZF9IWIyA+TIF&#10;6Ny94N5TIT/xGqoa6zG4bpqt9zxQHwgExRgbABoDBS9YQ6yTbpamwb/Jj+CicLEER3GvybHbTLpp&#10;CJ69fu6khGcr6Sb9nv6lDMJwEJkfuv12j4Qd2WlXW1XdQ80YFbobdGMYtMp8TcgAnW2d2H921PCE&#10;iN+lr7tlvlz6XoizRVFCH02IebS3xVk5zwqodCoZWFsnLg4vXIBxp03XtHBYhsFK5dlQd1hH3tXg&#10;2JgmYGXI0v9Az3mk5yeob+Cd4NDNsLV4t4DIUysLfPPoP2FYmZ1mpwmBfnWEQEOCY0eazzPALHSk&#10;Ml3kgflTQ/pPSeb2sdQOqj8UP11J5akZWPuNdHixniljXLqQRNvSir/FROTXc7qMJf+oS0Tbwcu3&#10;+fKK8itk6SSQxTv0jKmxR9WBXLFnhE7xiE8I9EPZTnyyml120C2vqXU31MDzAHLvSfYRPrVQ0O3U&#10;OEqIp91L699HykjRl0g5PynKE/BA7voLBW0Ybm3wEIeexk7EYW1U/wVeRxvfDmAr0ngbh5HG8Lpi&#10;fLNBIXiVaOqu5a1mkdb+Pvi8/0KNHi8NB0z4EG49xPzJ3RFkfTK+oSHg7Q1vG2zw4zvMP54O55iz&#10;h9fi+b8AAAD//wMAUEsDBBQABgAIAAAAIQD6b3Vt4gAAAAwBAAAPAAAAZHJzL2Rvd25yZXYueG1s&#10;TI/BTsMwDIbvSLxDZCRuLGlDgZWm0zQBpwmJDQlxyxqvrdYkVZO13dtjTnCz5U+/v79YzbZjIw6h&#10;9U5BshDA0FXetK5W8Ll/vXsCFqJ2RnfeoYILBliV11eFzo2f3AeOu1gzCnEh1wqaGPuc81A1aHVY&#10;+B4d3Y5+sDrSOtTcDHqicNvxVIgHbnXr6EOje9w0WJ12Z6vgbdLTWiYv4/Z03Fy+99n71zZBpW5v&#10;5vUzsIhz/IPhV5/UoSSngz87E1inIMvSJaEK5OO9BEbEUkgaDoSKNJPAy4L/L1H+AAAA//8DAFBL&#10;AQItABQABgAIAAAAIQC2gziS/gAAAOEBAAATAAAAAAAAAAAAAAAAAAAAAABbQ29udGVudF9UeXBl&#10;c10ueG1sUEsBAi0AFAAGAAgAAAAhADj9If/WAAAAlAEAAAsAAAAAAAAAAAAAAAAALwEAAF9yZWxz&#10;Ly5yZWxzUEsBAi0AFAAGAAgAAAAhABfsEsfuAwAAdQoAAA4AAAAAAAAAAAAAAAAALgIAAGRycy9l&#10;Mm9Eb2MueG1sUEsBAi0AFAAGAAgAAAAhAPpvdW3iAAAADAEAAA8AAAAAAAAAAAAAAAAASAYAAGRy&#10;cy9kb3ducmV2LnhtbFBLBQYAAAAABAAEAPMAAABXBwAAAAA=&#10;">
                <v:rect id="AutoShape 14" o:spid="_x0000_s1028" style="position:absolute;width:24758;height:97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65747c [1614]" strokeweight="1.25pt">
                  <v:textbox inset="14.4pt,36pt,14.4pt,5.76pt">
                    <w:txbxContent>
                      <w:p w14:paraId="49775599" w14:textId="77777777" w:rsidR="002A1FAB" w:rsidRPr="00F60D7D" w:rsidRDefault="002A1FAB" w:rsidP="002721A8">
                        <w:pPr>
                          <w:jc w:val="both"/>
                          <w:rPr>
                            <w:rFonts w:asciiTheme="majorHAnsi" w:eastAsiaTheme="majorEastAsia" w:hAnsiTheme="majorHAnsi" w:cstheme="majorBidi"/>
                            <w:color w:val="1C6194" w:themeColor="accent2" w:themeShade="BF"/>
                            <w:sz w:val="24"/>
                            <w:szCs w:val="24"/>
                          </w:rPr>
                        </w:pPr>
                        <w:r w:rsidRPr="00F60D7D">
                          <w:rPr>
                            <w:rFonts w:asciiTheme="majorHAnsi" w:eastAsiaTheme="majorEastAsia" w:hAnsiTheme="majorHAnsi" w:cstheme="majorBidi"/>
                            <w:color w:val="1C6194" w:themeColor="accent2" w:themeShade="BF"/>
                            <w:sz w:val="24"/>
                            <w:szCs w:val="24"/>
                          </w:rPr>
                          <w:t>Crna Gora ima najveću prevalencu pušenja u regionu od 36,5% (SZO, 2017). Na osnovu istraživanja Svjetske zdravstvene organizacije, prevalenca pušenja bi kod odraslih mogla porasti na nivo od 52% do 2035. godine, ukoliko ne dođe do promjena u regulativi.</w:t>
                        </w:r>
                        <w:r>
                          <w:rPr>
                            <w:rFonts w:asciiTheme="majorHAnsi" w:eastAsiaTheme="majorEastAsia" w:hAnsiTheme="majorHAnsi" w:cstheme="majorBidi"/>
                            <w:color w:val="1C6194" w:themeColor="accent2" w:themeShade="BF"/>
                            <w:sz w:val="24"/>
                            <w:szCs w:val="24"/>
                          </w:rPr>
                          <w:t xml:space="preserve"> Relevantna </w:t>
                        </w:r>
                        <w:r w:rsidRPr="00F60D7D">
                          <w:rPr>
                            <w:rFonts w:asciiTheme="majorHAnsi" w:eastAsiaTheme="majorEastAsia" w:hAnsiTheme="majorHAnsi" w:cstheme="majorBidi"/>
                            <w:color w:val="1C6194" w:themeColor="accent2" w:themeShade="BF"/>
                            <w:sz w:val="24"/>
                            <w:szCs w:val="24"/>
                          </w:rPr>
                          <w:t>istraživanja na međunarodnom nivou dokazuju da je poreska politika jedan od najefektivnijih alata u procesu smanjenja prevalence posebno među mlađom populacijom i domaćinstvima sa nižim dohotkom.</w:t>
                        </w:r>
                        <w:r>
                          <w:rPr>
                            <w:rFonts w:asciiTheme="majorHAnsi" w:eastAsiaTheme="majorEastAsia" w:hAnsiTheme="majorHAnsi" w:cstheme="majorBidi"/>
                            <w:color w:val="1C6194" w:themeColor="accent2" w:themeShade="BF"/>
                            <w:sz w:val="24"/>
                            <w:szCs w:val="24"/>
                          </w:rPr>
                          <w:t xml:space="preserve"> (Institut za socio-ekonomske analize – ISEA).</w:t>
                        </w:r>
                      </w:p>
                      <w:p w14:paraId="021BA414" w14:textId="77777777" w:rsidR="002A1FAB" w:rsidRPr="00F60D7D" w:rsidRDefault="002A1FAB" w:rsidP="002721A8">
                        <w:pPr>
                          <w:jc w:val="both"/>
                          <w:rPr>
                            <w:color w:val="1C6194" w:themeColor="accent2" w:themeShade="BF"/>
                            <w:sz w:val="24"/>
                            <w:szCs w:val="24"/>
                          </w:rPr>
                        </w:pPr>
                        <w:r w:rsidRPr="00F60D7D">
                          <w:rPr>
                            <w:rFonts w:asciiTheme="majorHAnsi" w:eastAsiaTheme="majorEastAsia" w:hAnsiTheme="majorHAnsi" w:cstheme="majorBidi"/>
                            <w:color w:val="1C6194" w:themeColor="accent2" w:themeShade="BF"/>
                            <w:sz w:val="24"/>
                            <w:szCs w:val="24"/>
                          </w:rPr>
                          <w:t>Povećanje akciza na cigarete utiče na smanjenje njihove potrošnje, dok istovremeno doprinosi povećanju budžetskih prihoda.</w:t>
                        </w:r>
                      </w:p>
                    </w:txbxContent>
                  </v:textbox>
                </v:rect>
                <v:rect id="Rectangle 213" o:spid="_x0000_s1029"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Ri8MA&#10;AADcAAAADwAAAGRycy9kb3ducmV2LnhtbESPQYvCMBSE74L/ITzBi2iqQlm6RhFB0MNSdL14ezTP&#10;tmzzUpJY6783C4LHYWa+YVab3jSiI+drywrmswQEcWF1zaWCy+9++gXCB2SNjWVS8CQPm/VwsMJM&#10;2wefqDuHUkQI+wwVVCG0mZS+qMign9mWOHo36wyGKF0ptcNHhJtGLpIklQZrjgsVtrSrqPg7340C&#10;n/+krU6PV2Py7cU9b3m3n0ilxqN++w0iUB8+4Xf7oBUs5kv4Px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lRi8MAAADcAAAADwAAAAAAAAAAAAAAAACYAgAAZHJzL2Rv&#10;d25yZXYueG1sUEsFBgAAAAAEAAQA9QAAAIgDAAAAAA==&#10;" fillcolor="#335b74 [3215]" stroked="f" strokeweight="1.25pt">
                  <v:textbox inset="14.4pt,14.4pt,14.4pt,28.8pt">
                    <w:txbxContent>
                      <w:p w14:paraId="31838804" w14:textId="77777777" w:rsidR="002A1FAB" w:rsidRDefault="002A1FAB">
                        <w:pPr>
                          <w:spacing w:before="240"/>
                          <w:rPr>
                            <w:color w:val="FFFFFF" w:themeColor="background1"/>
                          </w:rPr>
                        </w:pPr>
                      </w:p>
                    </w:txbxContent>
                  </v:textbox>
                </v:rect>
                <w10:wrap type="square" anchorx="margin" anchory="margin"/>
              </v:group>
            </w:pict>
          </mc:Fallback>
        </mc:AlternateContent>
      </w:r>
      <w:r w:rsidR="006F1E4E" w:rsidRPr="004E5CDC">
        <w:rPr>
          <w:rFonts w:ascii="Cambria" w:eastAsia="Calibri" w:hAnsi="Cambria" w:cs="Times New Roman"/>
          <w:sz w:val="24"/>
          <w:szCs w:val="24"/>
          <w:lang w:val="sr-Latn-RS"/>
        </w:rPr>
        <w:t>U cilju daljeg uslaglašavanja visine akcize na cigarete sa zaht</w:t>
      </w:r>
      <w:r w:rsidR="0070296A" w:rsidRPr="004E5CDC">
        <w:rPr>
          <w:rFonts w:ascii="Cambria" w:eastAsia="Calibri" w:hAnsi="Cambria" w:cs="Times New Roman"/>
          <w:sz w:val="24"/>
          <w:szCs w:val="24"/>
          <w:lang w:val="sr-Latn-RS"/>
        </w:rPr>
        <w:t>jevima Direktive 2011/64/EU kojo</w:t>
      </w:r>
      <w:r w:rsidR="006F1E4E" w:rsidRPr="004E5CDC">
        <w:rPr>
          <w:rFonts w:ascii="Cambria" w:eastAsia="Calibri" w:hAnsi="Cambria" w:cs="Times New Roman"/>
          <w:sz w:val="24"/>
          <w:szCs w:val="24"/>
          <w:lang w:val="sr-Latn-RS"/>
        </w:rPr>
        <w:t xml:space="preserve">m je definisano da minimalna visina akcize na </w:t>
      </w:r>
      <w:r w:rsidR="0070296A" w:rsidRPr="004E5CDC">
        <w:rPr>
          <w:rFonts w:ascii="Cambria" w:eastAsia="Calibri" w:hAnsi="Cambria" w:cs="Times New Roman"/>
          <w:sz w:val="24"/>
          <w:szCs w:val="24"/>
          <w:lang w:val="sr-Latn-RS"/>
        </w:rPr>
        <w:t>sve cigarete ne smije biti manja</w:t>
      </w:r>
      <w:r w:rsidR="006F1E4E" w:rsidRPr="004E5CDC">
        <w:rPr>
          <w:rFonts w:ascii="Cambria" w:eastAsia="Calibri" w:hAnsi="Cambria" w:cs="Times New Roman"/>
          <w:sz w:val="24"/>
          <w:szCs w:val="24"/>
          <w:lang w:val="sr-Latn-RS"/>
        </w:rPr>
        <w:t xml:space="preserve"> od 90€ na 1000 komada,  kao i suzbijanja negativnih efekata koje upotreba duvanskih proizvoda ima na zdravlje građana, od 1. januara 2022. godine planirano je ubrzavanje postojećeg akciznog kalendara </w:t>
      </w:r>
      <w:r w:rsidR="006F1E4E" w:rsidRPr="004E5CDC">
        <w:rPr>
          <w:rFonts w:ascii="Cambria" w:eastAsia="Calibri" w:hAnsi="Cambria" w:cs="Times New Roman"/>
          <w:b/>
          <w:sz w:val="24"/>
          <w:szCs w:val="24"/>
          <w:lang w:val="sr-Latn-RS"/>
        </w:rPr>
        <w:t>specifične akcize na cigarete</w:t>
      </w:r>
      <w:r w:rsidR="0070296A" w:rsidRPr="004E5CDC">
        <w:rPr>
          <w:rFonts w:ascii="Cambria" w:eastAsia="Calibri" w:hAnsi="Cambria" w:cs="Times New Roman"/>
          <w:sz w:val="24"/>
          <w:szCs w:val="24"/>
          <w:lang w:val="sr-Latn-RS"/>
        </w:rPr>
        <w:t>. U vezi sa navedenim,</w:t>
      </w:r>
      <w:r w:rsidR="006F1E4E" w:rsidRPr="004E5CDC">
        <w:rPr>
          <w:rFonts w:ascii="Cambria" w:eastAsia="Calibri" w:hAnsi="Cambria" w:cs="Times New Roman"/>
          <w:sz w:val="24"/>
          <w:szCs w:val="24"/>
          <w:lang w:val="sr-Latn-RS"/>
        </w:rPr>
        <w:t xml:space="preserve"> predlaže se njeno povećanje sa postojećih 37,00 eura na 47,00 eura za 1000 komada, od 1. januara 2022. godine. Nastavak postepenog usklađivanja izvršio bi se od 1. januara 2023. godine (49,00 eura za 1000 komada), dok bi od 1</w:t>
      </w:r>
      <w:r w:rsidR="0070296A" w:rsidRPr="004E5CDC">
        <w:rPr>
          <w:rFonts w:ascii="Cambria" w:eastAsia="Calibri" w:hAnsi="Cambria" w:cs="Times New Roman"/>
          <w:sz w:val="24"/>
          <w:szCs w:val="24"/>
          <w:lang w:val="sr-Latn-RS"/>
        </w:rPr>
        <w:t>.</w:t>
      </w:r>
      <w:r w:rsidR="006F1E4E" w:rsidRPr="004E5CDC">
        <w:rPr>
          <w:rFonts w:ascii="Cambria" w:eastAsia="Calibri" w:hAnsi="Cambria" w:cs="Times New Roman"/>
          <w:sz w:val="24"/>
          <w:szCs w:val="24"/>
          <w:lang w:val="sr-Latn-RS"/>
        </w:rPr>
        <w:t xml:space="preserve"> januara 2024. godine visina specifične akcize iznosila 51,00 euro za 1000 komada. Stopa proporcionalne akcize će ostati na nivou iz 2021. godine i iznosiće 29% od maloprodajne cijene. Predloženim zakonom se propisuje akcizni kalendar</w:t>
      </w:r>
      <w:r w:rsidR="0070296A" w:rsidRPr="004E5CDC">
        <w:rPr>
          <w:rFonts w:ascii="Cambria" w:eastAsia="Calibri" w:hAnsi="Cambria" w:cs="Times New Roman"/>
          <w:sz w:val="24"/>
          <w:szCs w:val="24"/>
          <w:lang w:val="sr-Latn-RS"/>
        </w:rPr>
        <w:t xml:space="preserve"> minimalne akcize za cigarete, </w:t>
      </w:r>
      <w:r w:rsidR="006F1E4E" w:rsidRPr="004E5CDC">
        <w:rPr>
          <w:rFonts w:ascii="Cambria" w:eastAsia="Calibri" w:hAnsi="Cambria" w:cs="Times New Roman"/>
          <w:sz w:val="24"/>
          <w:szCs w:val="24"/>
          <w:lang w:val="sr-Latn-RS"/>
        </w:rPr>
        <w:t>koja bi od 1. januara do 31. decembra 2022. godine iznosila 84,7€ za 1000 komada cigareta, u periodu od 1. januara do 31. decembra 2023</w:t>
      </w:r>
      <w:r w:rsidR="00D4550A">
        <w:rPr>
          <w:rFonts w:ascii="Cambria" w:eastAsia="Calibri" w:hAnsi="Cambria" w:cs="Times New Roman"/>
          <w:sz w:val="24"/>
          <w:szCs w:val="24"/>
          <w:lang w:val="sr-Latn-RS"/>
        </w:rPr>
        <w:t>.</w:t>
      </w:r>
      <w:r w:rsidR="006F1E4E" w:rsidRPr="004E5CDC">
        <w:rPr>
          <w:rFonts w:ascii="Cambria" w:eastAsia="Calibri" w:hAnsi="Cambria" w:cs="Times New Roman"/>
          <w:sz w:val="24"/>
          <w:szCs w:val="24"/>
          <w:lang w:val="sr-Latn-RS"/>
        </w:rPr>
        <w:t xml:space="preserve"> taj iznos bi bio 88,15 € za 1000 komada cigareta dok bi od 1. januara 2024. godine ona iznosila 91,6 € za 1000 komada cigareta. </w:t>
      </w:r>
    </w:p>
    <w:p w14:paraId="1F8B42C4" w14:textId="35AFDA97" w:rsidR="009C669F" w:rsidRPr="004E5CDC" w:rsidRDefault="006F1E4E" w:rsidP="006F1E4E">
      <w:pPr>
        <w:spacing w:line="240" w:lineRule="auto"/>
        <w:jc w:val="both"/>
        <w:rPr>
          <w:rFonts w:ascii="Cambria" w:eastAsia="Calibri" w:hAnsi="Cambria" w:cs="Times New Roman"/>
          <w:i/>
          <w:sz w:val="24"/>
          <w:szCs w:val="24"/>
          <w:lang w:val="sr-Latn-RS"/>
        </w:rPr>
      </w:pPr>
      <w:r w:rsidRPr="004E5CDC">
        <w:rPr>
          <w:rFonts w:ascii="Cambria" w:eastAsia="Calibri" w:hAnsi="Cambria" w:cs="Times New Roman"/>
          <w:b/>
          <w:sz w:val="24"/>
          <w:szCs w:val="24"/>
          <w:lang w:val="sr-Latn-RS"/>
        </w:rPr>
        <w:t>Fiskalni efekat</w:t>
      </w:r>
      <w:r w:rsidRPr="004E5CDC">
        <w:rPr>
          <w:rFonts w:ascii="Cambria" w:eastAsia="Calibri" w:hAnsi="Cambria" w:cs="Times New Roman"/>
          <w:sz w:val="24"/>
          <w:szCs w:val="24"/>
          <w:lang w:val="sr-Latn-RS"/>
        </w:rPr>
        <w:t xml:space="preserve">: </w:t>
      </w:r>
      <w:r w:rsidRPr="004E5CDC">
        <w:rPr>
          <w:rFonts w:ascii="Cambria" w:eastAsia="Calibri" w:hAnsi="Cambria" w:cs="Times New Roman"/>
          <w:i/>
          <w:sz w:val="24"/>
          <w:szCs w:val="24"/>
          <w:lang w:val="sr-Latn-RS"/>
        </w:rPr>
        <w:t xml:space="preserve">Planiranim povećanjem akcize, uvođenjem novog akciznog kalendara kao i promjenom načina obračuna minimalne akcize  doći će do povećanja prihoda budžeta po osnovu akciza i poreza na dodatu vrijednost, a ukupni godišnji fiskalni efekat procjenjuje se na nivou od oko </w:t>
      </w:r>
      <w:r w:rsidRPr="004E5CDC">
        <w:rPr>
          <w:rFonts w:ascii="Cambria" w:eastAsia="Calibri" w:hAnsi="Cambria" w:cs="Times New Roman"/>
          <w:b/>
          <w:i/>
          <w:sz w:val="24"/>
          <w:szCs w:val="24"/>
          <w:u w:val="single"/>
          <w:lang w:val="sr-Latn-RS"/>
        </w:rPr>
        <w:t>10 mil.€</w:t>
      </w:r>
      <w:r w:rsidR="00A211DB">
        <w:rPr>
          <w:rFonts w:ascii="Cambria" w:eastAsia="Calibri" w:hAnsi="Cambria" w:cs="Times New Roman"/>
          <w:b/>
          <w:i/>
          <w:sz w:val="24"/>
          <w:szCs w:val="24"/>
          <w:u w:val="single"/>
          <w:lang w:val="sr-Latn-RS"/>
        </w:rPr>
        <w:t xml:space="preserve"> u 2022. godini</w:t>
      </w:r>
      <w:r w:rsidRPr="004E5CDC">
        <w:rPr>
          <w:rFonts w:ascii="Cambria" w:eastAsia="Calibri" w:hAnsi="Cambria" w:cs="Times New Roman"/>
          <w:b/>
          <w:i/>
          <w:sz w:val="24"/>
          <w:szCs w:val="24"/>
          <w:u w:val="single"/>
          <w:lang w:val="sr-Latn-RS"/>
        </w:rPr>
        <w:t>.</w:t>
      </w:r>
      <w:r w:rsidRPr="004E5CDC">
        <w:rPr>
          <w:rFonts w:ascii="Cambria" w:eastAsia="Calibri" w:hAnsi="Cambria" w:cs="Times New Roman"/>
          <w:i/>
          <w:sz w:val="24"/>
          <w:szCs w:val="24"/>
          <w:lang w:val="sr-Latn-RS"/>
        </w:rPr>
        <w:t xml:space="preserve"> </w:t>
      </w:r>
    </w:p>
    <w:p w14:paraId="3C8D294D" w14:textId="77777777" w:rsidR="006F1E4E" w:rsidRPr="004E5CDC" w:rsidRDefault="006F1E4E" w:rsidP="006F1E4E">
      <w:pPr>
        <w:spacing w:line="240" w:lineRule="auto"/>
        <w:jc w:val="both"/>
        <w:rPr>
          <w:rFonts w:ascii="Cambria" w:eastAsia="Calibri" w:hAnsi="Cambria" w:cs="Times New Roman"/>
          <w:sz w:val="24"/>
          <w:szCs w:val="24"/>
          <w:lang w:val="sr-Latn-RS"/>
        </w:rPr>
      </w:pPr>
      <w:r w:rsidRPr="004E5CDC">
        <w:rPr>
          <w:rFonts w:ascii="Cambria" w:eastAsia="Calibri" w:hAnsi="Cambria" w:cs="Times New Roman"/>
          <w:sz w:val="24"/>
          <w:szCs w:val="24"/>
          <w:lang w:val="sr-Latn-RS"/>
        </w:rPr>
        <w:t xml:space="preserve">Osim akciza na cigarete, predloženim zakonskim rješenjem biće redefinisana visina akcize na bezdimne duvanske proizvode koja bi se plaćala po kilogramu duvanske smjese u iznosu od 150,00 eura, za period od 1. januara 2022. do 31. decembra 2022. godine, u periodu od 1. januara 2023. do 31. decembra 2023. godine akciza za ovaj proizvod bi iznosila 170,00 po kg, dok bi od 1. januara 2024. godine  akciza za ovaj proizvod iznosila 190,00 po kg. Ovim zakonom se predlaže i povećanje akcize na fino rezani duvan koja će biti povećana sa 45,00 €/kg na 55€/kg. Izmjenama važećeg zakonskog rješenja planirano </w:t>
      </w:r>
      <w:r w:rsidRPr="004E5CDC">
        <w:rPr>
          <w:rFonts w:ascii="Cambria" w:eastAsia="Calibri" w:hAnsi="Cambria" w:cs="Times New Roman"/>
          <w:sz w:val="24"/>
          <w:szCs w:val="24"/>
          <w:lang w:val="sr-Latn-RS"/>
        </w:rPr>
        <w:lastRenderedPageBreak/>
        <w:t>je i uvođenje akcize na duvan za žvakanje i šmrkanje čija visina akcize je planirana u iznosu od 40,00€/kg, kao i povećanje visine akcize za drugi duvan za pušenje sa 25 na 35€/kg. Pored navedenog, predloženim zakonom se uvode u sistem oporezivanja i novi duvanski proizvodi za koje se predlaže visina akcize  u iznosu od 35,00 € po kilogramu tih proizvoda.</w:t>
      </w:r>
    </w:p>
    <w:p w14:paraId="0E764F7C" w14:textId="77777777" w:rsidR="009C669F" w:rsidRPr="004E5CDC" w:rsidRDefault="006F1E4E" w:rsidP="006F1E4E">
      <w:pPr>
        <w:jc w:val="both"/>
        <w:rPr>
          <w:rFonts w:ascii="Cambria" w:eastAsia="Calibri" w:hAnsi="Cambria" w:cs="Times New Roman"/>
          <w:b/>
          <w:sz w:val="24"/>
          <w:szCs w:val="24"/>
          <w:u w:val="single"/>
          <w:lang w:val="sr-Latn-RS"/>
        </w:rPr>
      </w:pPr>
      <w:r w:rsidRPr="004E5CDC">
        <w:rPr>
          <w:rFonts w:ascii="Cambria" w:eastAsia="Calibri" w:hAnsi="Cambria" w:cs="Times New Roman"/>
          <w:b/>
          <w:sz w:val="24"/>
          <w:szCs w:val="24"/>
          <w:lang w:val="sr-Latn-RS"/>
        </w:rPr>
        <w:t>Fiskalni efekat</w:t>
      </w:r>
      <w:r w:rsidRPr="004E5CDC">
        <w:rPr>
          <w:rFonts w:ascii="Cambria" w:eastAsia="Calibri" w:hAnsi="Cambria" w:cs="Times New Roman"/>
          <w:sz w:val="24"/>
          <w:szCs w:val="24"/>
          <w:lang w:val="sr-Latn-RS"/>
        </w:rPr>
        <w:t xml:space="preserve">: </w:t>
      </w:r>
      <w:r w:rsidRPr="004E5CDC">
        <w:rPr>
          <w:rFonts w:ascii="Cambria" w:eastAsia="Calibri" w:hAnsi="Cambria" w:cs="Times New Roman"/>
          <w:i/>
          <w:sz w:val="24"/>
          <w:szCs w:val="24"/>
          <w:lang w:val="sr-Latn-RS"/>
        </w:rPr>
        <w:t>Planiranim povećanjem akcize na bezdimne duvanske proizvode</w:t>
      </w:r>
      <w:r w:rsidR="00A211DB">
        <w:rPr>
          <w:rFonts w:ascii="Cambria" w:eastAsia="Calibri" w:hAnsi="Cambria" w:cs="Times New Roman"/>
          <w:i/>
          <w:sz w:val="24"/>
          <w:szCs w:val="24"/>
          <w:lang w:val="sr-Latn-RS"/>
        </w:rPr>
        <w:t xml:space="preserve"> i ostale duvanske proizvode</w:t>
      </w:r>
      <w:r w:rsidRPr="004E5CDC">
        <w:rPr>
          <w:rFonts w:ascii="Cambria" w:eastAsia="Calibri" w:hAnsi="Cambria" w:cs="Times New Roman"/>
          <w:i/>
          <w:sz w:val="24"/>
          <w:szCs w:val="24"/>
          <w:lang w:val="sr-Latn-RS"/>
        </w:rPr>
        <w:t xml:space="preserve"> doći će do povećanja prihoda budžeta po osnovu akciza i poreza na dodatu vrijednost, a ukupni godišnji fiskalni efekat procjenjuje se na nivou od oko </w:t>
      </w:r>
      <w:r w:rsidR="00A211DB">
        <w:rPr>
          <w:rFonts w:ascii="Cambria" w:eastAsia="Calibri" w:hAnsi="Cambria" w:cs="Times New Roman"/>
          <w:b/>
          <w:i/>
          <w:sz w:val="24"/>
          <w:szCs w:val="24"/>
          <w:u w:val="single"/>
          <w:lang w:val="sr-Latn-RS"/>
        </w:rPr>
        <w:t xml:space="preserve">2,0 mil.€ u 2022. godini. </w:t>
      </w:r>
    </w:p>
    <w:p w14:paraId="6BD3F9B9" w14:textId="28671B4F" w:rsidR="006F1E4E" w:rsidRPr="004E5CDC" w:rsidRDefault="006F1E4E" w:rsidP="006F1E4E">
      <w:pPr>
        <w:jc w:val="both"/>
        <w:rPr>
          <w:rFonts w:ascii="Cambria" w:eastAsia="Calibri" w:hAnsi="Cambria" w:cs="Times New Roman"/>
          <w:sz w:val="24"/>
          <w:szCs w:val="24"/>
          <w:lang w:val="sr-Latn-RS"/>
        </w:rPr>
      </w:pPr>
      <w:r w:rsidRPr="004E5CDC">
        <w:rPr>
          <w:rFonts w:ascii="Cambria" w:eastAsia="Calibri" w:hAnsi="Cambria" w:cs="Times New Roman"/>
          <w:b/>
          <w:sz w:val="24"/>
          <w:szCs w:val="24"/>
          <w:u w:val="single"/>
          <w:lang w:val="sr-Latn-RS"/>
        </w:rPr>
        <w:t xml:space="preserve"> 2) Povećanje akcize na alkohol i alkoholna pića</w:t>
      </w:r>
      <w:r w:rsidRPr="004E5CDC">
        <w:rPr>
          <w:rFonts w:ascii="Cambria" w:eastAsia="Calibri" w:hAnsi="Cambria" w:cs="Times New Roman"/>
          <w:sz w:val="24"/>
          <w:szCs w:val="24"/>
          <w:lang w:val="sr-Latn-RS"/>
        </w:rPr>
        <w:t xml:space="preserve">: Redefinisanjem visine akciza, planirano je povećanje akcize na sljedeća alkoholna pića: pjenušava vina </w:t>
      </w:r>
      <w:r w:rsidR="00C157A8">
        <w:rPr>
          <w:rFonts w:ascii="Cambria" w:eastAsia="Calibri" w:hAnsi="Cambria" w:cs="Times New Roman"/>
          <w:sz w:val="24"/>
          <w:szCs w:val="24"/>
          <w:lang w:val="sr-Latn-RS"/>
        </w:rPr>
        <w:t>b</w:t>
      </w:r>
      <w:r w:rsidRPr="004E5CDC">
        <w:rPr>
          <w:rFonts w:ascii="Cambria" w:eastAsia="Calibri" w:hAnsi="Cambria" w:cs="Times New Roman"/>
          <w:sz w:val="24"/>
          <w:szCs w:val="24"/>
          <w:lang w:val="sr-Latn-RS"/>
        </w:rPr>
        <w:t>iće povećana sa postojećih 35€ po hektolitru na 45€ po hektolitru; ostala pjenušava fermentisana pića biće povećana sa 35€ po hektolitru na 45€ po hektolitru; akciza na pivo biće povećana sa postojećih 5€ na 7€ po zapreminskom sadržaju alkohola na hektolitar piva; akciza na ostala nepjenušava fermentisana pića će sa 0€ po hektolitru biti povećana na 40€ po hektolitru.</w:t>
      </w:r>
      <w:r w:rsidR="00EA3B76">
        <w:rPr>
          <w:rFonts w:ascii="Cambria" w:eastAsia="Calibri" w:hAnsi="Cambria" w:cs="Times New Roman"/>
          <w:sz w:val="24"/>
          <w:szCs w:val="24"/>
          <w:lang w:val="sr-Latn-RS"/>
        </w:rPr>
        <w:t xml:space="preserve"> </w:t>
      </w:r>
      <w:r w:rsidRPr="004E5CDC">
        <w:rPr>
          <w:rFonts w:ascii="Cambria" w:eastAsia="Calibri" w:hAnsi="Cambria" w:cs="Times New Roman"/>
          <w:sz w:val="24"/>
          <w:szCs w:val="24"/>
          <w:lang w:val="sr-Latn-RS"/>
        </w:rPr>
        <w:t>Visina akcize za međuproizvode je predložena u iznosu od 140,00 eura po hektolitru. Navedena visina akcize</w:t>
      </w:r>
      <w:r w:rsidR="00A211DB">
        <w:rPr>
          <w:rFonts w:ascii="Cambria" w:eastAsia="Calibri" w:hAnsi="Cambria" w:cs="Times New Roman"/>
          <w:sz w:val="24"/>
          <w:szCs w:val="24"/>
          <w:lang w:val="sr-Latn-RS"/>
        </w:rPr>
        <w:t xml:space="preserve"> će se primjenjivati od 1. janu</w:t>
      </w:r>
      <w:r w:rsidRPr="004E5CDC">
        <w:rPr>
          <w:rFonts w:ascii="Cambria" w:eastAsia="Calibri" w:hAnsi="Cambria" w:cs="Times New Roman"/>
          <w:sz w:val="24"/>
          <w:szCs w:val="24"/>
          <w:lang w:val="sr-Latn-RS"/>
        </w:rPr>
        <w:t>ara 2023. godine, dok će od 1. januara do 31. decembra 2022. godine, akciza na alkoholna pića iznositi:</w:t>
      </w:r>
    </w:p>
    <w:p w14:paraId="3E201875" w14:textId="77777777" w:rsidR="006F1E4E" w:rsidRPr="004E5CDC" w:rsidRDefault="009C669F" w:rsidP="006F1E4E">
      <w:pPr>
        <w:numPr>
          <w:ilvl w:val="0"/>
          <w:numId w:val="9"/>
        </w:numPr>
        <w:spacing w:after="120" w:line="276" w:lineRule="auto"/>
        <w:contextualSpacing/>
        <w:jc w:val="both"/>
        <w:rPr>
          <w:rFonts w:ascii="Cambria" w:eastAsia="Times New Roman" w:hAnsi="Cambria" w:cs="Arial"/>
          <w:noProof/>
          <w:sz w:val="24"/>
          <w:szCs w:val="24"/>
          <w:lang w:val="sr-Latn-RS"/>
        </w:rPr>
      </w:pPr>
      <w:r w:rsidRPr="004E5CDC">
        <w:rPr>
          <w:rFonts w:ascii="Cambria" w:eastAsia="Times New Roman" w:hAnsi="Cambria" w:cs="Arial"/>
          <w:noProof/>
          <w:sz w:val="24"/>
          <w:szCs w:val="24"/>
          <w:lang w:val="sr-Latn-RS"/>
        </w:rPr>
        <w:t>6,00 e</w:t>
      </w:r>
      <w:r w:rsidR="006F1E4E" w:rsidRPr="004E5CDC">
        <w:rPr>
          <w:rFonts w:ascii="Cambria" w:eastAsia="Times New Roman" w:hAnsi="Cambria" w:cs="Arial"/>
          <w:noProof/>
          <w:sz w:val="24"/>
          <w:szCs w:val="24"/>
          <w:lang w:val="sr-Latn-RS"/>
        </w:rPr>
        <w:t xml:space="preserve">ura po zapreminskom sadržaju alkohola na hektolitar piva; </w:t>
      </w:r>
    </w:p>
    <w:p w14:paraId="705709DB" w14:textId="77777777" w:rsidR="006F1E4E" w:rsidRPr="004E5CDC" w:rsidRDefault="009C669F" w:rsidP="006F1E4E">
      <w:pPr>
        <w:numPr>
          <w:ilvl w:val="0"/>
          <w:numId w:val="9"/>
        </w:numPr>
        <w:spacing w:after="120" w:line="276" w:lineRule="auto"/>
        <w:contextualSpacing/>
        <w:jc w:val="both"/>
        <w:rPr>
          <w:rFonts w:ascii="Cambria" w:eastAsia="Times New Roman" w:hAnsi="Cambria" w:cs="Arial"/>
          <w:noProof/>
          <w:sz w:val="24"/>
          <w:szCs w:val="24"/>
          <w:lang w:val="sr-Latn-RS"/>
        </w:rPr>
      </w:pPr>
      <w:r w:rsidRPr="004E5CDC">
        <w:rPr>
          <w:rFonts w:ascii="Cambria" w:eastAsia="Times New Roman" w:hAnsi="Cambria" w:cs="Arial"/>
          <w:noProof/>
          <w:sz w:val="24"/>
          <w:szCs w:val="24"/>
          <w:lang w:val="sr-Latn-RS"/>
        </w:rPr>
        <w:t>40 e</w:t>
      </w:r>
      <w:r w:rsidR="006F1E4E" w:rsidRPr="004E5CDC">
        <w:rPr>
          <w:rFonts w:ascii="Cambria" w:eastAsia="Times New Roman" w:hAnsi="Cambria" w:cs="Arial"/>
          <w:noProof/>
          <w:sz w:val="24"/>
          <w:szCs w:val="24"/>
          <w:lang w:val="sr-Latn-RS"/>
        </w:rPr>
        <w:t xml:space="preserve">ura po hektolitru pjenušavog vina; </w:t>
      </w:r>
    </w:p>
    <w:p w14:paraId="56221017" w14:textId="77777777" w:rsidR="006F1E4E" w:rsidRPr="004E5CDC" w:rsidRDefault="009C669F" w:rsidP="006F1E4E">
      <w:pPr>
        <w:numPr>
          <w:ilvl w:val="0"/>
          <w:numId w:val="9"/>
        </w:numPr>
        <w:spacing w:after="120" w:line="276" w:lineRule="auto"/>
        <w:contextualSpacing/>
        <w:jc w:val="both"/>
        <w:rPr>
          <w:rFonts w:ascii="Cambria" w:eastAsia="Times New Roman" w:hAnsi="Cambria" w:cs="Arial"/>
          <w:noProof/>
          <w:sz w:val="24"/>
          <w:szCs w:val="24"/>
          <w:lang w:val="sr-Latn-RS"/>
        </w:rPr>
      </w:pPr>
      <w:r w:rsidRPr="004E5CDC">
        <w:rPr>
          <w:rFonts w:ascii="Cambria" w:eastAsia="Times New Roman" w:hAnsi="Cambria" w:cs="Arial"/>
          <w:noProof/>
          <w:sz w:val="24"/>
          <w:szCs w:val="24"/>
          <w:lang w:val="sr-Latn-RS"/>
        </w:rPr>
        <w:t>30 e</w:t>
      </w:r>
      <w:r w:rsidR="006F1E4E" w:rsidRPr="004E5CDC">
        <w:rPr>
          <w:rFonts w:ascii="Cambria" w:eastAsia="Times New Roman" w:hAnsi="Cambria" w:cs="Arial"/>
          <w:noProof/>
          <w:sz w:val="24"/>
          <w:szCs w:val="24"/>
          <w:lang w:val="sr-Latn-RS"/>
        </w:rPr>
        <w:t xml:space="preserve">ura po hektolitru ostalih nepjenušavih fermentisanih pića; </w:t>
      </w:r>
    </w:p>
    <w:p w14:paraId="73D0342B" w14:textId="77777777" w:rsidR="006F1E4E" w:rsidRPr="004E5CDC" w:rsidRDefault="009C669F" w:rsidP="006F1E4E">
      <w:pPr>
        <w:numPr>
          <w:ilvl w:val="0"/>
          <w:numId w:val="9"/>
        </w:numPr>
        <w:spacing w:after="120" w:line="276" w:lineRule="auto"/>
        <w:contextualSpacing/>
        <w:jc w:val="both"/>
        <w:rPr>
          <w:rFonts w:ascii="Cambria" w:eastAsia="Times New Roman" w:hAnsi="Cambria" w:cs="Arial"/>
          <w:noProof/>
          <w:sz w:val="24"/>
          <w:szCs w:val="24"/>
          <w:lang w:val="sr-Latn-RS"/>
        </w:rPr>
      </w:pPr>
      <w:r w:rsidRPr="004E5CDC">
        <w:rPr>
          <w:rFonts w:ascii="Cambria" w:eastAsia="Times New Roman" w:hAnsi="Cambria" w:cs="Arial"/>
          <w:noProof/>
          <w:sz w:val="24"/>
          <w:szCs w:val="24"/>
          <w:lang w:val="sr-Latn-RS"/>
        </w:rPr>
        <w:t>40 e</w:t>
      </w:r>
      <w:r w:rsidR="006F1E4E" w:rsidRPr="004E5CDC">
        <w:rPr>
          <w:rFonts w:ascii="Cambria" w:eastAsia="Times New Roman" w:hAnsi="Cambria" w:cs="Arial"/>
          <w:noProof/>
          <w:sz w:val="24"/>
          <w:szCs w:val="24"/>
          <w:lang w:val="sr-Latn-RS"/>
        </w:rPr>
        <w:t xml:space="preserve">ura po hektolitru ostalih pjenušavih fermentisanih pića; </w:t>
      </w:r>
    </w:p>
    <w:p w14:paraId="156E5274" w14:textId="77777777" w:rsidR="009C669F" w:rsidRPr="004E5CDC" w:rsidRDefault="009C669F" w:rsidP="006F1E4E">
      <w:pPr>
        <w:numPr>
          <w:ilvl w:val="0"/>
          <w:numId w:val="9"/>
        </w:numPr>
        <w:spacing w:after="120" w:line="276" w:lineRule="auto"/>
        <w:contextualSpacing/>
        <w:jc w:val="both"/>
        <w:rPr>
          <w:rFonts w:ascii="Cambria" w:eastAsia="Times New Roman" w:hAnsi="Cambria" w:cs="Arial"/>
          <w:noProof/>
          <w:sz w:val="24"/>
          <w:szCs w:val="24"/>
          <w:lang w:val="sr-Latn-RS"/>
        </w:rPr>
      </w:pPr>
      <w:r w:rsidRPr="004E5CDC">
        <w:rPr>
          <w:rFonts w:ascii="Cambria" w:eastAsia="Times New Roman" w:hAnsi="Cambria" w:cs="Arial"/>
          <w:noProof/>
          <w:sz w:val="24"/>
          <w:szCs w:val="24"/>
          <w:lang w:val="sr-Latn-RS"/>
        </w:rPr>
        <w:t>120 e</w:t>
      </w:r>
      <w:r w:rsidR="006F1E4E" w:rsidRPr="004E5CDC">
        <w:rPr>
          <w:rFonts w:ascii="Cambria" w:eastAsia="Times New Roman" w:hAnsi="Cambria" w:cs="Arial"/>
          <w:noProof/>
          <w:sz w:val="24"/>
          <w:szCs w:val="24"/>
          <w:lang w:val="sr-Latn-RS"/>
        </w:rPr>
        <w:t>ura po hektolitru međuproizvoda”.</w:t>
      </w:r>
    </w:p>
    <w:p w14:paraId="445DF74B" w14:textId="77777777" w:rsidR="009C669F" w:rsidRPr="004E5CDC" w:rsidRDefault="009C669F" w:rsidP="009C669F">
      <w:pPr>
        <w:spacing w:after="120" w:line="276" w:lineRule="auto"/>
        <w:contextualSpacing/>
        <w:jc w:val="both"/>
        <w:rPr>
          <w:rFonts w:ascii="Cambria" w:eastAsia="Times New Roman" w:hAnsi="Cambria" w:cs="Arial"/>
          <w:noProof/>
          <w:sz w:val="24"/>
          <w:szCs w:val="24"/>
          <w:lang w:val="sr-Latn-RS"/>
        </w:rPr>
      </w:pPr>
    </w:p>
    <w:p w14:paraId="63E4D934" w14:textId="77777777" w:rsidR="006F1E4E" w:rsidRPr="004E5CDC" w:rsidRDefault="006F1E4E" w:rsidP="009C669F">
      <w:pPr>
        <w:spacing w:after="120" w:line="276" w:lineRule="auto"/>
        <w:contextualSpacing/>
        <w:jc w:val="both"/>
        <w:rPr>
          <w:rFonts w:ascii="Cambria" w:eastAsia="Calibri" w:hAnsi="Cambria" w:cs="Times New Roman"/>
          <w:b/>
          <w:sz w:val="24"/>
          <w:szCs w:val="24"/>
          <w:u w:val="single"/>
          <w:lang w:val="sr-Latn-RS"/>
        </w:rPr>
      </w:pPr>
      <w:r w:rsidRPr="004E5CDC">
        <w:rPr>
          <w:rFonts w:ascii="Cambria" w:eastAsia="Calibri" w:hAnsi="Cambria" w:cs="Times New Roman"/>
          <w:b/>
          <w:sz w:val="24"/>
          <w:szCs w:val="24"/>
          <w:lang w:val="sr-Latn-RS"/>
        </w:rPr>
        <w:t>Fiskalni efekat:</w:t>
      </w:r>
      <w:r w:rsidRPr="004E5CDC">
        <w:rPr>
          <w:rFonts w:ascii="Cambria" w:eastAsia="Calibri" w:hAnsi="Cambria" w:cs="Times New Roman"/>
          <w:sz w:val="24"/>
          <w:szCs w:val="24"/>
          <w:lang w:val="sr-Latn-RS"/>
        </w:rPr>
        <w:t xml:space="preserve"> </w:t>
      </w:r>
      <w:r w:rsidRPr="004E5CDC">
        <w:rPr>
          <w:rFonts w:ascii="Cambria" w:eastAsia="Calibri" w:hAnsi="Cambria" w:cs="Times New Roman"/>
          <w:i/>
          <w:sz w:val="24"/>
          <w:szCs w:val="24"/>
          <w:lang w:val="sr-Latn-RS"/>
        </w:rPr>
        <w:t>Planiranim povećanjem obuhvata i visine akciza doći će do povećanja prihoda budžeta po osnovu akciza i poreza na dodatu vrijednost, a ukupni godišnji fiskalni efekat procjenjuje se na nivou od oko</w:t>
      </w:r>
      <w:r w:rsidR="00C243A7">
        <w:rPr>
          <w:rFonts w:ascii="Cambria" w:eastAsia="Calibri" w:hAnsi="Cambria" w:cs="Times New Roman"/>
          <w:b/>
          <w:i/>
          <w:sz w:val="24"/>
          <w:szCs w:val="24"/>
          <w:u w:val="single"/>
          <w:lang w:val="sr-Latn-RS"/>
        </w:rPr>
        <w:t xml:space="preserve"> 2</w:t>
      </w:r>
      <w:r w:rsidRPr="004E5CDC">
        <w:rPr>
          <w:rFonts w:ascii="Cambria" w:eastAsia="Calibri" w:hAnsi="Cambria" w:cs="Times New Roman"/>
          <w:b/>
          <w:i/>
          <w:sz w:val="24"/>
          <w:szCs w:val="24"/>
          <w:u w:val="single"/>
          <w:lang w:val="sr-Latn-RS"/>
        </w:rPr>
        <w:t xml:space="preserve"> mil.€</w:t>
      </w:r>
      <w:r w:rsidR="00A211DB">
        <w:rPr>
          <w:rFonts w:ascii="Cambria" w:eastAsia="Calibri" w:hAnsi="Cambria" w:cs="Times New Roman"/>
          <w:b/>
          <w:i/>
          <w:sz w:val="24"/>
          <w:szCs w:val="24"/>
          <w:u w:val="single"/>
          <w:lang w:val="sr-Latn-RS"/>
        </w:rPr>
        <w:t xml:space="preserve"> u 2022. godini</w:t>
      </w:r>
      <w:r w:rsidRPr="004E5CDC">
        <w:rPr>
          <w:rFonts w:ascii="Cambria" w:eastAsia="Calibri" w:hAnsi="Cambria" w:cs="Times New Roman"/>
          <w:b/>
          <w:i/>
          <w:sz w:val="24"/>
          <w:szCs w:val="24"/>
          <w:u w:val="single"/>
          <w:lang w:val="sr-Latn-RS"/>
        </w:rPr>
        <w:t>.</w:t>
      </w:r>
    </w:p>
    <w:p w14:paraId="5D6D7B60" w14:textId="77777777" w:rsidR="009C669F" w:rsidRPr="004E5CDC" w:rsidRDefault="009C669F" w:rsidP="009C669F">
      <w:pPr>
        <w:spacing w:after="120" w:line="276" w:lineRule="auto"/>
        <w:contextualSpacing/>
        <w:jc w:val="both"/>
        <w:rPr>
          <w:rFonts w:ascii="Cambria" w:eastAsia="Times New Roman" w:hAnsi="Cambria" w:cs="Arial"/>
          <w:noProof/>
          <w:sz w:val="24"/>
          <w:szCs w:val="24"/>
          <w:lang w:val="sr-Latn-RS"/>
        </w:rPr>
      </w:pPr>
    </w:p>
    <w:p w14:paraId="4C2309C3" w14:textId="77777777" w:rsidR="006F1E4E" w:rsidRPr="004E5CDC" w:rsidRDefault="006F1E4E" w:rsidP="006F1E4E">
      <w:pPr>
        <w:autoSpaceDE w:val="0"/>
        <w:autoSpaceDN w:val="0"/>
        <w:adjustRightInd w:val="0"/>
        <w:spacing w:after="0" w:line="240" w:lineRule="auto"/>
        <w:jc w:val="both"/>
        <w:rPr>
          <w:rFonts w:ascii="Cambria" w:eastAsia="Calibri" w:hAnsi="Cambria" w:cs="Arial"/>
          <w:sz w:val="24"/>
          <w:szCs w:val="24"/>
          <w:lang w:val="sr-Latn-RS"/>
        </w:rPr>
      </w:pPr>
      <w:r w:rsidRPr="004E5CDC">
        <w:rPr>
          <w:rFonts w:ascii="Cambria" w:eastAsia="Calibri" w:hAnsi="Cambria" w:cs="Times New Roman"/>
          <w:b/>
          <w:sz w:val="24"/>
          <w:szCs w:val="24"/>
          <w:lang w:val="sr-Latn-RS"/>
        </w:rPr>
        <w:t xml:space="preserve">3) </w:t>
      </w:r>
      <w:r w:rsidRPr="004E5CDC">
        <w:rPr>
          <w:rFonts w:ascii="Cambria" w:eastAsia="Calibri" w:hAnsi="Cambria" w:cs="Times New Roman"/>
          <w:b/>
          <w:sz w:val="24"/>
          <w:szCs w:val="24"/>
          <w:u w:val="single"/>
          <w:lang w:val="sr-Latn-RS"/>
        </w:rPr>
        <w:t>Povećanje</w:t>
      </w:r>
      <w:r w:rsidR="009C669F" w:rsidRPr="004E5CDC">
        <w:rPr>
          <w:rFonts w:ascii="Cambria" w:eastAsia="Calibri" w:hAnsi="Cambria" w:cs="Times New Roman"/>
          <w:b/>
          <w:sz w:val="24"/>
          <w:szCs w:val="24"/>
          <w:u w:val="single"/>
          <w:lang w:val="sr-Latn-RS"/>
        </w:rPr>
        <w:t>m</w:t>
      </w:r>
      <w:r w:rsidRPr="004E5CDC">
        <w:rPr>
          <w:rFonts w:ascii="Cambria" w:eastAsia="Calibri" w:hAnsi="Cambria" w:cs="Times New Roman"/>
          <w:b/>
          <w:sz w:val="24"/>
          <w:szCs w:val="24"/>
          <w:u w:val="single"/>
          <w:lang w:val="sr-Latn-RS"/>
        </w:rPr>
        <w:t xml:space="preserve"> akcize na gaziranu i negaziranu vodu sa dodatkom šećera ili drugih sredstava za zaslađivanje ili aromatizaciju</w:t>
      </w:r>
      <w:r w:rsidRPr="004E5CDC">
        <w:rPr>
          <w:rFonts w:ascii="Cambria" w:eastAsia="Calibri" w:hAnsi="Cambria" w:cs="Times New Roman"/>
          <w:sz w:val="24"/>
          <w:szCs w:val="24"/>
          <w:lang w:val="sr-Latn-RS"/>
        </w:rPr>
        <w:t xml:space="preserve"> je planirano proširenje obuhvata bezalkoholnih pića na koja se plaća akciza i predlaže se uvođenje akcize na </w:t>
      </w:r>
      <w:r w:rsidR="00CC7A7B">
        <w:rPr>
          <w:rFonts w:ascii="Cambria" w:eastAsia="Calibri" w:hAnsi="Cambria" w:cs="Times New Roman"/>
          <w:sz w:val="24"/>
          <w:szCs w:val="24"/>
          <w:lang w:val="sr-Latn-RS"/>
        </w:rPr>
        <w:t xml:space="preserve">negaziranu </w:t>
      </w:r>
      <w:r w:rsidRPr="004E5CDC">
        <w:rPr>
          <w:rFonts w:ascii="Cambria" w:eastAsia="Calibri" w:hAnsi="Cambria" w:cs="Times New Roman"/>
          <w:sz w:val="24"/>
          <w:szCs w:val="24"/>
          <w:lang w:val="sr-Latn-RS"/>
        </w:rPr>
        <w:t>v</w:t>
      </w:r>
      <w:r w:rsidRPr="004E5CDC">
        <w:rPr>
          <w:rFonts w:ascii="Cambria" w:eastAsia="Calibri" w:hAnsi="Cambria" w:cs="Arial"/>
          <w:sz w:val="24"/>
          <w:szCs w:val="24"/>
          <w:lang w:val="sr-Latn-RS"/>
        </w:rPr>
        <w:t>odu, uključujući mineralnu vodu i gaziranu vodu sa dodatkom šećera ili drugih sredstava za zaslađivanje i aromatizaciju i ostala bezalkoholna pića, osim sokova od voća ili povrća iz tar</w:t>
      </w:r>
      <w:r w:rsidR="009C669F" w:rsidRPr="004E5CDC">
        <w:rPr>
          <w:rFonts w:ascii="Cambria" w:eastAsia="Calibri" w:hAnsi="Cambria" w:cs="Arial"/>
          <w:sz w:val="24"/>
          <w:szCs w:val="24"/>
          <w:lang w:val="sr-Latn-RS"/>
        </w:rPr>
        <w:t>ifnog</w:t>
      </w:r>
      <w:r w:rsidRPr="004E5CDC">
        <w:rPr>
          <w:rFonts w:ascii="Cambria" w:eastAsia="Calibri" w:hAnsi="Cambria" w:cs="Arial"/>
          <w:sz w:val="24"/>
          <w:szCs w:val="24"/>
          <w:lang w:val="sr-Latn-RS"/>
        </w:rPr>
        <w:t xml:space="preserve"> broja 2009. Kada su u pitanju gazirana pića sa dodatkom šećera planira se</w:t>
      </w:r>
      <w:r w:rsidR="009C669F" w:rsidRPr="004E5CDC">
        <w:rPr>
          <w:rFonts w:ascii="Cambria" w:eastAsia="Calibri" w:hAnsi="Cambria" w:cs="Arial"/>
          <w:sz w:val="24"/>
          <w:szCs w:val="24"/>
          <w:lang w:val="sr-Latn-RS"/>
        </w:rPr>
        <w:t xml:space="preserve"> povećanje visine akcize sa 25,</w:t>
      </w:r>
      <w:r w:rsidRPr="004E5CDC">
        <w:rPr>
          <w:rFonts w:ascii="Cambria" w:eastAsia="Calibri" w:hAnsi="Cambria" w:cs="Arial"/>
          <w:sz w:val="24"/>
          <w:szCs w:val="24"/>
          <w:lang w:val="sr-Latn-RS"/>
        </w:rPr>
        <w:t>00 eura po hektolitru na 30,00 eura po hektolitru, od 1. januara 2022. do 31. decembra 2022. godine, da bi od 1. januara 2023. godine visina akcize za ovaj proizvod iznosila 35,00 eura po hektolitru.</w:t>
      </w:r>
    </w:p>
    <w:p w14:paraId="773A494A" w14:textId="77777777" w:rsidR="009C669F" w:rsidRPr="004E5CDC" w:rsidRDefault="009C669F" w:rsidP="006F1E4E">
      <w:pPr>
        <w:autoSpaceDE w:val="0"/>
        <w:autoSpaceDN w:val="0"/>
        <w:adjustRightInd w:val="0"/>
        <w:spacing w:after="0" w:line="240" w:lineRule="auto"/>
        <w:jc w:val="both"/>
        <w:rPr>
          <w:rFonts w:ascii="Cambria" w:eastAsia="Calibri" w:hAnsi="Cambria" w:cs="Arial"/>
          <w:sz w:val="24"/>
          <w:szCs w:val="24"/>
          <w:lang w:val="sr-Latn-RS"/>
        </w:rPr>
      </w:pPr>
    </w:p>
    <w:p w14:paraId="121A98B7" w14:textId="77777777" w:rsidR="006F1E4E" w:rsidRPr="004E5CDC" w:rsidRDefault="006F1E4E" w:rsidP="006F1E4E">
      <w:pPr>
        <w:autoSpaceDE w:val="0"/>
        <w:autoSpaceDN w:val="0"/>
        <w:adjustRightInd w:val="0"/>
        <w:spacing w:after="0" w:line="240" w:lineRule="auto"/>
        <w:jc w:val="both"/>
        <w:rPr>
          <w:rFonts w:ascii="Cambria" w:eastAsia="Calibri" w:hAnsi="Cambria" w:cs="Arial"/>
          <w:sz w:val="24"/>
          <w:szCs w:val="24"/>
          <w:lang w:val="sr-Latn-RS"/>
        </w:rPr>
      </w:pPr>
      <w:r w:rsidRPr="004E5CDC">
        <w:rPr>
          <w:rFonts w:ascii="Cambria" w:eastAsia="Calibri" w:hAnsi="Cambria" w:cs="Arial"/>
          <w:sz w:val="24"/>
          <w:szCs w:val="24"/>
          <w:lang w:val="sr-Latn-RS"/>
        </w:rPr>
        <w:t xml:space="preserve">Za </w:t>
      </w:r>
      <w:r w:rsidR="00316B95">
        <w:rPr>
          <w:rFonts w:ascii="Cambria" w:eastAsia="Calibri" w:hAnsi="Cambria" w:cs="Arial"/>
          <w:sz w:val="24"/>
          <w:szCs w:val="24"/>
          <w:lang w:val="sr-Latn-RS"/>
        </w:rPr>
        <w:t xml:space="preserve">negaziranu </w:t>
      </w:r>
      <w:r w:rsidRPr="004E5CDC">
        <w:rPr>
          <w:rFonts w:ascii="Cambria" w:eastAsia="Calibri" w:hAnsi="Cambria" w:cs="Arial"/>
          <w:sz w:val="24"/>
          <w:szCs w:val="24"/>
          <w:lang w:val="sr-Latn-RS"/>
        </w:rPr>
        <w:t xml:space="preserve">vodu, uključujući mineralnu vodu sa dodatkom šećera ili drugih sredstava za zaslađivanje ili aromatizaciju  i ostala bezalkoholna pića, </w:t>
      </w:r>
      <w:r w:rsidRPr="00DB1235">
        <w:rPr>
          <w:rFonts w:ascii="Cambria" w:eastAsia="Calibri" w:hAnsi="Cambria" w:cs="Arial"/>
          <w:sz w:val="24"/>
          <w:szCs w:val="24"/>
          <w:lang w:val="sr-Latn-RS"/>
        </w:rPr>
        <w:t>osim sokova od voća ili povrća iz tarifnog broja 2009 propisuje se visina akcize u izn</w:t>
      </w:r>
      <w:r w:rsidRPr="004E5CDC">
        <w:rPr>
          <w:rFonts w:ascii="Cambria" w:eastAsia="Calibri" w:hAnsi="Cambria" w:cs="Arial"/>
          <w:sz w:val="24"/>
          <w:szCs w:val="24"/>
          <w:lang w:val="sr-Latn-RS"/>
        </w:rPr>
        <w:t>osu od 15,00 eura po hektolitru od 1. januara 2022. do 31. decembra 2022. godine, da bi od 1. januara 2023. godine visina akcize za ovaj proizvod iznosila 25,00 eura po hektolitru.</w:t>
      </w:r>
    </w:p>
    <w:p w14:paraId="21616FA3" w14:textId="77777777" w:rsidR="006F1E4E" w:rsidRPr="004E5CDC" w:rsidRDefault="006F1E4E" w:rsidP="006F1E4E">
      <w:pPr>
        <w:autoSpaceDE w:val="0"/>
        <w:autoSpaceDN w:val="0"/>
        <w:adjustRightInd w:val="0"/>
        <w:spacing w:after="0" w:line="240" w:lineRule="auto"/>
        <w:jc w:val="both"/>
        <w:rPr>
          <w:rFonts w:ascii="Cambria" w:eastAsia="Calibri" w:hAnsi="Cambria" w:cs="Arial"/>
          <w:sz w:val="24"/>
          <w:szCs w:val="24"/>
          <w:lang w:val="sr-Latn-RS"/>
        </w:rPr>
      </w:pPr>
    </w:p>
    <w:p w14:paraId="32047ACF" w14:textId="77777777" w:rsidR="006F1E4E" w:rsidRPr="008F6390" w:rsidRDefault="006F1E4E" w:rsidP="006F1E4E">
      <w:pPr>
        <w:spacing w:line="240" w:lineRule="auto"/>
        <w:jc w:val="both"/>
        <w:rPr>
          <w:rFonts w:ascii="Cambria" w:eastAsia="Calibri" w:hAnsi="Cambria" w:cs="Times New Roman"/>
          <w:b/>
          <w:i/>
          <w:sz w:val="24"/>
          <w:szCs w:val="24"/>
          <w:u w:val="single"/>
          <w:lang w:val="sr-Latn-RS"/>
        </w:rPr>
      </w:pPr>
      <w:r w:rsidRPr="004E5CDC">
        <w:rPr>
          <w:rFonts w:ascii="Cambria" w:eastAsia="Calibri" w:hAnsi="Cambria" w:cs="Times New Roman"/>
          <w:b/>
          <w:sz w:val="24"/>
          <w:szCs w:val="24"/>
          <w:u w:val="single"/>
          <w:lang w:val="sr-Latn-RS"/>
        </w:rPr>
        <w:lastRenderedPageBreak/>
        <w:t>Fiskalni efekat</w:t>
      </w:r>
      <w:r w:rsidRPr="004E5CDC">
        <w:rPr>
          <w:rFonts w:ascii="Cambria" w:eastAsia="Calibri" w:hAnsi="Cambria" w:cs="Times New Roman"/>
          <w:b/>
          <w:sz w:val="24"/>
          <w:szCs w:val="24"/>
          <w:lang w:val="sr-Latn-RS"/>
        </w:rPr>
        <w:t>:</w:t>
      </w:r>
      <w:r w:rsidRPr="004E5CDC">
        <w:rPr>
          <w:rFonts w:ascii="Cambria" w:eastAsia="Calibri" w:hAnsi="Cambria" w:cs="Times New Roman"/>
          <w:sz w:val="24"/>
          <w:szCs w:val="24"/>
          <w:lang w:val="sr-Latn-RS"/>
        </w:rPr>
        <w:t xml:space="preserve"> </w:t>
      </w:r>
      <w:r w:rsidR="00A20529">
        <w:rPr>
          <w:rFonts w:ascii="Cambria" w:eastAsia="Calibri" w:hAnsi="Cambria" w:cs="Times New Roman"/>
          <w:i/>
          <w:sz w:val="24"/>
          <w:szCs w:val="24"/>
          <w:lang w:val="sr-Latn-RS"/>
        </w:rPr>
        <w:t>Planiranim proširenjem</w:t>
      </w:r>
      <w:r w:rsidRPr="004E5CDC">
        <w:rPr>
          <w:rFonts w:ascii="Cambria" w:eastAsia="Calibri" w:hAnsi="Cambria" w:cs="Times New Roman"/>
          <w:i/>
          <w:sz w:val="24"/>
          <w:szCs w:val="24"/>
          <w:lang w:val="sr-Latn-RS"/>
        </w:rPr>
        <w:t xml:space="preserve"> obuhvata i </w:t>
      </w:r>
      <w:r w:rsidR="00A20529">
        <w:rPr>
          <w:rFonts w:ascii="Cambria" w:eastAsia="Calibri" w:hAnsi="Cambria" w:cs="Times New Roman"/>
          <w:i/>
          <w:sz w:val="24"/>
          <w:szCs w:val="24"/>
          <w:lang w:val="sr-Latn-RS"/>
        </w:rPr>
        <w:t xml:space="preserve">povećanjem </w:t>
      </w:r>
      <w:r w:rsidRPr="004E5CDC">
        <w:rPr>
          <w:rFonts w:ascii="Cambria" w:eastAsia="Calibri" w:hAnsi="Cambria" w:cs="Times New Roman"/>
          <w:i/>
          <w:sz w:val="24"/>
          <w:szCs w:val="24"/>
          <w:lang w:val="sr-Latn-RS"/>
        </w:rPr>
        <w:t xml:space="preserve">visine akciza doći će do povećanja prihoda budžeta po osnovu akciza i poreza na dodatu vrijednost, a ukupni godišnji fiskalni efekat od akcize na gazirana i negazirana voda sa dodatkom šećera procjenjuje se na nivou od oko </w:t>
      </w:r>
      <w:r w:rsidR="008F6390">
        <w:rPr>
          <w:rFonts w:ascii="Cambria" w:eastAsia="Calibri" w:hAnsi="Cambria" w:cs="Times New Roman"/>
          <w:b/>
          <w:i/>
          <w:sz w:val="24"/>
          <w:szCs w:val="24"/>
          <w:u w:val="single"/>
          <w:lang w:val="sr-Latn-RS"/>
        </w:rPr>
        <w:t>3,5</w:t>
      </w:r>
      <w:r w:rsidRPr="004E5CDC">
        <w:rPr>
          <w:rFonts w:ascii="Cambria" w:eastAsia="Calibri" w:hAnsi="Cambria" w:cs="Times New Roman"/>
          <w:b/>
          <w:i/>
          <w:sz w:val="24"/>
          <w:szCs w:val="24"/>
          <w:u w:val="single"/>
          <w:lang w:val="sr-Latn-RS"/>
        </w:rPr>
        <w:t xml:space="preserve"> mil.€</w:t>
      </w:r>
      <w:r w:rsidR="00A20529">
        <w:rPr>
          <w:rFonts w:ascii="Cambria" w:eastAsia="Calibri" w:hAnsi="Cambria" w:cs="Times New Roman"/>
          <w:b/>
          <w:i/>
          <w:sz w:val="24"/>
          <w:szCs w:val="24"/>
          <w:u w:val="single"/>
          <w:lang w:val="sr-Latn-RS"/>
        </w:rPr>
        <w:t xml:space="preserve"> u 2022</w:t>
      </w:r>
      <w:r w:rsidRPr="004E5CDC">
        <w:rPr>
          <w:rFonts w:ascii="Cambria" w:eastAsia="Calibri" w:hAnsi="Cambria" w:cs="Times New Roman"/>
          <w:b/>
          <w:i/>
          <w:sz w:val="24"/>
          <w:szCs w:val="24"/>
          <w:u w:val="single"/>
          <w:lang w:val="sr-Latn-RS"/>
        </w:rPr>
        <w:t>.</w:t>
      </w:r>
      <w:r w:rsidR="00A20529">
        <w:rPr>
          <w:rFonts w:ascii="Cambria" w:eastAsia="Calibri" w:hAnsi="Cambria" w:cs="Times New Roman"/>
          <w:b/>
          <w:i/>
          <w:sz w:val="24"/>
          <w:szCs w:val="24"/>
          <w:u w:val="single"/>
          <w:lang w:val="sr-Latn-RS"/>
        </w:rPr>
        <w:t xml:space="preserve"> godini.</w:t>
      </w:r>
    </w:p>
    <w:p w14:paraId="70E832AF" w14:textId="77777777" w:rsidR="006F1E4E" w:rsidRPr="004E5CDC" w:rsidRDefault="006F1E4E" w:rsidP="006F1E4E">
      <w:pPr>
        <w:spacing w:line="240" w:lineRule="auto"/>
        <w:jc w:val="both"/>
        <w:rPr>
          <w:rFonts w:ascii="Cambria" w:eastAsia="Calibri" w:hAnsi="Cambria" w:cs="Times New Roman"/>
          <w:sz w:val="24"/>
          <w:szCs w:val="24"/>
          <w:lang w:val="sr-Latn-RS"/>
        </w:rPr>
      </w:pPr>
      <w:r w:rsidRPr="004E5CDC">
        <w:rPr>
          <w:rFonts w:ascii="Cambria" w:eastAsia="Calibri" w:hAnsi="Cambria" w:cs="Times New Roman"/>
          <w:b/>
          <w:sz w:val="24"/>
          <w:szCs w:val="24"/>
          <w:lang w:val="sr-Latn-RS"/>
        </w:rPr>
        <w:t xml:space="preserve">4) </w:t>
      </w:r>
      <w:r w:rsidRPr="004E5CDC">
        <w:rPr>
          <w:rFonts w:ascii="Cambria" w:eastAsia="Calibri" w:hAnsi="Cambria" w:cs="Times New Roman"/>
          <w:b/>
          <w:sz w:val="24"/>
          <w:szCs w:val="24"/>
          <w:u w:val="single"/>
          <w:lang w:val="sr-Latn-RS"/>
        </w:rPr>
        <w:t>Uvođenje akcize na proizvode od šećera, kakaoa i sladoled</w:t>
      </w:r>
      <w:r w:rsidRPr="004E5CDC">
        <w:rPr>
          <w:rFonts w:ascii="Cambria" w:eastAsia="Calibri" w:hAnsi="Cambria" w:cs="Times New Roman"/>
          <w:sz w:val="24"/>
          <w:szCs w:val="24"/>
          <w:lang w:val="sr-Latn-RS"/>
        </w:rPr>
        <w:t>:</w:t>
      </w:r>
    </w:p>
    <w:p w14:paraId="16ED5B76" w14:textId="13B47EE8" w:rsidR="006F1E4E" w:rsidRPr="004E5CDC" w:rsidRDefault="006F1E4E" w:rsidP="006F1E4E">
      <w:pPr>
        <w:spacing w:line="240" w:lineRule="auto"/>
        <w:jc w:val="both"/>
        <w:rPr>
          <w:rFonts w:ascii="Cambria" w:eastAsia="Calibri" w:hAnsi="Cambria" w:cs="Times New Roman"/>
          <w:sz w:val="24"/>
          <w:szCs w:val="24"/>
          <w:lang w:val="sr-Latn-RS"/>
        </w:rPr>
      </w:pPr>
      <w:r w:rsidRPr="004E5CDC">
        <w:rPr>
          <w:rFonts w:ascii="Cambria" w:eastAsia="Calibri" w:hAnsi="Cambria" w:cs="Times New Roman"/>
          <w:sz w:val="24"/>
          <w:szCs w:val="24"/>
          <w:lang w:val="sr-Latn-RS"/>
        </w:rPr>
        <w:t>Kako je šećerna bolest jedna od najčešćih metaboličkih bolesti savremenog života, a Crna Gora je prema podacima iz registra za dijabetes koji se vodi u Institutu za javno zdravlje sa učestalošću ove bolesti sa 12%</w:t>
      </w:r>
      <w:r w:rsidR="009C669F" w:rsidRPr="004E5CDC">
        <w:rPr>
          <w:rFonts w:ascii="Cambria" w:eastAsia="Calibri" w:hAnsi="Cambria" w:cs="Times New Roman"/>
          <w:sz w:val="24"/>
          <w:szCs w:val="24"/>
          <w:lang w:val="sr-Latn-RS"/>
        </w:rPr>
        <w:t>,</w:t>
      </w:r>
      <w:r w:rsidRPr="004E5CDC">
        <w:rPr>
          <w:rFonts w:ascii="Cambria" w:eastAsia="Calibri" w:hAnsi="Cambria" w:cs="Times New Roman"/>
          <w:sz w:val="24"/>
          <w:szCs w:val="24"/>
          <w:lang w:val="sr-Latn-RS"/>
        </w:rPr>
        <w:t xml:space="preserve"> u samom evropskom vrhu, kroz mehanizam oporezivanja proizvoda koji sadrže šećere planirano je smanjenje negativnog trenda, a planirana sredstva koja se ubiraju po ovom osnovu biće iskorišćena za unapređenje zdravstvenog sistema. U tom cilju, pored planiranog povećanja akcize na gazirana i negazirana pića sa dodatkom šećera ili drugih sredstava za zaslađivanje ili aromatizaciju predlaže se i uvođenje nove akcize na slatkiše i sladoled koja će iznositi 0,5€/kg. </w:t>
      </w:r>
    </w:p>
    <w:p w14:paraId="2ADA8952" w14:textId="77777777" w:rsidR="006F1E4E" w:rsidRPr="004E5CDC" w:rsidRDefault="006F1E4E" w:rsidP="006F1E4E">
      <w:pPr>
        <w:spacing w:line="240" w:lineRule="auto"/>
        <w:jc w:val="both"/>
        <w:rPr>
          <w:rFonts w:ascii="Cambria" w:eastAsia="Calibri" w:hAnsi="Cambria" w:cs="Times New Roman"/>
          <w:b/>
          <w:sz w:val="24"/>
          <w:szCs w:val="24"/>
          <w:u w:val="single"/>
          <w:lang w:val="sr-Latn-RS"/>
        </w:rPr>
      </w:pPr>
      <w:r w:rsidRPr="004E5CDC">
        <w:rPr>
          <w:rFonts w:ascii="Cambria" w:eastAsia="Calibri" w:hAnsi="Cambria" w:cs="Times New Roman"/>
          <w:b/>
          <w:sz w:val="24"/>
          <w:szCs w:val="24"/>
          <w:u w:val="single"/>
          <w:lang w:val="sr-Latn-RS"/>
        </w:rPr>
        <w:t>Fiskalni efekat:</w:t>
      </w:r>
      <w:r w:rsidRPr="004E5CDC">
        <w:rPr>
          <w:rFonts w:ascii="Cambria" w:eastAsia="Calibri" w:hAnsi="Cambria" w:cs="Times New Roman"/>
          <w:sz w:val="24"/>
          <w:szCs w:val="24"/>
          <w:lang w:val="sr-Latn-RS"/>
        </w:rPr>
        <w:t xml:space="preserve"> </w:t>
      </w:r>
      <w:r w:rsidR="009C669F" w:rsidRPr="004E5CDC">
        <w:rPr>
          <w:rFonts w:ascii="Cambria" w:eastAsia="Calibri" w:hAnsi="Cambria" w:cs="Times New Roman"/>
          <w:i/>
          <w:sz w:val="24"/>
          <w:szCs w:val="24"/>
          <w:lang w:val="sr-Latn-RS"/>
        </w:rPr>
        <w:t>Procijenjeni g</w:t>
      </w:r>
      <w:r w:rsidRPr="004E5CDC">
        <w:rPr>
          <w:rFonts w:ascii="Cambria" w:eastAsia="Calibri" w:hAnsi="Cambria" w:cs="Times New Roman"/>
          <w:i/>
          <w:sz w:val="24"/>
          <w:szCs w:val="24"/>
          <w:lang w:val="sr-Latn-RS"/>
        </w:rPr>
        <w:t xml:space="preserve">odišnji fiskalni efekat uvođenja akcize na proizvode od šećera, kakaoa i sladoleda iznosiće oko </w:t>
      </w:r>
      <w:r w:rsidRPr="004E5CDC">
        <w:rPr>
          <w:rFonts w:ascii="Cambria" w:eastAsia="Calibri" w:hAnsi="Cambria" w:cs="Times New Roman"/>
          <w:b/>
          <w:i/>
          <w:sz w:val="24"/>
          <w:szCs w:val="24"/>
          <w:u w:val="single"/>
          <w:lang w:val="sr-Latn-RS"/>
        </w:rPr>
        <w:t>5,0 mil.€</w:t>
      </w:r>
      <w:r w:rsidR="00250255">
        <w:rPr>
          <w:rFonts w:ascii="Cambria" w:eastAsia="Calibri" w:hAnsi="Cambria" w:cs="Times New Roman"/>
          <w:b/>
          <w:i/>
          <w:sz w:val="24"/>
          <w:szCs w:val="24"/>
          <w:u w:val="single"/>
          <w:lang w:val="sr-Latn-RS"/>
        </w:rPr>
        <w:t xml:space="preserve"> u 2022. godini</w:t>
      </w:r>
      <w:r w:rsidRPr="004E5CDC">
        <w:rPr>
          <w:rFonts w:ascii="Cambria" w:eastAsia="Calibri" w:hAnsi="Cambria" w:cs="Times New Roman"/>
          <w:b/>
          <w:i/>
          <w:sz w:val="24"/>
          <w:szCs w:val="24"/>
          <w:lang w:val="sr-Latn-RS"/>
        </w:rPr>
        <w:t>.</w:t>
      </w:r>
      <w:r w:rsidRPr="004E5CDC">
        <w:rPr>
          <w:rFonts w:ascii="Cambria" w:eastAsia="Calibri" w:hAnsi="Cambria" w:cs="Times New Roman"/>
          <w:b/>
          <w:sz w:val="24"/>
          <w:szCs w:val="24"/>
          <w:u w:val="single"/>
          <w:lang w:val="sr-Latn-RS"/>
        </w:rPr>
        <w:t xml:space="preserve"> </w:t>
      </w:r>
    </w:p>
    <w:p w14:paraId="1CD2E542" w14:textId="77777777" w:rsidR="006F1E4E" w:rsidRPr="004E5CDC" w:rsidRDefault="006F1E4E" w:rsidP="006F1E4E">
      <w:pPr>
        <w:spacing w:line="240" w:lineRule="auto"/>
        <w:jc w:val="both"/>
        <w:rPr>
          <w:rFonts w:ascii="Cambria" w:eastAsia="Calibri" w:hAnsi="Cambria" w:cs="Times New Roman"/>
          <w:b/>
          <w:sz w:val="24"/>
          <w:szCs w:val="24"/>
          <w:lang w:val="sr-Latn-RS"/>
        </w:rPr>
      </w:pPr>
      <w:r w:rsidRPr="004E5CDC">
        <w:rPr>
          <w:rFonts w:ascii="Cambria" w:eastAsia="Calibri" w:hAnsi="Cambria" w:cs="Times New Roman"/>
          <w:b/>
          <w:sz w:val="24"/>
          <w:szCs w:val="24"/>
          <w:lang w:val="sr-Latn-RS"/>
        </w:rPr>
        <w:t xml:space="preserve">5) </w:t>
      </w:r>
      <w:r w:rsidRPr="004E5CDC">
        <w:rPr>
          <w:rFonts w:ascii="Cambria" w:eastAsia="Calibri" w:hAnsi="Cambria" w:cs="Times New Roman"/>
          <w:b/>
          <w:sz w:val="24"/>
          <w:szCs w:val="24"/>
          <w:u w:val="single"/>
          <w:lang w:val="sr-Latn-RS"/>
        </w:rPr>
        <w:t>Uvođenje akcize na  proizvode od plastike za jednokratnu upotrebu</w:t>
      </w:r>
      <w:r w:rsidRPr="004E5CDC">
        <w:rPr>
          <w:rFonts w:ascii="Cambria" w:eastAsia="Calibri" w:hAnsi="Cambria" w:cs="Times New Roman"/>
          <w:b/>
          <w:sz w:val="24"/>
          <w:szCs w:val="24"/>
          <w:lang w:val="sr-Latn-RS"/>
        </w:rPr>
        <w:t>:</w:t>
      </w:r>
    </w:p>
    <w:p w14:paraId="3D6FA6F8" w14:textId="7B2762DF" w:rsidR="007B6849" w:rsidRDefault="006F1E4E" w:rsidP="006F1E4E">
      <w:pPr>
        <w:jc w:val="both"/>
        <w:rPr>
          <w:rFonts w:ascii="Cambria" w:eastAsia="Calibri" w:hAnsi="Cambria" w:cs="Times New Roman"/>
          <w:sz w:val="24"/>
          <w:szCs w:val="24"/>
          <w:lang w:val="sr-Latn-RS"/>
        </w:rPr>
      </w:pPr>
      <w:r w:rsidRPr="004E5CDC">
        <w:rPr>
          <w:rFonts w:ascii="Cambria" w:eastAsia="Calibri" w:hAnsi="Cambria" w:cs="Times New Roman"/>
          <w:sz w:val="24"/>
          <w:szCs w:val="24"/>
          <w:lang w:val="sr-Latn-RS"/>
        </w:rPr>
        <w:t>U cilju smanjenja negativnih uticaja koje upotreba plastičnih proizvoda za jednokratnu upotrebu ima na životnu sredinu, predlaže se uvođenje akcize za ove proizvode od 1. januara 2022. godine, koja bi se plaćala u iznosu od 0,4 eura po kilogramu ovih proizvoda.</w:t>
      </w:r>
    </w:p>
    <w:p w14:paraId="7FEA7333" w14:textId="77777777" w:rsidR="0076150E" w:rsidRPr="004E5CDC" w:rsidRDefault="00F467D7" w:rsidP="00147BF5">
      <w:pPr>
        <w:jc w:val="both"/>
        <w:rPr>
          <w:rFonts w:ascii="Cambria" w:hAnsi="Cambria"/>
          <w:b/>
          <w:caps/>
          <w:color w:val="1481AB" w:themeColor="accent1" w:themeShade="BF"/>
          <w:sz w:val="26"/>
          <w:szCs w:val="26"/>
          <w:lang w:val="sr-Latn-RS"/>
        </w:rPr>
      </w:pPr>
      <w:r>
        <w:rPr>
          <w:rFonts w:ascii="Cambria" w:hAnsi="Cambria"/>
          <w:b/>
          <w:caps/>
          <w:color w:val="1481AB" w:themeColor="accent1" w:themeShade="BF"/>
          <w:sz w:val="26"/>
          <w:szCs w:val="26"/>
          <w:lang w:val="sr-Latn-RS"/>
        </w:rPr>
        <w:t xml:space="preserve">2. </w:t>
      </w:r>
      <w:r w:rsidR="0076150E" w:rsidRPr="004E5CDC">
        <w:rPr>
          <w:rFonts w:ascii="Cambria" w:hAnsi="Cambria"/>
          <w:b/>
          <w:caps/>
          <w:color w:val="1481AB" w:themeColor="accent1" w:themeShade="BF"/>
          <w:sz w:val="26"/>
          <w:szCs w:val="26"/>
          <w:lang w:val="sr-Latn-RS"/>
        </w:rPr>
        <w:t>PREDLOG ZAKONA O IZMJENAMA I DOPUNAMA ZAKONA O POREZU NA DOHODAK FIZIČKIH LICA</w:t>
      </w:r>
      <w:r>
        <w:rPr>
          <w:rFonts w:ascii="Cambria" w:hAnsi="Cambria"/>
          <w:b/>
          <w:caps/>
          <w:color w:val="1481AB" w:themeColor="accent1" w:themeShade="BF"/>
          <w:sz w:val="26"/>
          <w:szCs w:val="26"/>
          <w:lang w:val="sr-Latn-RS"/>
        </w:rPr>
        <w:t xml:space="preserve"> </w:t>
      </w:r>
    </w:p>
    <w:p w14:paraId="402FE512" w14:textId="77777777"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b/>
          <w:sz w:val="24"/>
          <w:szCs w:val="24"/>
          <w:lang w:val="sr-Latn-RS"/>
        </w:rPr>
        <w:t>1) Dualni sistem oporezivanja dohotka fizičkih lica:</w:t>
      </w:r>
    </w:p>
    <w:p w14:paraId="0873BA62" w14:textId="77777777"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 xml:space="preserve">Dualni sistem oporezivanja dohotka, koji će prvi put biti uveden u poreski sistem Crne Gore, podrazumijeva proporcionalno i progresivno oporezivanje, u zavisnosti od izvora dohotka. </w:t>
      </w:r>
    </w:p>
    <w:p w14:paraId="5AC20915" w14:textId="77777777"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Predlaže se uvođenje neoporezivog dijela zarade do 700€ oporezivog dohotka, uz propisivanje progresivnih stopa poreza na dohodak fizičkih lica na iznos veći od 700€ (za dohodak u rasponu od 700,01€ do 1.000,00€ predlaže se stopa od 9%, a za dohodak veći od 1.000,01€ predlaže se stopa od 15%). Neoporezivi dio zarade i progresivne stope se predlažu za prihode ostvarene po osnovu:</w:t>
      </w:r>
    </w:p>
    <w:p w14:paraId="60E34F68" w14:textId="6CFBE7F7" w:rsidR="00001210" w:rsidRPr="00001210" w:rsidRDefault="00001210" w:rsidP="00001210">
      <w:pPr>
        <w:pStyle w:val="ListParagraph"/>
        <w:numPr>
          <w:ilvl w:val="0"/>
          <w:numId w:val="22"/>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ličnih primanja, i</w:t>
      </w:r>
    </w:p>
    <w:p w14:paraId="0B6A2E63" w14:textId="5D5530D8" w:rsidR="00001210" w:rsidRPr="00001210" w:rsidRDefault="00001210" w:rsidP="00001210">
      <w:pPr>
        <w:pStyle w:val="ListParagraph"/>
        <w:numPr>
          <w:ilvl w:val="0"/>
          <w:numId w:val="22"/>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samostalne djelatnosti, uz izuzimanje prihoda ostvarenih od ugovora o djelu i drugih samostalnih djelatnosti u skladu sa Zakonom.</w:t>
      </w:r>
    </w:p>
    <w:p w14:paraId="03824B22" w14:textId="77777777"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Proporcionalno oporezivanje će, uz izmjenu stope poreza sa 9% na 15%, biti zadržano za dohodak od sljedećih izvora prihoda:</w:t>
      </w:r>
    </w:p>
    <w:p w14:paraId="38890F8C" w14:textId="7B74EB0B" w:rsidR="00001210" w:rsidRPr="00001210" w:rsidRDefault="00001210" w:rsidP="00001210">
      <w:pPr>
        <w:pStyle w:val="ListParagraph"/>
        <w:numPr>
          <w:ilvl w:val="0"/>
          <w:numId w:val="23"/>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imovine,</w:t>
      </w:r>
    </w:p>
    <w:p w14:paraId="7D265089" w14:textId="389D0E0C" w:rsidR="00001210" w:rsidRPr="00001210" w:rsidRDefault="00001210" w:rsidP="00001210">
      <w:pPr>
        <w:pStyle w:val="ListParagraph"/>
        <w:numPr>
          <w:ilvl w:val="0"/>
          <w:numId w:val="23"/>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kapitala,</w:t>
      </w:r>
    </w:p>
    <w:p w14:paraId="41ECA070" w14:textId="40241070" w:rsidR="00001210" w:rsidRPr="00001210" w:rsidRDefault="00001210" w:rsidP="00001210">
      <w:pPr>
        <w:pStyle w:val="ListParagraph"/>
        <w:numPr>
          <w:ilvl w:val="0"/>
          <w:numId w:val="23"/>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kapitalnih dobitaka,</w:t>
      </w:r>
    </w:p>
    <w:p w14:paraId="2DD3CE84" w14:textId="28544134" w:rsidR="00001210" w:rsidRPr="00001210" w:rsidRDefault="00001210" w:rsidP="00001210">
      <w:pPr>
        <w:pStyle w:val="ListParagraph"/>
        <w:numPr>
          <w:ilvl w:val="0"/>
          <w:numId w:val="23"/>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prihoda od sportske djelatnosti,</w:t>
      </w:r>
    </w:p>
    <w:p w14:paraId="59712260" w14:textId="58570ABD" w:rsidR="00001210" w:rsidRPr="00001210" w:rsidRDefault="00001210" w:rsidP="00001210">
      <w:pPr>
        <w:pStyle w:val="ListParagraph"/>
        <w:numPr>
          <w:ilvl w:val="0"/>
          <w:numId w:val="23"/>
        </w:num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lastRenderedPageBreak/>
        <w:t>prihoda od autorskih i srodnih prava, patenta, žiga i prihoda samostalnih stručnjaka u kulturi.</w:t>
      </w:r>
    </w:p>
    <w:p w14:paraId="6440A0AD" w14:textId="77777777"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b/>
          <w:sz w:val="24"/>
          <w:szCs w:val="24"/>
          <w:lang w:val="sr-Latn-RS"/>
        </w:rPr>
        <w:t>2) Jačanje poreske discipline poreskih obveznika:</w:t>
      </w:r>
    </w:p>
    <w:p w14:paraId="0BEE0105" w14:textId="4653CD21" w:rsidR="00001210" w:rsidRP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Predlaže se uvođenje obaveze poslodavca da izvještaj o obračunatom i plaćenom porezu na dohodak fizičkih lica dostavi poreskom organu do 15. u tekućem za prethodni mjesec, uz propisivanje kaznenih odredbi za poreske obveznike koji ne poštuju zakonske obaveze. Osnovni ciljevi predložene norme su jačanje poreske discipline i poboljšanje evidencije Uprave prihoda i carina o obračunu i plaćanju po</w:t>
      </w:r>
      <w:r>
        <w:rPr>
          <w:rFonts w:ascii="Cambria" w:eastAsia="Calibri" w:hAnsi="Cambria" w:cs="Times New Roman"/>
          <w:sz w:val="24"/>
          <w:szCs w:val="24"/>
          <w:lang w:val="sr-Latn-RS"/>
        </w:rPr>
        <w:t xml:space="preserve">reza na dohodak fizičkih lica. </w:t>
      </w:r>
    </w:p>
    <w:p w14:paraId="44A9D024" w14:textId="77777777" w:rsidR="00001210" w:rsidRPr="00001210" w:rsidRDefault="00001210" w:rsidP="00001210">
      <w:pPr>
        <w:jc w:val="both"/>
        <w:rPr>
          <w:rFonts w:ascii="Cambria" w:eastAsia="Calibri" w:hAnsi="Cambria" w:cs="Times New Roman"/>
          <w:b/>
          <w:sz w:val="24"/>
          <w:szCs w:val="24"/>
          <w:lang w:val="sr-Latn-RS"/>
        </w:rPr>
      </w:pPr>
      <w:r w:rsidRPr="00001210">
        <w:rPr>
          <w:rFonts w:ascii="Cambria" w:eastAsia="Calibri" w:hAnsi="Cambria" w:cs="Times New Roman"/>
          <w:b/>
          <w:sz w:val="24"/>
          <w:szCs w:val="24"/>
          <w:lang w:val="sr-Latn-RS"/>
        </w:rPr>
        <w:t>3) Oslobođenja od plaćanja poreza na dohodak za određene kategorije obveznika:</w:t>
      </w:r>
    </w:p>
    <w:p w14:paraId="21A20847" w14:textId="77777777" w:rsidR="00001210" w:rsidRDefault="00001210" w:rsidP="00001210">
      <w:pPr>
        <w:jc w:val="both"/>
        <w:rPr>
          <w:rFonts w:ascii="Cambria" w:eastAsia="Calibri" w:hAnsi="Cambria" w:cs="Times New Roman"/>
          <w:sz w:val="24"/>
          <w:szCs w:val="24"/>
          <w:lang w:val="sr-Latn-RS"/>
        </w:rPr>
      </w:pPr>
      <w:r w:rsidRPr="00001210">
        <w:rPr>
          <w:rFonts w:ascii="Cambria" w:eastAsia="Calibri" w:hAnsi="Cambria" w:cs="Times New Roman"/>
          <w:sz w:val="24"/>
          <w:szCs w:val="24"/>
          <w:lang w:val="sr-Latn-RS"/>
        </w:rPr>
        <w:t>Predlaže se da se porez na dohodak fizičkih lica ne plaća na primanja ostvarena po osnovu naučnoistraživačke i inovacione djelatnosti u skladu sa zakonom kojim se propisuju podsticaji za razvoj istraživanja i inovacija. Pored navedenog, predlaže se da se predmetom oporezivanja nerezidenta ne smatra dohodak koji nerezident u Crnoj Gori ostvari od obavljanja posla elektronskim putem od poslodavca koji ne obavlja djelatnost u Crnoj Gori, ukoliko ostvaruje zaradu veću od tri prosječne bruto zarade ostvarene u prethodnoj godini prema podacima organa nadležnog za poslove statistike.</w:t>
      </w:r>
    </w:p>
    <w:p w14:paraId="7D54704C" w14:textId="4AA9B6DC" w:rsidR="001F24EA" w:rsidRPr="004E5CDC" w:rsidRDefault="001F24EA" w:rsidP="001F24EA">
      <w:pPr>
        <w:jc w:val="both"/>
        <w:rPr>
          <w:rFonts w:ascii="Cambria" w:hAnsi="Cambria"/>
          <w:b/>
          <w:caps/>
          <w:color w:val="1481AB" w:themeColor="accent1" w:themeShade="BF"/>
          <w:sz w:val="26"/>
          <w:szCs w:val="26"/>
          <w:lang w:val="sr-Latn-RS"/>
        </w:rPr>
      </w:pPr>
      <w:r w:rsidRPr="004E5CDC">
        <w:rPr>
          <w:rFonts w:ascii="Cambria" w:hAnsi="Cambria"/>
          <w:b/>
          <w:caps/>
          <w:color w:val="1481AB" w:themeColor="accent1" w:themeShade="BF"/>
          <w:sz w:val="26"/>
          <w:szCs w:val="26"/>
          <w:lang w:val="sr-Latn-RS"/>
        </w:rPr>
        <w:t>PREDLOG ZAKONA O IZMJENAMA  I DOPUNI ZAKONA O DOPRINOSIMA ZA OBAVEZNO SOCIJALNO OSIGURANJE</w:t>
      </w:r>
    </w:p>
    <w:p w14:paraId="2B6510D1" w14:textId="77777777" w:rsidR="001F24EA" w:rsidRDefault="001F24EA" w:rsidP="001F24EA">
      <w:pPr>
        <w:jc w:val="both"/>
        <w:rPr>
          <w:rFonts w:ascii="Cambria" w:hAnsi="Cambria"/>
          <w:sz w:val="24"/>
          <w:szCs w:val="24"/>
          <w:lang w:val="sr-Latn-RS"/>
        </w:rPr>
      </w:pPr>
      <w:r>
        <w:rPr>
          <w:rFonts w:ascii="Cambria" w:hAnsi="Cambria"/>
          <w:sz w:val="24"/>
          <w:szCs w:val="24"/>
          <w:lang w:val="sr-Latn-RS"/>
        </w:rPr>
        <w:t>Izmjena i dopuna zakona o doprinosima za obavezno socijalno osiguranje predlaže se u cilju ukidanja doprinosa za zdravstvo na teret poslodavca i teret zaposlenog, kako bi se obezbijedilo smanjenje poreskog opterećenja na rad. Ukidanjem obaveze plaćanja doprinosa za zdravstveno osiguranje, finansiranje zdravstvenog sistema umjesto dosadašnjeg finansiranja preko sistema doprinosa zaposlenih sa jedne i besplatne zdravstvene zaštite</w:t>
      </w:r>
      <w:r w:rsidR="008F534E">
        <w:rPr>
          <w:rFonts w:ascii="Cambria" w:hAnsi="Cambria"/>
          <w:sz w:val="24"/>
          <w:szCs w:val="24"/>
          <w:lang w:val="sr-Latn-RS"/>
        </w:rPr>
        <w:t xml:space="preserve"> sa druge strane</w:t>
      </w:r>
      <w:r>
        <w:rPr>
          <w:rFonts w:ascii="Cambria" w:hAnsi="Cambria"/>
          <w:sz w:val="24"/>
          <w:szCs w:val="24"/>
          <w:lang w:val="sr-Latn-RS"/>
        </w:rPr>
        <w:t>, preuzima na sebe država kroz finansiranje iz opštih prihoda budžeta. Dakle, zadržava se isti obuhvat usluga zdravstvene zaštite, bez prethodne uplate doprinosa.</w:t>
      </w:r>
    </w:p>
    <w:p w14:paraId="5F42E97B" w14:textId="77777777" w:rsidR="001F24EA" w:rsidRPr="004E5CDC" w:rsidRDefault="001F24EA" w:rsidP="001F24EA">
      <w:pPr>
        <w:jc w:val="both"/>
        <w:rPr>
          <w:rFonts w:ascii="Cambria" w:hAnsi="Cambria"/>
          <w:sz w:val="24"/>
          <w:szCs w:val="24"/>
          <w:lang w:val="sr-Latn-RS"/>
        </w:rPr>
      </w:pPr>
      <w:r w:rsidRPr="004E5CDC">
        <w:rPr>
          <w:rFonts w:ascii="Cambria" w:hAnsi="Cambria"/>
          <w:sz w:val="24"/>
          <w:szCs w:val="24"/>
          <w:lang w:val="sr-Latn-RS"/>
        </w:rPr>
        <w:t>Predloženo zakonsko rješenje, odnosno obračun i plaćanje doprinosa za obavezno zdravstveno osiguranje se ukida  od 1. januara 2022. godine</w:t>
      </w:r>
      <w:r>
        <w:rPr>
          <w:rFonts w:ascii="Cambria" w:hAnsi="Cambria"/>
          <w:sz w:val="24"/>
          <w:szCs w:val="24"/>
          <w:lang w:val="sr-Latn-RS"/>
        </w:rPr>
        <w:t>.</w:t>
      </w:r>
    </w:p>
    <w:p w14:paraId="2503FF6F" w14:textId="68CD440A" w:rsidR="001F24EA" w:rsidRPr="005E4F4E" w:rsidRDefault="008A0C86" w:rsidP="008A0C86">
      <w:pPr>
        <w:spacing w:line="240" w:lineRule="auto"/>
        <w:jc w:val="both"/>
        <w:rPr>
          <w:rFonts w:ascii="Cambria" w:eastAsia="Calibri" w:hAnsi="Cambria" w:cs="Times New Roman"/>
          <w:sz w:val="24"/>
          <w:szCs w:val="24"/>
          <w:lang w:val="sr-Latn-ME"/>
        </w:rPr>
      </w:pPr>
      <w:r w:rsidRPr="008A0C86">
        <w:rPr>
          <w:rFonts w:ascii="Cambria" w:eastAsia="Calibri" w:hAnsi="Cambria" w:cs="Times New Roman"/>
          <w:b/>
          <w:sz w:val="24"/>
          <w:szCs w:val="24"/>
          <w:lang w:val="sr-Latn-RS"/>
        </w:rPr>
        <w:t>Fisk</w:t>
      </w:r>
      <w:r w:rsidR="001F24EA" w:rsidRPr="008A0C86">
        <w:rPr>
          <w:rFonts w:ascii="Cambria" w:eastAsia="Calibri" w:hAnsi="Cambria" w:cs="Times New Roman"/>
          <w:b/>
          <w:sz w:val="24"/>
          <w:szCs w:val="24"/>
          <w:lang w:val="sr-Latn-RS"/>
        </w:rPr>
        <w:t>a</w:t>
      </w:r>
      <w:r w:rsidRPr="008A0C86">
        <w:rPr>
          <w:rFonts w:ascii="Cambria" w:eastAsia="Calibri" w:hAnsi="Cambria" w:cs="Times New Roman"/>
          <w:b/>
          <w:sz w:val="24"/>
          <w:szCs w:val="24"/>
          <w:lang w:val="sr-Latn-RS"/>
        </w:rPr>
        <w:t>l</w:t>
      </w:r>
      <w:r>
        <w:rPr>
          <w:rFonts w:ascii="Cambria" w:eastAsia="Calibri" w:hAnsi="Cambria" w:cs="Times New Roman"/>
          <w:b/>
          <w:sz w:val="24"/>
          <w:szCs w:val="24"/>
          <w:lang w:val="sr-Latn-RS"/>
        </w:rPr>
        <w:t>ni efekat po osnovu ova dva zakonska rješenja:</w:t>
      </w:r>
      <w:r w:rsidR="001F24EA" w:rsidRPr="008A0C86">
        <w:rPr>
          <w:rFonts w:ascii="Cambria" w:eastAsia="Calibri" w:hAnsi="Cambria" w:cs="Times New Roman"/>
          <w:sz w:val="24"/>
          <w:szCs w:val="24"/>
          <w:lang w:val="sr-Latn-RS"/>
        </w:rPr>
        <w:t xml:space="preserve"> </w:t>
      </w:r>
      <w:r w:rsidRPr="008A0C86">
        <w:rPr>
          <w:rFonts w:ascii="Cambria" w:eastAsia="Calibri" w:hAnsi="Cambria" w:cs="Times New Roman"/>
          <w:i/>
          <w:sz w:val="24"/>
          <w:szCs w:val="24"/>
          <w:lang w:val="sr-Latn-RS"/>
        </w:rPr>
        <w:t xml:space="preserve">Procijenjeni neto fiskalni efekat u 2022. godini </w:t>
      </w:r>
      <w:r w:rsidRPr="008F534E">
        <w:rPr>
          <w:rFonts w:ascii="Cambria" w:eastAsia="Calibri" w:hAnsi="Cambria" w:cs="Times New Roman"/>
          <w:i/>
          <w:sz w:val="24"/>
          <w:szCs w:val="24"/>
          <w:lang w:val="sr-Latn-RS"/>
        </w:rPr>
        <w:t xml:space="preserve">iznosi </w:t>
      </w:r>
      <w:r w:rsidR="000C2CAF">
        <w:rPr>
          <w:rFonts w:ascii="Cambria" w:eastAsia="Calibri" w:hAnsi="Cambria" w:cs="Times New Roman"/>
          <w:i/>
          <w:sz w:val="24"/>
          <w:szCs w:val="24"/>
          <w:lang w:val="sr-Latn-RS"/>
        </w:rPr>
        <w:t>-</w:t>
      </w:r>
      <w:r w:rsidR="004F6654">
        <w:rPr>
          <w:rFonts w:ascii="Cambria" w:eastAsia="Calibri" w:hAnsi="Cambria" w:cs="Times New Roman"/>
          <w:b/>
          <w:i/>
          <w:sz w:val="24"/>
          <w:szCs w:val="24"/>
          <w:u w:val="single"/>
          <w:lang w:val="sr-Latn-RS"/>
        </w:rPr>
        <w:t>13</w:t>
      </w:r>
      <w:r w:rsidR="00C22E56">
        <w:rPr>
          <w:rFonts w:ascii="Cambria" w:eastAsia="Calibri" w:hAnsi="Cambria" w:cs="Times New Roman"/>
          <w:b/>
          <w:i/>
          <w:sz w:val="24"/>
          <w:szCs w:val="24"/>
          <w:u w:val="single"/>
          <w:lang w:val="sr-Latn-RS"/>
        </w:rPr>
        <w:t>7,3</w:t>
      </w:r>
      <w:r w:rsidRPr="008F534E">
        <w:rPr>
          <w:rFonts w:ascii="Cambria" w:eastAsia="Calibri" w:hAnsi="Cambria" w:cs="Times New Roman"/>
          <w:b/>
          <w:i/>
          <w:sz w:val="24"/>
          <w:szCs w:val="24"/>
          <w:u w:val="single"/>
          <w:lang w:val="sr-Latn-RS"/>
        </w:rPr>
        <w:t xml:space="preserve"> mil. €</w:t>
      </w:r>
      <w:r w:rsidR="005E4F4E">
        <w:rPr>
          <w:rFonts w:ascii="Cambria" w:eastAsia="Calibri" w:hAnsi="Cambria" w:cs="Times New Roman"/>
          <w:i/>
          <w:sz w:val="24"/>
          <w:szCs w:val="24"/>
          <w:lang w:val="sr-Latn-RS"/>
        </w:rPr>
        <w:t xml:space="preserve">, pri </w:t>
      </w:r>
      <w:r w:rsidR="005E4F4E">
        <w:rPr>
          <w:rFonts w:ascii="Cambria" w:eastAsia="Calibri" w:hAnsi="Cambria" w:cs="Times New Roman"/>
          <w:i/>
          <w:sz w:val="24"/>
          <w:szCs w:val="24"/>
          <w:lang w:val="sr-Latn-ME"/>
        </w:rPr>
        <w:t>čemu se isti prevashodno odnosi na smanjenje prihoda Budžeta po ovom osnovu.</w:t>
      </w:r>
    </w:p>
    <w:p w14:paraId="256B0072" w14:textId="77777777" w:rsidR="00147BF5" w:rsidRPr="008A0C86" w:rsidRDefault="00147BF5" w:rsidP="00147BF5">
      <w:pPr>
        <w:rPr>
          <w:rFonts w:ascii="Cambria" w:hAnsi="Cambria"/>
          <w:b/>
          <w:lang w:val="sr-Latn-RS"/>
        </w:rPr>
      </w:pPr>
      <w:r w:rsidRPr="008A0C86">
        <w:rPr>
          <w:rFonts w:ascii="Cambria" w:hAnsi="Cambria"/>
          <w:b/>
          <w:caps/>
          <w:lang w:val="sr-Latn-RS"/>
        </w:rPr>
        <w:t>Uticaj na budžetske PRIHODE</w:t>
      </w:r>
      <w:r w:rsidRPr="008A0C86">
        <w:rPr>
          <w:rFonts w:ascii="Cambria" w:hAnsi="Cambria"/>
          <w:b/>
          <w:lang w:val="sr-Latn-RS"/>
        </w:rPr>
        <w:t>:</w:t>
      </w:r>
    </w:p>
    <w:p w14:paraId="14FCD4F5" w14:textId="77777777" w:rsidR="00147BF5" w:rsidRPr="004E5CDC" w:rsidRDefault="008A0C86" w:rsidP="008A0C86">
      <w:pPr>
        <w:jc w:val="both"/>
        <w:rPr>
          <w:rFonts w:ascii="Cambria" w:hAnsi="Cambria"/>
          <w:b/>
          <w:sz w:val="24"/>
          <w:szCs w:val="24"/>
          <w:lang w:val="sr-Latn-RS"/>
        </w:rPr>
      </w:pPr>
      <w:r>
        <w:rPr>
          <w:rFonts w:ascii="Cambria" w:hAnsi="Cambria"/>
          <w:b/>
          <w:sz w:val="24"/>
          <w:szCs w:val="24"/>
          <w:lang w:val="sr-Latn-RS"/>
        </w:rPr>
        <w:t xml:space="preserve">Smanjenje poreskog opterećenja na rad i povećanje minimalne zarade uticaće na smanjenje prihoda Budžeta u 2022. godini za </w:t>
      </w:r>
      <w:r w:rsidR="00C22E56">
        <w:rPr>
          <w:rFonts w:ascii="Cambria" w:hAnsi="Cambria"/>
          <w:b/>
          <w:sz w:val="24"/>
          <w:szCs w:val="24"/>
          <w:lang w:val="sr-Latn-RS"/>
        </w:rPr>
        <w:t>125,0</w:t>
      </w:r>
      <w:r>
        <w:rPr>
          <w:rFonts w:ascii="Cambria" w:hAnsi="Cambria"/>
          <w:b/>
          <w:sz w:val="24"/>
          <w:szCs w:val="24"/>
          <w:lang w:val="sr-Latn-RS"/>
        </w:rPr>
        <w:t xml:space="preserve"> mil. €.</w:t>
      </w:r>
    </w:p>
    <w:p w14:paraId="42826FAE" w14:textId="77777777" w:rsidR="00147BF5" w:rsidRPr="004E5CDC" w:rsidRDefault="00147BF5" w:rsidP="00147BF5">
      <w:pPr>
        <w:rPr>
          <w:rFonts w:ascii="Cambria" w:hAnsi="Cambria"/>
          <w:sz w:val="24"/>
          <w:szCs w:val="24"/>
          <w:lang w:val="sr-Latn-RS"/>
        </w:rPr>
      </w:pPr>
      <w:r w:rsidRPr="004E5CDC">
        <w:rPr>
          <w:rFonts w:ascii="Cambria" w:hAnsi="Cambria"/>
          <w:sz w:val="24"/>
          <w:szCs w:val="24"/>
          <w:lang w:val="sr-Latn-RS"/>
        </w:rPr>
        <w:t>Smanjenje prihoda Budžeta ostvaruje se po osnovu:</w:t>
      </w:r>
    </w:p>
    <w:p w14:paraId="2103344A" w14:textId="77777777" w:rsidR="00147BF5" w:rsidRPr="004E5CDC" w:rsidRDefault="00147BF5" w:rsidP="008A0C86">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ukidanja obaveze plaćanja doprinosa za zdravstveno osiguranje na teret zaposlenog i poslodavca;</w:t>
      </w:r>
    </w:p>
    <w:p w14:paraId="12F9B8B4" w14:textId="77777777" w:rsidR="00147BF5" w:rsidRPr="004E5CDC" w:rsidRDefault="00147BF5" w:rsidP="008A0C86">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uvođenja neoporezivog dijela zarada;</w:t>
      </w:r>
    </w:p>
    <w:p w14:paraId="112F7F40" w14:textId="77777777" w:rsidR="00147BF5" w:rsidRPr="004E5CDC" w:rsidRDefault="00147BF5" w:rsidP="008A0C86">
      <w:pPr>
        <w:pStyle w:val="ListParagraph"/>
        <w:numPr>
          <w:ilvl w:val="0"/>
          <w:numId w:val="3"/>
        </w:numPr>
        <w:jc w:val="both"/>
        <w:rPr>
          <w:rFonts w:ascii="Cambria" w:hAnsi="Cambria"/>
          <w:sz w:val="24"/>
          <w:szCs w:val="24"/>
          <w:lang w:val="sr-Latn-RS"/>
        </w:rPr>
      </w:pPr>
      <w:r w:rsidRPr="004E5CDC">
        <w:rPr>
          <w:rFonts w:ascii="Cambria" w:hAnsi="Cambria"/>
          <w:sz w:val="24"/>
          <w:szCs w:val="24"/>
          <w:lang w:val="sr-Latn-RS"/>
        </w:rPr>
        <w:t>proporcionalnog smanjenja prihoda po osnovu prireza porezu.</w:t>
      </w:r>
    </w:p>
    <w:p w14:paraId="66317405" w14:textId="77777777" w:rsidR="00147BF5" w:rsidRPr="004E5CDC" w:rsidRDefault="00147BF5" w:rsidP="00147BF5">
      <w:pPr>
        <w:rPr>
          <w:rFonts w:ascii="Cambria" w:hAnsi="Cambria"/>
          <w:sz w:val="24"/>
          <w:szCs w:val="24"/>
          <w:lang w:val="sr-Latn-RS"/>
        </w:rPr>
      </w:pPr>
      <w:r w:rsidRPr="004E5CDC">
        <w:rPr>
          <w:rFonts w:ascii="Cambria" w:hAnsi="Cambria"/>
          <w:sz w:val="24"/>
          <w:szCs w:val="24"/>
          <w:lang w:val="sr-Latn-RS"/>
        </w:rPr>
        <w:lastRenderedPageBreak/>
        <w:t>Na drugoj strani, prihodi Budžeta povećavaju se po osnovu:</w:t>
      </w:r>
    </w:p>
    <w:p w14:paraId="123CBF62" w14:textId="77777777" w:rsidR="0054112F" w:rsidRPr="004E5CDC" w:rsidRDefault="0054112F" w:rsidP="0054112F">
      <w:pPr>
        <w:pStyle w:val="ListParagraph"/>
        <w:numPr>
          <w:ilvl w:val="0"/>
          <w:numId w:val="3"/>
        </w:numPr>
        <w:rPr>
          <w:rFonts w:ascii="Cambria" w:hAnsi="Cambria"/>
          <w:b/>
          <w:caps/>
          <w:color w:val="1481AB" w:themeColor="accent1" w:themeShade="BF"/>
          <w:lang w:val="sr-Latn-RS"/>
        </w:rPr>
      </w:pPr>
      <w:r>
        <w:rPr>
          <w:rFonts w:ascii="Cambria" w:hAnsi="Cambria"/>
          <w:sz w:val="24"/>
          <w:szCs w:val="24"/>
          <w:lang w:val="sr-Latn-RS"/>
        </w:rPr>
        <w:t>povećanja minimalne zarade;</w:t>
      </w:r>
    </w:p>
    <w:p w14:paraId="3F86C4BB" w14:textId="77777777" w:rsidR="00147BF5" w:rsidRPr="004E5CDC" w:rsidRDefault="00147BF5" w:rsidP="00147BF5">
      <w:pPr>
        <w:pStyle w:val="ListParagraph"/>
        <w:numPr>
          <w:ilvl w:val="0"/>
          <w:numId w:val="3"/>
        </w:numPr>
        <w:rPr>
          <w:rFonts w:ascii="Cambria" w:hAnsi="Cambria"/>
          <w:sz w:val="24"/>
          <w:szCs w:val="24"/>
          <w:lang w:val="sr-Latn-RS"/>
        </w:rPr>
      </w:pPr>
      <w:r w:rsidRPr="004E5CDC">
        <w:rPr>
          <w:rFonts w:ascii="Cambria" w:hAnsi="Cambria"/>
          <w:sz w:val="24"/>
          <w:szCs w:val="24"/>
          <w:lang w:val="sr-Latn-RS"/>
        </w:rPr>
        <w:t>uvođenja p</w:t>
      </w:r>
      <w:r w:rsidR="0054112F">
        <w:rPr>
          <w:rFonts w:ascii="Cambria" w:hAnsi="Cambria"/>
          <w:sz w:val="24"/>
          <w:szCs w:val="24"/>
          <w:lang w:val="sr-Latn-RS"/>
        </w:rPr>
        <w:t>rogresivnog oporezivanja zarada.</w:t>
      </w:r>
    </w:p>
    <w:p w14:paraId="30360144" w14:textId="77777777" w:rsidR="00147BF5" w:rsidRPr="008A0C86" w:rsidRDefault="00147BF5" w:rsidP="00147BF5">
      <w:pPr>
        <w:rPr>
          <w:rFonts w:ascii="Cambria" w:hAnsi="Cambria"/>
          <w:b/>
          <w:caps/>
          <w:lang w:val="sr-Latn-RS"/>
        </w:rPr>
      </w:pPr>
      <w:r w:rsidRPr="008A0C86">
        <w:rPr>
          <w:rFonts w:ascii="Cambria" w:hAnsi="Cambria"/>
          <w:b/>
          <w:caps/>
          <w:lang w:val="sr-Latn-RS"/>
        </w:rPr>
        <w:t>Uticaj na budžetske rashode:</w:t>
      </w:r>
    </w:p>
    <w:p w14:paraId="22DB648C" w14:textId="5B335A19" w:rsidR="00147BF5" w:rsidRPr="004E5CDC" w:rsidRDefault="008A0C86" w:rsidP="00147BF5">
      <w:pPr>
        <w:rPr>
          <w:rFonts w:ascii="Cambria" w:hAnsi="Cambria"/>
          <w:b/>
          <w:sz w:val="24"/>
          <w:szCs w:val="24"/>
          <w:lang w:val="sr-Latn-RS"/>
        </w:rPr>
      </w:pPr>
      <w:r>
        <w:rPr>
          <w:rFonts w:ascii="Cambria" w:hAnsi="Cambria"/>
          <w:b/>
          <w:sz w:val="24"/>
          <w:szCs w:val="24"/>
          <w:lang w:val="sr-Latn-RS"/>
        </w:rPr>
        <w:t xml:space="preserve">Implementacija ove reforme u 2022. godini uticaće na povećanje rashoda Budžeta u procijenjenom iznosu </w:t>
      </w:r>
      <w:r w:rsidRPr="003A6B7B">
        <w:rPr>
          <w:rFonts w:ascii="Cambria" w:hAnsi="Cambria"/>
          <w:b/>
          <w:sz w:val="24"/>
          <w:szCs w:val="24"/>
          <w:lang w:val="sr-Latn-RS"/>
        </w:rPr>
        <w:t xml:space="preserve">od </w:t>
      </w:r>
      <w:r w:rsidR="008A74C1">
        <w:rPr>
          <w:rFonts w:ascii="Cambria" w:hAnsi="Cambria"/>
          <w:b/>
          <w:sz w:val="24"/>
          <w:szCs w:val="24"/>
          <w:lang w:val="sr-Latn-RS"/>
        </w:rPr>
        <w:t>1</w:t>
      </w:r>
      <w:r w:rsidR="003A6B7B" w:rsidRPr="003A6B7B">
        <w:rPr>
          <w:rFonts w:ascii="Cambria" w:hAnsi="Cambria"/>
          <w:b/>
          <w:sz w:val="24"/>
          <w:szCs w:val="24"/>
          <w:lang w:val="sr-Latn-RS"/>
        </w:rPr>
        <w:t>2,3</w:t>
      </w:r>
      <w:r w:rsidRPr="003A6B7B">
        <w:rPr>
          <w:rFonts w:ascii="Cambria" w:hAnsi="Cambria"/>
          <w:b/>
          <w:sz w:val="24"/>
          <w:szCs w:val="24"/>
          <w:lang w:val="sr-Latn-RS"/>
        </w:rPr>
        <w:t xml:space="preserve"> mil. €.</w:t>
      </w:r>
    </w:p>
    <w:p w14:paraId="55AD1657" w14:textId="77777777" w:rsidR="00147BF5" w:rsidRPr="004E5CDC" w:rsidRDefault="00147BF5" w:rsidP="00147BF5">
      <w:pPr>
        <w:jc w:val="both"/>
        <w:rPr>
          <w:rFonts w:ascii="Cambria" w:hAnsi="Cambria"/>
          <w:sz w:val="24"/>
          <w:szCs w:val="24"/>
          <w:lang w:val="sr-Latn-RS"/>
        </w:rPr>
      </w:pPr>
      <w:r w:rsidRPr="004E5CDC">
        <w:rPr>
          <w:rFonts w:ascii="Cambria" w:hAnsi="Cambria"/>
          <w:sz w:val="24"/>
          <w:szCs w:val="24"/>
          <w:lang w:val="sr-Latn-RS"/>
        </w:rPr>
        <w:t>Kao što je pomenuto u prethodnom poglavlju, država kao poslodavac ostvaruje uštedu po osnovu ukidanja doprinosa za zdravstveno osiguranje na teret poslodavca i prip</w:t>
      </w:r>
      <w:r w:rsidR="007B53D4">
        <w:rPr>
          <w:rFonts w:ascii="Cambria" w:hAnsi="Cambria"/>
          <w:sz w:val="24"/>
          <w:szCs w:val="24"/>
          <w:lang w:val="sr-Latn-RS"/>
        </w:rPr>
        <w:t>adajućeg iznosa prireza porezu.</w:t>
      </w:r>
    </w:p>
    <w:p w14:paraId="6C3EEC62" w14:textId="77777777" w:rsidR="00147BF5" w:rsidRPr="004E5CDC" w:rsidRDefault="00147BF5" w:rsidP="00147BF5">
      <w:pPr>
        <w:jc w:val="both"/>
        <w:rPr>
          <w:rFonts w:ascii="Cambria" w:hAnsi="Cambria"/>
          <w:sz w:val="24"/>
          <w:szCs w:val="24"/>
          <w:lang w:val="sr-Latn-RS"/>
        </w:rPr>
      </w:pPr>
      <w:r w:rsidRPr="004E5CDC">
        <w:rPr>
          <w:rFonts w:ascii="Cambria" w:hAnsi="Cambria"/>
          <w:sz w:val="24"/>
          <w:szCs w:val="24"/>
          <w:lang w:val="sr-Latn-RS"/>
        </w:rPr>
        <w:t xml:space="preserve">Na drugoj strani, dodatni trošak za državu kao poslodavca predstavlja povećanje zarada zaposlenih koji su do sada primali zaradu ispod 450€ (nova MZ). </w:t>
      </w:r>
    </w:p>
    <w:p w14:paraId="44FF5134" w14:textId="3331861F" w:rsidR="00F467D7" w:rsidRDefault="007B53D4" w:rsidP="00F467D7">
      <w:pPr>
        <w:jc w:val="both"/>
        <w:rPr>
          <w:rFonts w:ascii="Cambria" w:hAnsi="Cambria"/>
          <w:sz w:val="24"/>
          <w:szCs w:val="24"/>
          <w:lang w:val="sr-Latn-RS"/>
        </w:rPr>
      </w:pPr>
      <w:r>
        <w:rPr>
          <w:rFonts w:ascii="Cambria" w:hAnsi="Cambria"/>
          <w:sz w:val="24"/>
          <w:szCs w:val="24"/>
          <w:lang w:val="sr-Latn-RS"/>
        </w:rPr>
        <w:t>Sredstva neophodna po osnovu usklađivanja svih prava sa prosječnom odnosno minimalnom zaradom procijenjena su na iznos od 1</w:t>
      </w:r>
      <w:r w:rsidR="008A74C1">
        <w:rPr>
          <w:rFonts w:ascii="Cambria" w:hAnsi="Cambria"/>
          <w:sz w:val="24"/>
          <w:szCs w:val="24"/>
          <w:lang w:val="sr-Latn-RS"/>
        </w:rPr>
        <w:t>3</w:t>
      </w:r>
      <w:r>
        <w:rPr>
          <w:rFonts w:ascii="Cambria" w:hAnsi="Cambria"/>
          <w:sz w:val="24"/>
          <w:szCs w:val="24"/>
          <w:lang w:val="sr-Latn-RS"/>
        </w:rPr>
        <w:t xml:space="preserve"> mil. €.</w:t>
      </w:r>
    </w:p>
    <w:p w14:paraId="11DB1D6C" w14:textId="77777777" w:rsidR="0076150E" w:rsidRPr="00F467D7" w:rsidRDefault="00F467D7" w:rsidP="00F467D7">
      <w:pPr>
        <w:jc w:val="both"/>
        <w:rPr>
          <w:rFonts w:ascii="Cambria" w:hAnsi="Cambria"/>
          <w:sz w:val="24"/>
          <w:szCs w:val="24"/>
          <w:lang w:val="sr-Latn-RS"/>
        </w:rPr>
      </w:pPr>
      <w:r w:rsidRPr="00F467D7">
        <w:rPr>
          <w:rFonts w:ascii="Cambria" w:hAnsi="Cambria"/>
          <w:b/>
          <w:caps/>
          <w:color w:val="1481AB" w:themeColor="accent1" w:themeShade="BF"/>
          <w:sz w:val="26"/>
          <w:szCs w:val="26"/>
          <w:lang w:val="sr-Latn-RS"/>
        </w:rPr>
        <w:t xml:space="preserve">3. </w:t>
      </w:r>
      <w:r w:rsidR="0076150E" w:rsidRPr="00F467D7">
        <w:rPr>
          <w:rFonts w:ascii="Cambria" w:hAnsi="Cambria"/>
          <w:b/>
          <w:caps/>
          <w:color w:val="1481AB" w:themeColor="accent1" w:themeShade="BF"/>
          <w:sz w:val="26"/>
          <w:szCs w:val="26"/>
          <w:lang w:val="sr-Latn-RS"/>
        </w:rPr>
        <w:t>PREDLOG ZAKONA O REPROGRAMU PORESKOG POTRAŽIVANJA</w:t>
      </w:r>
    </w:p>
    <w:p w14:paraId="225F18B7"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Primjenom predloženog zakona stvaraju se uslovi za stimulisanje svih poreskih obveznika da uplate poresku obavezu, čime će se  obezbijediti  redovnost u izmirivanju prihoda, a ujedno i relaksiranje poreskih obveznika od dodatnog zaduživanja u cilju izmirivanja poreske obaveze. Takođe, usvajanjem ovog zakona doprinijeće se poboljšanju naplate značajnih iznosa neizmirenih poreskih obaveza i poreske discipline poreskih obveznika s jedne strane, a povećanju budžetski prihoda s druge strane.</w:t>
      </w:r>
    </w:p>
    <w:p w14:paraId="3543EB5D"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Navedenim Predlogom zakona predviđeno je da se poreskim i neporeskim potraživanjima, koji se mogu odložiti, smatraju: porez na dobit pravnih lica, porez na dohodak fizičkih lica, porez na dodatu vrijednost, doprinosi za obavezno penzijsko i invalidsko osiguranje, doprinosi za obavezno zdravstveno osiguranje, doprinosi za osiguranje za slučaj nezaposlenosti, doprinosi Fondu rada, koncesione naknade, porez na promet nepokretnosti i porez na kafu.</w:t>
      </w:r>
    </w:p>
    <w:p w14:paraId="09A9222F"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 xml:space="preserve">Prema važećim poreskim propisima, crnogorski poreski obveznici sa neizmirenim poreskim dugom u obavezi su da osim duga plate i zateznu kamatu. Predloženim propisom predviđa se mogućnost odricanja od strane države naplate zatezne kamate na sve dugove poreskog obveznika, a samo plaćanje poreskog duga se dodatno odlaže. </w:t>
      </w:r>
    </w:p>
    <w:p w14:paraId="38911EEB"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 xml:space="preserve">Javni poziv za reprogram poreskog potraživanja raspisuje Ministarstvo finansija i socijalnog staranja, a postupak po javnom pozivu sprovodi i o reprogramu poreskog potraživanja odlučuje poreski organ.  </w:t>
      </w:r>
    </w:p>
    <w:p w14:paraId="325BFFE7"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Poreski organ će odobriti produženje roka za plaćanje poreza u skladu sa sljedećim kriterijumima:</w:t>
      </w:r>
    </w:p>
    <w:p w14:paraId="0E75154A" w14:textId="77777777" w:rsidR="00A8461F" w:rsidRPr="00A8461F" w:rsidRDefault="00A8461F" w:rsidP="00A8461F">
      <w:pPr>
        <w:pStyle w:val="ListParagraph"/>
        <w:numPr>
          <w:ilvl w:val="0"/>
          <w:numId w:val="24"/>
        </w:numPr>
        <w:spacing w:after="120" w:line="276" w:lineRule="auto"/>
        <w:jc w:val="both"/>
        <w:rPr>
          <w:rFonts w:ascii="Cambria" w:hAnsi="Cambria"/>
          <w:sz w:val="24"/>
          <w:szCs w:val="24"/>
          <w:lang w:val="sr-Latn-RS"/>
        </w:rPr>
      </w:pPr>
      <w:r w:rsidRPr="00A8461F">
        <w:rPr>
          <w:rFonts w:ascii="Cambria" w:hAnsi="Cambria"/>
          <w:sz w:val="24"/>
          <w:szCs w:val="24"/>
          <w:lang w:val="sr-Latn-RS"/>
        </w:rPr>
        <w:t>jednokratnu uplatu od 10% od ukupnog iznosa poreskog potraživanja utvrđenog rješenjem o reprogramu,</w:t>
      </w:r>
    </w:p>
    <w:p w14:paraId="3CBE7F97" w14:textId="77777777" w:rsidR="00A8461F" w:rsidRPr="00A8461F" w:rsidRDefault="00A8461F" w:rsidP="00A8461F">
      <w:pPr>
        <w:pStyle w:val="ListParagraph"/>
        <w:numPr>
          <w:ilvl w:val="0"/>
          <w:numId w:val="24"/>
        </w:numPr>
        <w:spacing w:after="120" w:line="276" w:lineRule="auto"/>
        <w:jc w:val="both"/>
        <w:rPr>
          <w:rFonts w:ascii="Cambria" w:hAnsi="Cambria"/>
          <w:sz w:val="24"/>
          <w:szCs w:val="24"/>
          <w:lang w:val="sr-Latn-RS"/>
        </w:rPr>
      </w:pPr>
      <w:r w:rsidRPr="00A8461F">
        <w:rPr>
          <w:rFonts w:ascii="Cambria" w:hAnsi="Cambria"/>
          <w:sz w:val="24"/>
          <w:szCs w:val="24"/>
          <w:lang w:val="sr-Latn-RS"/>
        </w:rPr>
        <w:lastRenderedPageBreak/>
        <w:t>plaćanje poreskog duga prema Zakonu se dijeli na jednake djelove i vrši se barem jednom mjesečno,</w:t>
      </w:r>
    </w:p>
    <w:p w14:paraId="7331972C" w14:textId="77777777" w:rsidR="00A8461F" w:rsidRPr="00A8461F" w:rsidRDefault="00A8461F" w:rsidP="00A8461F">
      <w:pPr>
        <w:pStyle w:val="ListParagraph"/>
        <w:numPr>
          <w:ilvl w:val="0"/>
          <w:numId w:val="24"/>
        </w:numPr>
        <w:spacing w:after="120" w:line="276" w:lineRule="auto"/>
        <w:jc w:val="both"/>
        <w:rPr>
          <w:rFonts w:ascii="Cambria" w:hAnsi="Cambria"/>
          <w:sz w:val="24"/>
          <w:szCs w:val="24"/>
          <w:lang w:val="sr-Latn-RS"/>
        </w:rPr>
      </w:pPr>
      <w:r w:rsidRPr="00A8461F">
        <w:rPr>
          <w:rFonts w:ascii="Cambria" w:hAnsi="Cambria"/>
          <w:sz w:val="24"/>
          <w:szCs w:val="24"/>
          <w:lang w:val="sr-Latn-RS"/>
        </w:rPr>
        <w:t>maksimalni period produžetka plaćanja je 60 mjeseci za sve poreske obveznike,</w:t>
      </w:r>
    </w:p>
    <w:p w14:paraId="50817296" w14:textId="77777777" w:rsidR="00A8461F" w:rsidRPr="00A8461F" w:rsidRDefault="00A8461F" w:rsidP="00A8461F">
      <w:pPr>
        <w:pStyle w:val="ListParagraph"/>
        <w:numPr>
          <w:ilvl w:val="0"/>
          <w:numId w:val="24"/>
        </w:numPr>
        <w:spacing w:after="120" w:line="276" w:lineRule="auto"/>
        <w:jc w:val="both"/>
        <w:rPr>
          <w:rFonts w:ascii="Cambria" w:hAnsi="Cambria"/>
          <w:sz w:val="24"/>
          <w:szCs w:val="24"/>
          <w:lang w:val="sr-Latn-RS"/>
        </w:rPr>
      </w:pPr>
      <w:r w:rsidRPr="00A8461F">
        <w:rPr>
          <w:rFonts w:ascii="Cambria" w:hAnsi="Cambria"/>
          <w:sz w:val="24"/>
          <w:szCs w:val="24"/>
          <w:lang w:val="sr-Latn-RS"/>
        </w:rPr>
        <w:t>Zakonom se utvrđuje minimalni iznos za plaćanje mjesečne rate.</w:t>
      </w:r>
    </w:p>
    <w:p w14:paraId="1115CB39"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U slučaju da poreski obveznik ne izvrši jednokratnu uplatu od 10% od ukupnog iznosa poreskog potraživanja utvrđenog rješenjem o reprogramu poreskog potraživanja u roku od 30 dana, od dana donošenja rješenja, ne plaća redovno mjesečne rate u skladu sa rješenjem o reprogramu poreskog potraživanja ili u periodu za koji je odobren reprogram poreskog potraživanja ne izmiruje redovno tekuće obaveze u skladu sa zakonom, poreski organ će ukinuti rješenje o reprogramu poreskog potraživanja, a puna zatezna kamata će biti vraćena na neizmirenu glavnicu duga (od datuma nastanka osnovnog duga).</w:t>
      </w:r>
    </w:p>
    <w:p w14:paraId="0C21FE4F" w14:textId="77777777" w:rsidR="00A8461F" w:rsidRPr="00A8461F" w:rsidRDefault="00A8461F" w:rsidP="00A8461F">
      <w:pPr>
        <w:spacing w:after="120" w:line="276" w:lineRule="auto"/>
        <w:jc w:val="both"/>
        <w:rPr>
          <w:rFonts w:ascii="Cambria" w:hAnsi="Cambria"/>
          <w:sz w:val="24"/>
          <w:szCs w:val="24"/>
          <w:lang w:val="sr-Latn-RS"/>
        </w:rPr>
      </w:pPr>
      <w:r w:rsidRPr="00A8461F">
        <w:rPr>
          <w:rFonts w:ascii="Cambria" w:hAnsi="Cambria"/>
          <w:sz w:val="24"/>
          <w:szCs w:val="24"/>
          <w:lang w:val="sr-Latn-RS"/>
        </w:rPr>
        <w:t>Poreskim dužnikom ne smatra se: Glavni grad, Prijestonica i opština; poreski dužnik nad kojim je otvoren stečajni postupak, osim ako se stečaj sprovodi reorganizacijom; poreski dužnik kojem je odobren reprogram poreskog potraživanja, u skladu sa propisima o državnoj pomoći; kao i poreski dužnik koji nije podnio sve poreske prijave u skladu sa zakonom.</w:t>
      </w:r>
    </w:p>
    <w:p w14:paraId="1F29D67B" w14:textId="501D8EB3" w:rsidR="0076150E" w:rsidRPr="00796F92" w:rsidRDefault="00A8461F" w:rsidP="00796F92">
      <w:pPr>
        <w:spacing w:after="120" w:line="276" w:lineRule="auto"/>
        <w:jc w:val="both"/>
        <w:rPr>
          <w:rFonts w:ascii="Cambria" w:hAnsi="Cambria"/>
          <w:sz w:val="24"/>
          <w:szCs w:val="24"/>
          <w:lang w:val="sr-Latn-RS"/>
        </w:rPr>
      </w:pPr>
      <w:r w:rsidRPr="00A8461F">
        <w:rPr>
          <w:rFonts w:ascii="Cambria" w:hAnsi="Cambria"/>
          <w:b/>
          <w:sz w:val="24"/>
          <w:szCs w:val="24"/>
          <w:lang w:val="sr-Latn-RS"/>
        </w:rPr>
        <w:t>Fiskalni efekat</w:t>
      </w:r>
      <w:r w:rsidRPr="00A8461F">
        <w:rPr>
          <w:rFonts w:ascii="Cambria" w:hAnsi="Cambria"/>
          <w:sz w:val="24"/>
          <w:szCs w:val="24"/>
          <w:lang w:val="sr-Latn-RS"/>
        </w:rPr>
        <w:t>:</w:t>
      </w:r>
      <w:r>
        <w:rPr>
          <w:rFonts w:ascii="Cambria" w:hAnsi="Cambria"/>
          <w:sz w:val="24"/>
          <w:szCs w:val="24"/>
          <w:lang w:val="sr-Latn-RS"/>
        </w:rPr>
        <w:t xml:space="preserve"> </w:t>
      </w:r>
      <w:r w:rsidRPr="00A8461F">
        <w:rPr>
          <w:rFonts w:ascii="Cambria" w:hAnsi="Cambria"/>
          <w:i/>
          <w:sz w:val="24"/>
          <w:szCs w:val="24"/>
          <w:lang w:val="sr-Latn-RS"/>
        </w:rPr>
        <w:t>Procijenjeni godišnji fiskalni efekat iznosi oko</w:t>
      </w:r>
      <w:r w:rsidRPr="00A8461F">
        <w:rPr>
          <w:rFonts w:ascii="Cambria" w:hAnsi="Cambria"/>
          <w:sz w:val="24"/>
          <w:szCs w:val="24"/>
          <w:lang w:val="sr-Latn-RS"/>
        </w:rPr>
        <w:t xml:space="preserve"> </w:t>
      </w:r>
      <w:r w:rsidRPr="00A8461F">
        <w:rPr>
          <w:rFonts w:ascii="Cambria" w:hAnsi="Cambria"/>
          <w:b/>
          <w:sz w:val="24"/>
          <w:szCs w:val="24"/>
          <w:u w:val="single"/>
          <w:lang w:val="sr-Latn-RS"/>
        </w:rPr>
        <w:t>15,0 mil.€</w:t>
      </w:r>
      <w:r w:rsidRPr="00A8461F">
        <w:rPr>
          <w:rFonts w:ascii="Cambria" w:hAnsi="Cambria"/>
          <w:sz w:val="24"/>
          <w:szCs w:val="24"/>
          <w:lang w:val="sr-Latn-RS"/>
        </w:rPr>
        <w:t>.</w:t>
      </w:r>
    </w:p>
    <w:p w14:paraId="2315F79D" w14:textId="77777777" w:rsidR="00796F92" w:rsidRDefault="00796F92" w:rsidP="00796F92">
      <w:pPr>
        <w:spacing w:before="120" w:after="120" w:line="240" w:lineRule="auto"/>
        <w:contextualSpacing/>
        <w:jc w:val="both"/>
        <w:rPr>
          <w:rFonts w:ascii="Cambria" w:eastAsia="Times New Roman" w:hAnsi="Cambria" w:cs="Tahoma"/>
          <w:b/>
          <w:sz w:val="24"/>
          <w:szCs w:val="24"/>
          <w:u w:val="single"/>
          <w:lang w:val="sr-Latn-RS"/>
        </w:rPr>
      </w:pPr>
    </w:p>
    <w:p w14:paraId="1CC90E17" w14:textId="77777777" w:rsidR="0076150E" w:rsidRPr="00F467D7" w:rsidRDefault="00F467D7" w:rsidP="00F467D7">
      <w:pPr>
        <w:jc w:val="both"/>
        <w:rPr>
          <w:rFonts w:ascii="Cambria" w:hAnsi="Cambria"/>
          <w:b/>
          <w:caps/>
          <w:color w:val="1481AB" w:themeColor="accent1" w:themeShade="BF"/>
          <w:sz w:val="26"/>
          <w:szCs w:val="26"/>
          <w:lang w:val="sr-Latn-RS"/>
        </w:rPr>
      </w:pPr>
      <w:r>
        <w:rPr>
          <w:rFonts w:ascii="Cambria" w:hAnsi="Cambria"/>
          <w:b/>
          <w:caps/>
          <w:color w:val="1481AB" w:themeColor="accent1" w:themeShade="BF"/>
          <w:sz w:val="26"/>
          <w:szCs w:val="26"/>
          <w:lang w:val="sr-Latn-RS"/>
        </w:rPr>
        <w:t xml:space="preserve">4. </w:t>
      </w:r>
      <w:r w:rsidR="0076150E" w:rsidRPr="00F467D7">
        <w:rPr>
          <w:rFonts w:ascii="Cambria" w:hAnsi="Cambria"/>
          <w:b/>
          <w:caps/>
          <w:color w:val="1481AB" w:themeColor="accent1" w:themeShade="BF"/>
          <w:sz w:val="26"/>
          <w:szCs w:val="26"/>
          <w:lang w:val="sr-Latn-RS"/>
        </w:rPr>
        <w:t>PREDLOG ZAKONA O IZMJENI ZAKONA O OBJEDINJENOJ REGISTRACIJI I SISTEMU IZVJEŠTAVANJA O OBRAČUNU I NAPLATI POREZA I DOPRINOSA</w:t>
      </w:r>
    </w:p>
    <w:p w14:paraId="682E49D7" w14:textId="77777777" w:rsidR="0076150E" w:rsidRPr="00796F92" w:rsidRDefault="0076150E" w:rsidP="0076150E">
      <w:pPr>
        <w:spacing w:after="120" w:line="240" w:lineRule="auto"/>
        <w:jc w:val="both"/>
        <w:rPr>
          <w:rFonts w:ascii="Cambria" w:hAnsi="Cambria"/>
          <w:sz w:val="24"/>
          <w:szCs w:val="24"/>
          <w:lang w:val="sr-Latn-RS"/>
        </w:rPr>
      </w:pPr>
      <w:r w:rsidRPr="00796F92">
        <w:rPr>
          <w:rFonts w:ascii="Cambria" w:hAnsi="Cambria"/>
          <w:sz w:val="24"/>
          <w:szCs w:val="24"/>
          <w:lang w:val="sr-Latn-RS"/>
        </w:rPr>
        <w:t>Osnovni razlozi za izmjenu Zakona o objedinjenoj registraciji i sistemu izvještavanja o obračunu i naplati poreza i doprinosa ("Službeni list RCG", br. 029/05 i Službeni list CG", br. 73/10, 75/10 i 40/11) je usaglašavanje sa predloženim izmjenama Zakona o doprinosima o obaveznom socijalnom osiguranju, a odnosi se na</w:t>
      </w:r>
      <w:r w:rsidR="00796F92">
        <w:rPr>
          <w:rFonts w:ascii="Cambria" w:hAnsi="Cambria"/>
          <w:sz w:val="24"/>
          <w:szCs w:val="24"/>
          <w:lang w:val="sr-Latn-RS"/>
        </w:rPr>
        <w:t xml:space="preserve"> pravno tehničko usaglašavanje zbog ukidanja doprinosa za zdravstveno osiguranje.</w:t>
      </w:r>
    </w:p>
    <w:p w14:paraId="52D3B3DE" w14:textId="77777777" w:rsidR="0076150E" w:rsidRPr="00796F92" w:rsidRDefault="0076150E" w:rsidP="0076150E">
      <w:pPr>
        <w:spacing w:after="120" w:line="240" w:lineRule="auto"/>
        <w:jc w:val="both"/>
        <w:rPr>
          <w:rFonts w:ascii="Cambria" w:hAnsi="Cambria"/>
          <w:sz w:val="24"/>
          <w:szCs w:val="24"/>
          <w:lang w:val="sr-Latn-RS"/>
        </w:rPr>
      </w:pPr>
      <w:r w:rsidRPr="00796F92">
        <w:rPr>
          <w:rFonts w:ascii="Cambria" w:hAnsi="Cambria"/>
          <w:sz w:val="24"/>
          <w:szCs w:val="24"/>
          <w:lang w:val="sr-Latn-RS"/>
        </w:rPr>
        <w:t>Za sprovođenje ovog zakona nije neophodno obezbijediti dodatna sredstva u Budžetu Crne Gore.</w:t>
      </w:r>
    </w:p>
    <w:p w14:paraId="1EA821AB" w14:textId="77777777" w:rsidR="0076150E" w:rsidRPr="00796F92" w:rsidRDefault="00F467D7" w:rsidP="00796F92">
      <w:pPr>
        <w:jc w:val="both"/>
        <w:rPr>
          <w:rFonts w:ascii="Cambria" w:hAnsi="Cambria"/>
          <w:b/>
          <w:caps/>
          <w:color w:val="1481AB" w:themeColor="accent1" w:themeShade="BF"/>
          <w:sz w:val="26"/>
          <w:szCs w:val="26"/>
          <w:lang w:val="sr-Latn-RS"/>
        </w:rPr>
      </w:pPr>
      <w:r>
        <w:rPr>
          <w:rFonts w:ascii="Cambria" w:hAnsi="Cambria"/>
          <w:b/>
          <w:caps/>
          <w:color w:val="1481AB" w:themeColor="accent1" w:themeShade="BF"/>
          <w:sz w:val="26"/>
          <w:szCs w:val="26"/>
          <w:lang w:val="sr-Latn-RS"/>
        </w:rPr>
        <w:t xml:space="preserve">5. </w:t>
      </w:r>
      <w:r w:rsidR="001F399A">
        <w:rPr>
          <w:rFonts w:ascii="Cambria" w:hAnsi="Cambria"/>
          <w:b/>
          <w:caps/>
          <w:color w:val="1481AB" w:themeColor="accent1" w:themeShade="BF"/>
          <w:sz w:val="26"/>
          <w:szCs w:val="26"/>
          <w:lang w:val="sr-Latn-RS"/>
        </w:rPr>
        <w:t>IZMJENE</w:t>
      </w:r>
      <w:r w:rsidR="0076150E" w:rsidRPr="00796F92">
        <w:rPr>
          <w:rFonts w:ascii="Cambria" w:hAnsi="Cambria"/>
          <w:b/>
          <w:caps/>
          <w:color w:val="1481AB" w:themeColor="accent1" w:themeShade="BF"/>
          <w:sz w:val="26"/>
          <w:szCs w:val="26"/>
          <w:lang w:val="sr-Latn-RS"/>
        </w:rPr>
        <w:t xml:space="preserve"> ZAKONA O POREZU NA DOBIT PRAVNIH LICA </w:t>
      </w:r>
    </w:p>
    <w:p w14:paraId="332064AE" w14:textId="77777777" w:rsidR="0076150E" w:rsidRDefault="0076150E" w:rsidP="0076150E">
      <w:pPr>
        <w:spacing w:line="276" w:lineRule="auto"/>
        <w:jc w:val="both"/>
        <w:rPr>
          <w:rFonts w:ascii="Cambria" w:hAnsi="Cambria"/>
          <w:sz w:val="24"/>
          <w:szCs w:val="24"/>
          <w:lang w:val="sr-Latn-RS"/>
        </w:rPr>
      </w:pPr>
      <w:r w:rsidRPr="001F399A">
        <w:rPr>
          <w:rFonts w:ascii="Cambria" w:hAnsi="Cambria"/>
          <w:sz w:val="24"/>
          <w:szCs w:val="24"/>
          <w:lang w:val="sr-Latn-RS"/>
        </w:rPr>
        <w:t>Predlog</w:t>
      </w:r>
      <w:r w:rsidR="001F399A">
        <w:rPr>
          <w:rFonts w:ascii="Cambria" w:hAnsi="Cambria"/>
          <w:sz w:val="24"/>
          <w:szCs w:val="24"/>
          <w:lang w:val="sr-Latn-RS"/>
        </w:rPr>
        <w:t>om z</w:t>
      </w:r>
      <w:r w:rsidRPr="001F399A">
        <w:rPr>
          <w:rFonts w:ascii="Cambria" w:hAnsi="Cambria"/>
          <w:sz w:val="24"/>
          <w:szCs w:val="24"/>
          <w:lang w:val="sr-Latn-RS"/>
        </w:rPr>
        <w:t>akona o porezu na dobit pravnih lica, predl</w:t>
      </w:r>
      <w:r w:rsidR="001F399A">
        <w:rPr>
          <w:rFonts w:ascii="Cambria" w:hAnsi="Cambria"/>
          <w:sz w:val="24"/>
          <w:szCs w:val="24"/>
          <w:lang w:val="sr-Latn-RS"/>
        </w:rPr>
        <w:t>oženo</w:t>
      </w:r>
      <w:r w:rsidRPr="001F399A">
        <w:rPr>
          <w:rFonts w:ascii="Cambria" w:hAnsi="Cambria"/>
          <w:sz w:val="24"/>
          <w:szCs w:val="24"/>
          <w:lang w:val="sr-Latn-RS"/>
        </w:rPr>
        <w:t xml:space="preserve"> je da se umjesto  proporcionalne stop</w:t>
      </w:r>
      <w:r w:rsidR="001F399A">
        <w:rPr>
          <w:rFonts w:ascii="Cambria" w:hAnsi="Cambria"/>
          <w:sz w:val="24"/>
          <w:szCs w:val="24"/>
          <w:lang w:val="sr-Latn-RS"/>
        </w:rPr>
        <w:t xml:space="preserve">e poreza na dobit pravnih lica </w:t>
      </w:r>
      <w:r w:rsidRPr="001F399A">
        <w:rPr>
          <w:rFonts w:ascii="Cambria" w:hAnsi="Cambria"/>
          <w:sz w:val="24"/>
          <w:szCs w:val="24"/>
          <w:lang w:val="sr-Latn-RS"/>
        </w:rPr>
        <w:t>od 9%, uvode  progresivne stope na dobit pravn</w:t>
      </w:r>
      <w:r w:rsidR="001F399A">
        <w:rPr>
          <w:rFonts w:ascii="Cambria" w:hAnsi="Cambria"/>
          <w:sz w:val="24"/>
          <w:szCs w:val="24"/>
          <w:lang w:val="sr-Latn-RS"/>
        </w:rPr>
        <w:t>ih lica koje iznose 9%, 12 % i 15 %</w:t>
      </w:r>
      <w:r w:rsidRPr="001F399A">
        <w:rPr>
          <w:rFonts w:ascii="Cambria" w:hAnsi="Cambria"/>
          <w:sz w:val="24"/>
          <w:szCs w:val="24"/>
          <w:lang w:val="sr-Latn-RS"/>
        </w:rPr>
        <w:t xml:space="preserve">, u zavisnosti od iznosa oporezive dobiti. Na ovaj način došlo bi do povećanje budžetskih prihoda cca 25 </w:t>
      </w:r>
      <w:r w:rsidR="001F399A">
        <w:rPr>
          <w:rFonts w:ascii="Cambria" w:hAnsi="Cambria"/>
          <w:sz w:val="24"/>
          <w:szCs w:val="24"/>
          <w:lang w:val="sr-Latn-RS"/>
        </w:rPr>
        <w:t>mil. €</w:t>
      </w:r>
      <w:r w:rsidRPr="001F399A">
        <w:rPr>
          <w:rFonts w:ascii="Cambria" w:hAnsi="Cambria"/>
          <w:sz w:val="24"/>
          <w:szCs w:val="24"/>
          <w:lang w:val="sr-Latn-RS"/>
        </w:rPr>
        <w:t>.  Analiza efekata je odrađena na osnovu podataka o prijavljenoj dobiti pravnih lica iz 2019.</w:t>
      </w:r>
      <w:r w:rsidR="001F399A">
        <w:rPr>
          <w:rFonts w:ascii="Cambria" w:hAnsi="Cambria"/>
          <w:sz w:val="24"/>
          <w:szCs w:val="24"/>
          <w:lang w:val="sr-Latn-RS"/>
        </w:rPr>
        <w:t xml:space="preserve"> </w:t>
      </w:r>
      <w:r w:rsidRPr="001F399A">
        <w:rPr>
          <w:rFonts w:ascii="Cambria" w:hAnsi="Cambria"/>
          <w:sz w:val="24"/>
          <w:szCs w:val="24"/>
          <w:lang w:val="sr-Latn-RS"/>
        </w:rPr>
        <w:t>godine.</w:t>
      </w:r>
    </w:p>
    <w:p w14:paraId="7CC32C97" w14:textId="77777777" w:rsidR="009B667F" w:rsidRPr="009B667F" w:rsidRDefault="009B667F" w:rsidP="009B667F">
      <w:pPr>
        <w:spacing w:line="276" w:lineRule="auto"/>
        <w:jc w:val="both"/>
        <w:rPr>
          <w:rFonts w:ascii="Cambria" w:hAnsi="Cambria"/>
          <w:sz w:val="24"/>
          <w:szCs w:val="24"/>
          <w:lang w:val="sr-Latn-RS"/>
        </w:rPr>
      </w:pPr>
      <w:r w:rsidRPr="009B667F">
        <w:rPr>
          <w:rFonts w:ascii="Cambria" w:hAnsi="Cambria"/>
          <w:sz w:val="24"/>
          <w:szCs w:val="24"/>
          <w:lang w:val="sr-Latn-RS"/>
        </w:rPr>
        <w:t>Stope poreza na</w:t>
      </w:r>
      <w:r>
        <w:rPr>
          <w:rFonts w:ascii="Cambria" w:hAnsi="Cambria"/>
          <w:sz w:val="24"/>
          <w:szCs w:val="24"/>
          <w:lang w:val="sr-Latn-RS"/>
        </w:rPr>
        <w:t xml:space="preserve"> iznos oporezive dobiti iznose:</w:t>
      </w:r>
    </w:p>
    <w:p w14:paraId="6692A4B3" w14:textId="4016A0B3" w:rsidR="009B667F" w:rsidRPr="00C118AF" w:rsidRDefault="009B667F" w:rsidP="00C118AF">
      <w:pPr>
        <w:pStyle w:val="ListParagraph"/>
        <w:numPr>
          <w:ilvl w:val="0"/>
          <w:numId w:val="19"/>
        </w:numPr>
        <w:spacing w:line="276" w:lineRule="auto"/>
        <w:jc w:val="both"/>
        <w:rPr>
          <w:rFonts w:ascii="Cambria" w:hAnsi="Cambria"/>
          <w:sz w:val="24"/>
          <w:szCs w:val="24"/>
          <w:lang w:val="sr-Latn-RS"/>
        </w:rPr>
      </w:pPr>
      <w:r w:rsidRPr="00C118AF">
        <w:rPr>
          <w:rFonts w:ascii="Cambria" w:hAnsi="Cambria"/>
          <w:sz w:val="24"/>
          <w:szCs w:val="24"/>
          <w:lang w:val="sr-Latn-RS"/>
        </w:rPr>
        <w:t>do 100.000,00 eura 9%;</w:t>
      </w:r>
    </w:p>
    <w:p w14:paraId="22C54D02" w14:textId="132FD442" w:rsidR="009B667F" w:rsidRPr="00C118AF" w:rsidRDefault="00C118AF" w:rsidP="00C118AF">
      <w:pPr>
        <w:pStyle w:val="ListParagraph"/>
        <w:numPr>
          <w:ilvl w:val="0"/>
          <w:numId w:val="19"/>
        </w:numPr>
        <w:spacing w:line="276" w:lineRule="auto"/>
        <w:jc w:val="both"/>
        <w:rPr>
          <w:rFonts w:ascii="Cambria" w:hAnsi="Cambria"/>
          <w:sz w:val="24"/>
          <w:szCs w:val="24"/>
          <w:lang w:val="sr-Latn-RS"/>
        </w:rPr>
      </w:pPr>
      <w:r w:rsidRPr="00C118AF">
        <w:rPr>
          <w:rFonts w:ascii="Cambria" w:hAnsi="Cambria"/>
          <w:sz w:val="24"/>
          <w:szCs w:val="24"/>
          <w:lang w:val="sr-Latn-RS"/>
        </w:rPr>
        <w:t>o</w:t>
      </w:r>
      <w:r w:rsidR="009B667F" w:rsidRPr="00C118AF">
        <w:rPr>
          <w:rFonts w:ascii="Cambria" w:hAnsi="Cambria"/>
          <w:sz w:val="24"/>
          <w:szCs w:val="24"/>
          <w:lang w:val="sr-Latn-RS"/>
        </w:rPr>
        <w:t>d  100.000,01 eura  do 1.500.000,00 eura: 9.000,00eura+12% na iznos preko 100.000,01eura;</w:t>
      </w:r>
    </w:p>
    <w:p w14:paraId="06280160" w14:textId="664F7E06" w:rsidR="009B667F" w:rsidRPr="00C118AF" w:rsidRDefault="009B667F" w:rsidP="00C118AF">
      <w:pPr>
        <w:pStyle w:val="ListParagraph"/>
        <w:numPr>
          <w:ilvl w:val="0"/>
          <w:numId w:val="19"/>
        </w:numPr>
        <w:spacing w:line="276" w:lineRule="auto"/>
        <w:jc w:val="both"/>
        <w:rPr>
          <w:rFonts w:ascii="Cambria" w:hAnsi="Cambria"/>
          <w:sz w:val="24"/>
          <w:szCs w:val="24"/>
          <w:lang w:val="sr-Latn-RS"/>
        </w:rPr>
      </w:pPr>
      <w:r w:rsidRPr="00C118AF">
        <w:rPr>
          <w:rFonts w:ascii="Cambria" w:hAnsi="Cambria"/>
          <w:sz w:val="24"/>
          <w:szCs w:val="24"/>
          <w:lang w:val="sr-Latn-RS"/>
        </w:rPr>
        <w:t>preko 1.500.000,01 eura: 177.000,00eura+15% na iznos preko 1.500.000,01 eura.</w:t>
      </w:r>
    </w:p>
    <w:p w14:paraId="47C96377" w14:textId="77777777" w:rsidR="009B667F" w:rsidRPr="009B667F" w:rsidRDefault="009B667F" w:rsidP="009B667F">
      <w:pPr>
        <w:spacing w:line="276" w:lineRule="auto"/>
        <w:jc w:val="both"/>
        <w:rPr>
          <w:rFonts w:ascii="Cambria" w:hAnsi="Cambria"/>
          <w:sz w:val="24"/>
          <w:szCs w:val="24"/>
          <w:lang w:val="sr-Latn-RS"/>
        </w:rPr>
      </w:pPr>
      <w:r w:rsidRPr="009B667F">
        <w:rPr>
          <w:rFonts w:ascii="Cambria" w:hAnsi="Cambria"/>
          <w:sz w:val="24"/>
          <w:szCs w:val="24"/>
          <w:lang w:val="sr-Latn-RS"/>
        </w:rPr>
        <w:lastRenderedPageBreak/>
        <w:t>Stopa poreza, na iznos oporezive dobiti do 100.000,00 eura je 9%; na iznos oporezive dobiti od 100.000,01 eura do 1.500.000,00 eura je 9.000,00 eura+12% na iznos oporezive dobiti preko 100.000,01 eura;  na iznos oporezive dobiti preko 1.500.000,01 eura je 177.000,00eura +15% na iznos preko 1.500.000,01 eura.</w:t>
      </w:r>
    </w:p>
    <w:p w14:paraId="13F9B0CA" w14:textId="386EDAE5" w:rsidR="009B667F" w:rsidRDefault="009B667F" w:rsidP="009B667F">
      <w:pPr>
        <w:spacing w:line="276" w:lineRule="auto"/>
        <w:jc w:val="both"/>
        <w:rPr>
          <w:rFonts w:ascii="Cambria" w:hAnsi="Cambria"/>
          <w:sz w:val="24"/>
          <w:szCs w:val="24"/>
          <w:lang w:val="sr-Latn-RS"/>
        </w:rPr>
      </w:pPr>
      <w:r w:rsidRPr="009B667F">
        <w:rPr>
          <w:rFonts w:ascii="Cambria" w:hAnsi="Cambria"/>
          <w:sz w:val="24"/>
          <w:szCs w:val="24"/>
          <w:lang w:val="sr-Latn-RS"/>
        </w:rPr>
        <w:t xml:space="preserve">Takođe, predlaže se i povećanje stope poreza po odbitku na prihode po osnovu dividendi, kamata, autorskih naknada, kapitalnih dobitaka i ostalih prihoda na koje se obračunava porez po odbitku, sa 9% na 15%.  Na ovaj način došlo bi do povećanje budžetskih prihoda </w:t>
      </w:r>
      <w:r>
        <w:rPr>
          <w:rFonts w:ascii="Cambria" w:hAnsi="Cambria"/>
          <w:sz w:val="24"/>
          <w:szCs w:val="24"/>
          <w:lang w:val="sr-Latn-RS"/>
        </w:rPr>
        <w:t xml:space="preserve">od </w:t>
      </w:r>
      <w:r w:rsidRPr="009B667F">
        <w:rPr>
          <w:rFonts w:ascii="Cambria" w:hAnsi="Cambria"/>
          <w:sz w:val="24"/>
          <w:szCs w:val="24"/>
          <w:lang w:val="sr-Latn-RS"/>
        </w:rPr>
        <w:t>cca 3 mil. €.</w:t>
      </w:r>
    </w:p>
    <w:p w14:paraId="6CFFDFB7" w14:textId="77777777" w:rsidR="0076150E" w:rsidRPr="004E5CDC" w:rsidRDefault="0076150E" w:rsidP="001F399A">
      <w:pPr>
        <w:spacing w:line="276" w:lineRule="auto"/>
        <w:jc w:val="both"/>
        <w:rPr>
          <w:rFonts w:ascii="Cambria" w:eastAsia="Times New Roman" w:hAnsi="Cambria" w:cs="Tahoma"/>
          <w:sz w:val="24"/>
          <w:szCs w:val="24"/>
          <w:lang w:val="sr-Latn-RS"/>
        </w:rPr>
      </w:pPr>
      <w:r w:rsidRPr="001F399A">
        <w:rPr>
          <w:rFonts w:ascii="Cambria" w:hAnsi="Cambria"/>
          <w:b/>
          <w:sz w:val="24"/>
          <w:szCs w:val="24"/>
          <w:lang w:val="sr-Latn-RS"/>
        </w:rPr>
        <w:t>Fiskalni efekat</w:t>
      </w:r>
      <w:r w:rsidRPr="001F399A">
        <w:rPr>
          <w:rFonts w:ascii="Cambria" w:hAnsi="Cambria"/>
          <w:sz w:val="24"/>
          <w:szCs w:val="24"/>
          <w:lang w:val="sr-Latn-RS"/>
        </w:rPr>
        <w:t xml:space="preserve">: </w:t>
      </w:r>
      <w:r w:rsidR="001F399A">
        <w:rPr>
          <w:rFonts w:ascii="Cambria" w:hAnsi="Cambria"/>
          <w:sz w:val="24"/>
          <w:szCs w:val="24"/>
          <w:lang w:val="sr-Latn-RS"/>
        </w:rPr>
        <w:t>P</w:t>
      </w:r>
      <w:r w:rsidR="001F399A" w:rsidRPr="001F399A">
        <w:rPr>
          <w:rFonts w:ascii="Cambria" w:hAnsi="Cambria"/>
          <w:i/>
          <w:sz w:val="24"/>
          <w:szCs w:val="24"/>
          <w:lang w:val="sr-Latn-RS"/>
        </w:rPr>
        <w:t xml:space="preserve">rocijenjeni godišnji </w:t>
      </w:r>
      <w:r w:rsidR="00BC23BB">
        <w:rPr>
          <w:rFonts w:ascii="Cambria" w:hAnsi="Cambria"/>
          <w:i/>
          <w:sz w:val="24"/>
          <w:szCs w:val="24"/>
          <w:lang w:val="sr-Latn-RS"/>
        </w:rPr>
        <w:t>fiskalni efekat iznosi oko 28</w:t>
      </w:r>
      <w:r w:rsidRPr="001F399A">
        <w:rPr>
          <w:rFonts w:ascii="Cambria" w:hAnsi="Cambria"/>
          <w:i/>
          <w:sz w:val="24"/>
          <w:szCs w:val="24"/>
          <w:lang w:val="sr-Latn-RS"/>
        </w:rPr>
        <w:t xml:space="preserve"> mil</w:t>
      </w:r>
      <w:r w:rsidR="001F399A" w:rsidRPr="001F399A">
        <w:rPr>
          <w:rFonts w:ascii="Cambria" w:hAnsi="Cambria"/>
          <w:i/>
          <w:sz w:val="24"/>
          <w:szCs w:val="24"/>
          <w:lang w:val="sr-Latn-RS"/>
        </w:rPr>
        <w:t>.€, pri čemu će se povećanje</w:t>
      </w:r>
      <w:r w:rsidR="00A27CA0">
        <w:rPr>
          <w:rFonts w:ascii="Cambria" w:hAnsi="Cambria"/>
          <w:i/>
          <w:sz w:val="24"/>
          <w:szCs w:val="24"/>
          <w:lang w:val="sr-Latn-RS"/>
        </w:rPr>
        <w:t xml:space="preserve"> </w:t>
      </w:r>
      <w:r w:rsidR="001F399A">
        <w:rPr>
          <w:rFonts w:ascii="Cambria" w:hAnsi="Cambria"/>
          <w:i/>
          <w:sz w:val="24"/>
          <w:szCs w:val="24"/>
          <w:lang w:val="sr-Latn-RS"/>
        </w:rPr>
        <w:t xml:space="preserve">budžetskih </w:t>
      </w:r>
      <w:r w:rsidR="001F399A" w:rsidRPr="001F399A">
        <w:rPr>
          <w:rFonts w:ascii="Cambria" w:hAnsi="Cambria"/>
          <w:i/>
          <w:sz w:val="24"/>
          <w:szCs w:val="24"/>
          <w:lang w:val="sr-Latn-RS"/>
        </w:rPr>
        <w:t>prihoda po ovom osnovu reflektovati u 2023. godini, budući da obaveza po ovom osnovu za 202</w:t>
      </w:r>
      <w:r w:rsidR="001F399A">
        <w:rPr>
          <w:rFonts w:ascii="Cambria" w:hAnsi="Cambria"/>
          <w:i/>
          <w:sz w:val="24"/>
          <w:szCs w:val="24"/>
          <w:lang w:val="sr-Latn-RS"/>
        </w:rPr>
        <w:t>2</w:t>
      </w:r>
      <w:r w:rsidR="001F399A" w:rsidRPr="001F399A">
        <w:rPr>
          <w:rFonts w:ascii="Cambria" w:hAnsi="Cambria"/>
          <w:i/>
          <w:sz w:val="24"/>
          <w:szCs w:val="24"/>
          <w:lang w:val="sr-Latn-RS"/>
        </w:rPr>
        <w:t>. godinu dospijeva do 31. marta 2023. godine.</w:t>
      </w:r>
    </w:p>
    <w:p w14:paraId="2F36615F" w14:textId="1F7E3229" w:rsidR="0076150E" w:rsidRPr="002A3082" w:rsidRDefault="00F467D7" w:rsidP="002A3082">
      <w:pPr>
        <w:jc w:val="both"/>
        <w:rPr>
          <w:rFonts w:ascii="Cambria" w:hAnsi="Cambria"/>
          <w:b/>
          <w:caps/>
          <w:color w:val="1481AB" w:themeColor="accent1" w:themeShade="BF"/>
          <w:sz w:val="26"/>
          <w:szCs w:val="26"/>
          <w:lang w:val="sr-Latn-RS"/>
        </w:rPr>
      </w:pPr>
      <w:r>
        <w:rPr>
          <w:rFonts w:ascii="Cambria" w:hAnsi="Cambria"/>
          <w:b/>
          <w:caps/>
          <w:color w:val="1481AB" w:themeColor="accent1" w:themeShade="BF"/>
          <w:sz w:val="26"/>
          <w:szCs w:val="26"/>
          <w:lang w:val="sr-Latn-RS"/>
        </w:rPr>
        <w:t xml:space="preserve">6. </w:t>
      </w:r>
      <w:r w:rsidR="0076150E" w:rsidRPr="002A3082">
        <w:rPr>
          <w:rFonts w:ascii="Cambria" w:hAnsi="Cambria"/>
          <w:b/>
          <w:caps/>
          <w:color w:val="1481AB" w:themeColor="accent1" w:themeShade="BF"/>
          <w:sz w:val="26"/>
          <w:szCs w:val="26"/>
          <w:lang w:val="sr-Latn-RS"/>
        </w:rPr>
        <w:t>PREDLOG ZAKON</w:t>
      </w:r>
      <w:r w:rsidR="004E1184">
        <w:rPr>
          <w:rFonts w:ascii="Cambria" w:hAnsi="Cambria"/>
          <w:b/>
          <w:caps/>
          <w:color w:val="1481AB" w:themeColor="accent1" w:themeShade="BF"/>
          <w:sz w:val="26"/>
          <w:szCs w:val="26"/>
          <w:lang w:val="sr-Latn-RS"/>
        </w:rPr>
        <w:t>A O POREZU NA PODIZANJE GOTOVog novc</w:t>
      </w:r>
      <w:r w:rsidR="00F24B16">
        <w:rPr>
          <w:rFonts w:ascii="Cambria" w:hAnsi="Cambria"/>
          <w:b/>
          <w:caps/>
          <w:color w:val="1481AB" w:themeColor="accent1" w:themeShade="BF"/>
          <w:sz w:val="26"/>
          <w:szCs w:val="26"/>
          <w:lang w:val="sr-Latn-RS"/>
        </w:rPr>
        <w:t>a i prenosu novčanih sredstava S</w:t>
      </w:r>
      <w:r w:rsidR="004E1184">
        <w:rPr>
          <w:rFonts w:ascii="Cambria" w:hAnsi="Cambria"/>
          <w:b/>
          <w:caps/>
          <w:color w:val="1481AB" w:themeColor="accent1" w:themeShade="BF"/>
          <w:sz w:val="26"/>
          <w:szCs w:val="26"/>
          <w:lang w:val="sr-Latn-RS"/>
        </w:rPr>
        <w:t>a poslovnog na sopstevni račun</w:t>
      </w:r>
      <w:r w:rsidR="0076150E" w:rsidRPr="002A3082">
        <w:rPr>
          <w:rFonts w:ascii="Cambria" w:hAnsi="Cambria"/>
          <w:b/>
          <w:caps/>
          <w:color w:val="1481AB" w:themeColor="accent1" w:themeShade="BF"/>
          <w:sz w:val="26"/>
          <w:szCs w:val="26"/>
          <w:lang w:val="sr-Latn-RS"/>
        </w:rPr>
        <w:t xml:space="preserve"> </w:t>
      </w:r>
    </w:p>
    <w:p w14:paraId="3F52210B" w14:textId="77777777" w:rsidR="002115DB" w:rsidRPr="002115DB" w:rsidRDefault="002115DB" w:rsidP="002115DB">
      <w:pPr>
        <w:spacing w:after="120" w:line="276" w:lineRule="auto"/>
        <w:jc w:val="both"/>
        <w:rPr>
          <w:rFonts w:ascii="Cambria" w:eastAsia="Calibri" w:hAnsi="Cambria" w:cs="Calibri"/>
          <w:sz w:val="24"/>
          <w:szCs w:val="24"/>
          <w:lang w:val="sr-Latn-RS" w:eastAsia="en-GB"/>
        </w:rPr>
      </w:pPr>
      <w:r w:rsidRPr="002115DB">
        <w:rPr>
          <w:rFonts w:ascii="Cambria" w:eastAsia="Calibri" w:hAnsi="Cambria" w:cs="Calibri"/>
          <w:sz w:val="24"/>
          <w:szCs w:val="24"/>
          <w:lang w:val="sr-Latn-RS" w:eastAsia="en-GB"/>
        </w:rPr>
        <w:t>Donošenjem predloženog zakonskog rješenja uređuje se obaveza plaćanja poreza na podizanje gotovog novca i na prenos novčanih sredstava sa poslovnog računa na sopstveni račun, za pravna lica, preduzetnike i fizička lica koja obavljaju samostalnu djelatnost.</w:t>
      </w:r>
    </w:p>
    <w:p w14:paraId="4CCA6BD3" w14:textId="77777777" w:rsidR="002115DB" w:rsidRPr="002115DB" w:rsidRDefault="002115DB" w:rsidP="002115DB">
      <w:pPr>
        <w:spacing w:after="120" w:line="276" w:lineRule="auto"/>
        <w:jc w:val="both"/>
        <w:rPr>
          <w:rFonts w:ascii="Cambria" w:eastAsia="Calibri" w:hAnsi="Cambria" w:cs="Calibri"/>
          <w:sz w:val="24"/>
          <w:szCs w:val="24"/>
          <w:lang w:val="sr-Latn-RS" w:eastAsia="en-GB"/>
        </w:rPr>
      </w:pPr>
      <w:r w:rsidRPr="002115DB">
        <w:rPr>
          <w:rFonts w:ascii="Cambria" w:eastAsia="Calibri" w:hAnsi="Cambria" w:cs="Calibri"/>
          <w:sz w:val="24"/>
          <w:szCs w:val="24"/>
          <w:lang w:val="sr-Latn-RS" w:eastAsia="en-GB"/>
        </w:rPr>
        <w:t xml:space="preserve">Predloženim rješenjem definiše se da je poreska osnovica iznos gotovog novca koji pravna lica, preduzetnici i fizička lica koja obavljaju samostalnu djelatnost podižu sa poslovnog računa, odnosno iznos prenesenih novčanih sredstava preduzetnika i fizičkog lica koje obavlja samostalnu djelatnost, sa poslovnog računa na njihov sopstveni račun. Stopa poreza na podizanje gotovog novca za pravna lica, preduzetnike i fizička lica koja obavljaju samostalnu djelatnost je proporcionalna i iznosi 5% od poreske osnovice. </w:t>
      </w:r>
    </w:p>
    <w:p w14:paraId="0C976CC6" w14:textId="77777777" w:rsidR="002115DB" w:rsidRPr="002115DB" w:rsidRDefault="002115DB" w:rsidP="002115DB">
      <w:pPr>
        <w:spacing w:after="120" w:line="276" w:lineRule="auto"/>
        <w:jc w:val="both"/>
        <w:rPr>
          <w:rFonts w:ascii="Cambria" w:eastAsia="Calibri" w:hAnsi="Cambria" w:cs="Calibri"/>
          <w:sz w:val="24"/>
          <w:szCs w:val="24"/>
          <w:lang w:val="sr-Latn-RS" w:eastAsia="en-GB"/>
        </w:rPr>
      </w:pPr>
      <w:r w:rsidRPr="002115DB">
        <w:rPr>
          <w:rFonts w:ascii="Cambria" w:eastAsia="Calibri" w:hAnsi="Cambria" w:cs="Calibri"/>
          <w:sz w:val="24"/>
          <w:szCs w:val="24"/>
          <w:lang w:val="sr-Latn-RS" w:eastAsia="en-GB"/>
        </w:rPr>
        <w:t xml:space="preserve">Predloženim rješenjem propisuje se da ovaj porez obračunava, obustavlja i uplaćuje isplatilac gotovog novca, prilikom isplate istog, odnosno prilikom svakog prenosa novčanih sredstava. Takođe, predlaže se da se isplatiocem gotovog novca smatra banka. </w:t>
      </w:r>
    </w:p>
    <w:p w14:paraId="65D11E5D" w14:textId="2834A9B8" w:rsidR="000725C7" w:rsidRDefault="002115DB" w:rsidP="002115DB">
      <w:pPr>
        <w:spacing w:after="120" w:line="276" w:lineRule="auto"/>
        <w:jc w:val="both"/>
        <w:rPr>
          <w:rFonts w:ascii="Cambria" w:eastAsia="Calibri" w:hAnsi="Cambria" w:cs="Calibri"/>
          <w:sz w:val="24"/>
          <w:szCs w:val="24"/>
          <w:lang w:val="sr-Latn-RS" w:eastAsia="en-GB"/>
        </w:rPr>
      </w:pPr>
      <w:r w:rsidRPr="002115DB">
        <w:rPr>
          <w:rFonts w:ascii="Cambria" w:eastAsia="Calibri" w:hAnsi="Cambria" w:cs="Calibri"/>
          <w:sz w:val="24"/>
          <w:szCs w:val="24"/>
          <w:lang w:val="sr-Latn-RS" w:eastAsia="en-GB"/>
        </w:rPr>
        <w:t>Ovaj zakon stupiće na snagu osmog dana od dana objavljivanja u ,,Službenom listu Crne Gore“, a primjenjivaće se od 1. juna 2022. godine.</w:t>
      </w:r>
    </w:p>
    <w:p w14:paraId="7475D596" w14:textId="4C86E7DE" w:rsidR="00A01417" w:rsidRPr="00A01417" w:rsidRDefault="00A01417" w:rsidP="00A01417">
      <w:pPr>
        <w:jc w:val="both"/>
        <w:rPr>
          <w:rFonts w:ascii="Cambria" w:eastAsia="Calibri" w:hAnsi="Cambria" w:cs="Times New Roman"/>
          <w:i/>
          <w:sz w:val="24"/>
          <w:szCs w:val="24"/>
          <w:u w:val="single"/>
          <w:lang w:val="sr-Latn-RS"/>
        </w:rPr>
      </w:pPr>
      <w:r w:rsidRPr="00870DD0">
        <w:rPr>
          <w:rFonts w:ascii="Cambria" w:eastAsia="Calibri" w:hAnsi="Cambria" w:cs="Times New Roman"/>
          <w:b/>
          <w:sz w:val="24"/>
          <w:szCs w:val="24"/>
          <w:u w:val="single"/>
          <w:lang w:val="sr-Latn-RS"/>
        </w:rPr>
        <w:t>Fiskalni efekat:</w:t>
      </w:r>
      <w:r w:rsidRPr="00870DD0">
        <w:rPr>
          <w:rFonts w:ascii="Cambria" w:eastAsia="Calibri" w:hAnsi="Cambria" w:cs="Times New Roman"/>
          <w:sz w:val="24"/>
          <w:szCs w:val="24"/>
          <w:lang w:val="sr-Latn-RS"/>
        </w:rPr>
        <w:t xml:space="preserve"> </w:t>
      </w:r>
      <w:r>
        <w:rPr>
          <w:rFonts w:ascii="Cambria" w:eastAsia="Calibri" w:hAnsi="Cambria" w:cs="Times New Roman"/>
          <w:sz w:val="24"/>
          <w:szCs w:val="24"/>
          <w:lang w:val="sr-Latn-RS"/>
        </w:rPr>
        <w:t>Uvo</w:t>
      </w:r>
      <w:r>
        <w:rPr>
          <w:rFonts w:ascii="Cambria" w:eastAsia="Calibri" w:hAnsi="Cambria" w:cs="Times New Roman"/>
          <w:sz w:val="24"/>
          <w:szCs w:val="24"/>
          <w:lang w:val="sr-Latn-ME"/>
        </w:rPr>
        <w:t xml:space="preserve">đenjem novog poreskog oblika, prihodi budžeta u 2022. godini biće uvećani za oko </w:t>
      </w:r>
      <w:r w:rsidRPr="00A01417">
        <w:rPr>
          <w:rFonts w:ascii="Cambria" w:eastAsia="Calibri" w:hAnsi="Cambria" w:cs="Times New Roman"/>
          <w:b/>
          <w:i/>
          <w:sz w:val="24"/>
          <w:szCs w:val="24"/>
          <w:u w:val="single"/>
          <w:lang w:val="sr-Latn-ME"/>
        </w:rPr>
        <w:t>5,0 mil.€</w:t>
      </w:r>
      <w:r w:rsidRPr="00A01417">
        <w:rPr>
          <w:rFonts w:ascii="Cambria" w:eastAsia="Calibri" w:hAnsi="Cambria" w:cs="Times New Roman"/>
          <w:b/>
          <w:i/>
          <w:sz w:val="24"/>
          <w:szCs w:val="24"/>
          <w:u w:val="single"/>
          <w:lang w:val="sr-Latn-RS"/>
        </w:rPr>
        <w:t xml:space="preserve">. </w:t>
      </w:r>
    </w:p>
    <w:p w14:paraId="56143617" w14:textId="77777777" w:rsidR="00C11E48" w:rsidRPr="00C11E48" w:rsidRDefault="00C11E48" w:rsidP="00C11E48">
      <w:pPr>
        <w:jc w:val="both"/>
        <w:rPr>
          <w:rFonts w:ascii="Cambria" w:hAnsi="Cambria"/>
          <w:b/>
          <w:caps/>
          <w:color w:val="1481AB" w:themeColor="accent1" w:themeShade="BF"/>
          <w:sz w:val="26"/>
          <w:szCs w:val="26"/>
          <w:lang w:val="sr-Latn-RS"/>
        </w:rPr>
      </w:pPr>
      <w:r w:rsidRPr="00C11E48">
        <w:rPr>
          <w:rFonts w:ascii="Cambria" w:hAnsi="Cambria"/>
          <w:b/>
          <w:caps/>
          <w:color w:val="1481AB" w:themeColor="accent1" w:themeShade="BF"/>
          <w:sz w:val="26"/>
          <w:szCs w:val="26"/>
          <w:lang w:val="sr-Latn-RS"/>
        </w:rPr>
        <w:t>7. Markiranje mineralnih ulja i njihovih derivata:</w:t>
      </w:r>
    </w:p>
    <w:p w14:paraId="606BF2E2" w14:textId="77777777" w:rsidR="00C11E48" w:rsidRDefault="00C11E48" w:rsidP="00C11E48">
      <w:pPr>
        <w:jc w:val="both"/>
        <w:rPr>
          <w:rFonts w:ascii="Cambria" w:eastAsia="Calibri" w:hAnsi="Cambria" w:cs="Times New Roman"/>
          <w:sz w:val="24"/>
          <w:szCs w:val="24"/>
          <w:lang w:val="sr-Latn-RS"/>
        </w:rPr>
      </w:pPr>
      <w:r w:rsidRPr="00DB2A35">
        <w:rPr>
          <w:rFonts w:ascii="Cambria" w:eastAsia="Calibri" w:hAnsi="Cambria" w:cs="Times New Roman"/>
          <w:sz w:val="24"/>
          <w:szCs w:val="24"/>
          <w:lang w:val="sr-Latn-RS"/>
        </w:rPr>
        <w:t xml:space="preserve">Planirano uvođenje markiranja naftnih derivata </w:t>
      </w:r>
      <w:r w:rsidR="002E4705">
        <w:rPr>
          <w:rFonts w:ascii="Cambria" w:eastAsia="Calibri" w:hAnsi="Cambria" w:cs="Times New Roman"/>
          <w:sz w:val="24"/>
          <w:szCs w:val="24"/>
          <w:lang w:val="sr-Latn-RS"/>
        </w:rPr>
        <w:t xml:space="preserve">kroz Izmjene zakona o energetici </w:t>
      </w:r>
      <w:r>
        <w:rPr>
          <w:rFonts w:ascii="Cambria" w:eastAsia="Calibri" w:hAnsi="Cambria" w:cs="Times New Roman"/>
          <w:sz w:val="24"/>
          <w:szCs w:val="24"/>
          <w:lang w:val="sr-Latn-RS"/>
        </w:rPr>
        <w:t>uticaće prevashodno na suzbijanje nelegal</w:t>
      </w:r>
      <w:r w:rsidRPr="00870DD0">
        <w:rPr>
          <w:rFonts w:ascii="Cambria" w:eastAsia="Calibri" w:hAnsi="Cambria" w:cs="Times New Roman"/>
          <w:sz w:val="24"/>
          <w:szCs w:val="24"/>
          <w:lang w:val="sr-Latn-RS"/>
        </w:rPr>
        <w:t>n</w:t>
      </w:r>
      <w:r>
        <w:rPr>
          <w:rFonts w:ascii="Cambria" w:eastAsia="Calibri" w:hAnsi="Cambria" w:cs="Times New Roman"/>
          <w:sz w:val="24"/>
          <w:szCs w:val="24"/>
          <w:lang w:val="sr-Latn-RS"/>
        </w:rPr>
        <w:t>og</w:t>
      </w:r>
      <w:r w:rsidRPr="00870DD0">
        <w:rPr>
          <w:rFonts w:ascii="Cambria" w:eastAsia="Calibri" w:hAnsi="Cambria" w:cs="Times New Roman"/>
          <w:sz w:val="24"/>
          <w:szCs w:val="24"/>
          <w:lang w:val="sr-Latn-RS"/>
        </w:rPr>
        <w:t xml:space="preserve"> promet</w:t>
      </w:r>
      <w:r>
        <w:rPr>
          <w:rFonts w:ascii="Cambria" w:eastAsia="Calibri" w:hAnsi="Cambria" w:cs="Times New Roman"/>
          <w:sz w:val="24"/>
          <w:szCs w:val="24"/>
          <w:lang w:val="sr-Latn-RS"/>
        </w:rPr>
        <w:t xml:space="preserve">a naftnih derivata, kao i </w:t>
      </w:r>
      <w:r w:rsidR="00D720B7">
        <w:rPr>
          <w:rFonts w:ascii="Cambria" w:eastAsia="Calibri" w:hAnsi="Cambria" w:cs="Times New Roman"/>
          <w:sz w:val="24"/>
          <w:szCs w:val="24"/>
          <w:lang w:val="sr-Latn-RS"/>
        </w:rPr>
        <w:t>na unapr</w:t>
      </w:r>
      <w:r>
        <w:rPr>
          <w:rFonts w:ascii="Cambria" w:eastAsia="Calibri" w:hAnsi="Cambria" w:cs="Times New Roman"/>
          <w:sz w:val="24"/>
          <w:szCs w:val="24"/>
          <w:lang w:val="sr-Latn-RS"/>
        </w:rPr>
        <w:t>jeđenje</w:t>
      </w:r>
      <w:r w:rsidRPr="00DB2A35">
        <w:rPr>
          <w:rFonts w:ascii="Cambria" w:eastAsia="Calibri" w:hAnsi="Cambria" w:cs="Times New Roman"/>
          <w:sz w:val="24"/>
          <w:szCs w:val="24"/>
          <w:lang w:val="sr-Latn-RS"/>
        </w:rPr>
        <w:t xml:space="preserve"> </w:t>
      </w:r>
      <w:r w:rsidRPr="00870DD0">
        <w:rPr>
          <w:rFonts w:ascii="Cambria" w:eastAsia="Calibri" w:hAnsi="Cambria" w:cs="Times New Roman"/>
          <w:sz w:val="24"/>
          <w:szCs w:val="24"/>
          <w:lang w:val="sr-Latn-RS"/>
        </w:rPr>
        <w:t>kvalitet</w:t>
      </w:r>
      <w:r>
        <w:rPr>
          <w:rFonts w:ascii="Cambria" w:eastAsia="Calibri" w:hAnsi="Cambria" w:cs="Times New Roman"/>
          <w:sz w:val="24"/>
          <w:szCs w:val="24"/>
          <w:lang w:val="sr-Latn-RS"/>
        </w:rPr>
        <w:t>a</w:t>
      </w:r>
      <w:r w:rsidRPr="00870DD0">
        <w:rPr>
          <w:rFonts w:ascii="Cambria" w:eastAsia="Calibri" w:hAnsi="Cambria" w:cs="Times New Roman"/>
          <w:sz w:val="24"/>
          <w:szCs w:val="24"/>
          <w:lang w:val="sr-Latn-RS"/>
        </w:rPr>
        <w:t xml:space="preserve"> derivata na tržištu</w:t>
      </w:r>
      <w:r>
        <w:rPr>
          <w:rFonts w:ascii="Cambria" w:eastAsia="Calibri" w:hAnsi="Cambria" w:cs="Times New Roman"/>
          <w:sz w:val="24"/>
          <w:szCs w:val="24"/>
          <w:lang w:val="sr-Latn-RS"/>
        </w:rPr>
        <w:t xml:space="preserve">. </w:t>
      </w:r>
      <w:r w:rsidRPr="00870DD0">
        <w:rPr>
          <w:rFonts w:ascii="Cambria" w:eastAsia="Calibri" w:hAnsi="Cambria" w:cs="Times New Roman"/>
          <w:sz w:val="24"/>
          <w:szCs w:val="24"/>
          <w:lang w:val="sr-Latn-RS"/>
        </w:rPr>
        <w:t>Za markiranje će se koristiti najsavremenije nano-tehnologije, a sam postupak podrazumijeva ubacivanje posebnih hemijskih elemenata u gorivo koji ne utiču na kvalitet goriva, ali omogućavaju da se utvrdi da li gorivo potiče iz legalnog prometa. Samim tim, spriječiće se da se u prometu nađe gorivo koje nije markirano na propisan način</w:t>
      </w:r>
      <w:r>
        <w:rPr>
          <w:rFonts w:ascii="Cambria" w:eastAsia="Calibri" w:hAnsi="Cambria" w:cs="Times New Roman"/>
          <w:sz w:val="24"/>
          <w:szCs w:val="24"/>
          <w:lang w:val="sr-Latn-RS"/>
        </w:rPr>
        <w:t xml:space="preserve">, a </w:t>
      </w:r>
      <w:r w:rsidRPr="00870DD0">
        <w:rPr>
          <w:rFonts w:ascii="Cambria" w:eastAsia="Calibri" w:hAnsi="Cambria" w:cs="Times New Roman"/>
          <w:sz w:val="24"/>
          <w:szCs w:val="24"/>
          <w:lang w:val="sr-Latn-RS"/>
        </w:rPr>
        <w:t xml:space="preserve">direktne koristi </w:t>
      </w:r>
      <w:r>
        <w:rPr>
          <w:rFonts w:ascii="Cambria" w:eastAsia="Calibri" w:hAnsi="Cambria" w:cs="Times New Roman"/>
          <w:sz w:val="24"/>
          <w:szCs w:val="24"/>
          <w:lang w:val="sr-Latn-RS"/>
        </w:rPr>
        <w:t>će imati</w:t>
      </w:r>
      <w:r w:rsidRPr="00870DD0">
        <w:rPr>
          <w:rFonts w:ascii="Cambria" w:eastAsia="Calibri" w:hAnsi="Cambria" w:cs="Times New Roman"/>
          <w:sz w:val="24"/>
          <w:szCs w:val="24"/>
          <w:lang w:val="sr-Latn-RS"/>
        </w:rPr>
        <w:t xml:space="preserve"> i vlasnici motornih vozila, jer će se u prodaji nalaziti </w:t>
      </w:r>
      <w:r w:rsidR="005B17ED" w:rsidRPr="00870DD0">
        <w:rPr>
          <w:rFonts w:ascii="Cambria" w:eastAsia="Calibri" w:hAnsi="Cambria" w:cs="Times New Roman"/>
          <w:sz w:val="24"/>
          <w:szCs w:val="24"/>
          <w:lang w:val="sr-Latn-RS"/>
        </w:rPr>
        <w:t xml:space="preserve">isključivo </w:t>
      </w:r>
      <w:r w:rsidRPr="00870DD0">
        <w:rPr>
          <w:rFonts w:ascii="Cambria" w:eastAsia="Calibri" w:hAnsi="Cambria" w:cs="Times New Roman"/>
          <w:sz w:val="24"/>
          <w:szCs w:val="24"/>
          <w:lang w:val="sr-Latn-RS"/>
        </w:rPr>
        <w:t xml:space="preserve">gorivo propisanog kvaliteta. </w:t>
      </w:r>
      <w:r>
        <w:rPr>
          <w:rFonts w:ascii="Cambria" w:eastAsia="Calibri" w:hAnsi="Cambria" w:cs="Times New Roman"/>
          <w:sz w:val="24"/>
          <w:szCs w:val="24"/>
          <w:lang w:val="sr-Latn-RS"/>
        </w:rPr>
        <w:t xml:space="preserve"> </w:t>
      </w:r>
    </w:p>
    <w:p w14:paraId="50DB7DA0" w14:textId="6C2541F6" w:rsidR="00A01417" w:rsidRPr="000C1182" w:rsidRDefault="00C11E48" w:rsidP="00E95529">
      <w:pPr>
        <w:jc w:val="both"/>
        <w:rPr>
          <w:rFonts w:ascii="Cambria" w:eastAsia="Calibri" w:hAnsi="Cambria" w:cs="Times New Roman"/>
          <w:b/>
          <w:i/>
          <w:sz w:val="24"/>
          <w:szCs w:val="24"/>
          <w:lang w:val="sr-Latn-RS"/>
        </w:rPr>
      </w:pPr>
      <w:r w:rsidRPr="00870DD0">
        <w:rPr>
          <w:rFonts w:ascii="Cambria" w:eastAsia="Calibri" w:hAnsi="Cambria" w:cs="Times New Roman"/>
          <w:b/>
          <w:sz w:val="24"/>
          <w:szCs w:val="24"/>
          <w:u w:val="single"/>
          <w:lang w:val="sr-Latn-RS"/>
        </w:rPr>
        <w:lastRenderedPageBreak/>
        <w:t>Fiskalni efekat:</w:t>
      </w:r>
      <w:r w:rsidRPr="00870DD0">
        <w:rPr>
          <w:rFonts w:ascii="Cambria" w:eastAsia="Calibri" w:hAnsi="Cambria" w:cs="Times New Roman"/>
          <w:sz w:val="24"/>
          <w:szCs w:val="24"/>
          <w:lang w:val="sr-Latn-RS"/>
        </w:rPr>
        <w:t xml:space="preserve"> </w:t>
      </w:r>
      <w:r w:rsidRPr="00870DD0">
        <w:rPr>
          <w:rFonts w:ascii="Cambria" w:eastAsia="Calibri" w:hAnsi="Cambria" w:cs="Times New Roman"/>
          <w:i/>
          <w:sz w:val="24"/>
          <w:szCs w:val="24"/>
          <w:lang w:val="sr-Latn-RS"/>
        </w:rPr>
        <w:t xml:space="preserve">Planiranim načinom markiranja goriva, doći će do povećanja prihoda budžeta po osnovu akciza i poreza na dodatu vrijednost, a ukupni godišnji fiskalni efekat procjenjuje se na nivou od oko </w:t>
      </w:r>
      <w:r w:rsidR="00053BF6" w:rsidRPr="00134B1D">
        <w:rPr>
          <w:rFonts w:ascii="Cambria" w:eastAsia="Calibri" w:hAnsi="Cambria" w:cs="Times New Roman"/>
          <w:b/>
          <w:i/>
          <w:sz w:val="24"/>
          <w:szCs w:val="24"/>
          <w:u w:val="single"/>
          <w:lang w:val="sr-Latn-RS"/>
        </w:rPr>
        <w:t>14,0</w:t>
      </w:r>
      <w:r w:rsidRPr="00134B1D">
        <w:rPr>
          <w:rFonts w:ascii="Cambria" w:eastAsia="Calibri" w:hAnsi="Cambria" w:cs="Times New Roman"/>
          <w:b/>
          <w:i/>
          <w:sz w:val="24"/>
          <w:szCs w:val="24"/>
          <w:u w:val="single"/>
          <w:lang w:val="sr-Latn-RS"/>
        </w:rPr>
        <w:t xml:space="preserve"> mil.</w:t>
      </w:r>
      <w:r w:rsidR="00FD5BBF" w:rsidRPr="00134B1D">
        <w:rPr>
          <w:rFonts w:ascii="Cambria" w:eastAsia="Calibri" w:hAnsi="Cambria" w:cs="Times New Roman"/>
          <w:b/>
          <w:i/>
          <w:sz w:val="24"/>
          <w:szCs w:val="24"/>
          <w:u w:val="single"/>
          <w:lang w:val="sr-Latn-RS"/>
        </w:rPr>
        <w:t xml:space="preserve"> </w:t>
      </w:r>
      <w:r w:rsidR="00053BF6" w:rsidRPr="00134B1D">
        <w:rPr>
          <w:rFonts w:ascii="Cambria" w:eastAsia="Calibri" w:hAnsi="Cambria" w:cs="Times New Roman"/>
          <w:b/>
          <w:i/>
          <w:sz w:val="24"/>
          <w:szCs w:val="24"/>
          <w:u w:val="single"/>
          <w:lang w:val="sr-Latn-RS"/>
        </w:rPr>
        <w:t>€</w:t>
      </w:r>
      <w:r w:rsidR="00053BF6">
        <w:rPr>
          <w:rFonts w:ascii="Cambria" w:eastAsia="Calibri" w:hAnsi="Cambria" w:cs="Times New Roman"/>
          <w:b/>
          <w:i/>
          <w:sz w:val="24"/>
          <w:szCs w:val="24"/>
          <w:lang w:val="sr-Latn-RS"/>
        </w:rPr>
        <w:t xml:space="preserve"> u 2022. godini. </w:t>
      </w:r>
    </w:p>
    <w:p w14:paraId="63AC5372" w14:textId="59598399" w:rsidR="00EF4CA9" w:rsidRDefault="00C11E48" w:rsidP="0076150E">
      <w:pPr>
        <w:spacing w:after="120" w:line="276" w:lineRule="auto"/>
        <w:jc w:val="both"/>
      </w:pPr>
      <w:r>
        <w:rPr>
          <w:rFonts w:ascii="Cambria" w:hAnsi="Cambria"/>
          <w:b/>
          <w:caps/>
          <w:color w:val="1481AB" w:themeColor="accent1" w:themeShade="BF"/>
          <w:sz w:val="26"/>
          <w:szCs w:val="26"/>
          <w:lang w:val="sr-Latn-RS"/>
        </w:rPr>
        <w:t>8</w:t>
      </w:r>
      <w:r w:rsidR="00EF4CA9" w:rsidRPr="00EF4CA9">
        <w:rPr>
          <w:rFonts w:ascii="Cambria" w:hAnsi="Cambria"/>
          <w:b/>
          <w:caps/>
          <w:color w:val="1481AB" w:themeColor="accent1" w:themeShade="BF"/>
          <w:sz w:val="26"/>
          <w:szCs w:val="26"/>
          <w:lang w:val="sr-Latn-RS"/>
        </w:rPr>
        <w:t xml:space="preserve">. </w:t>
      </w:r>
      <w:r w:rsidR="009B667F">
        <w:rPr>
          <w:rFonts w:ascii="Cambria" w:hAnsi="Cambria"/>
          <w:b/>
          <w:caps/>
          <w:color w:val="1481AB" w:themeColor="accent1" w:themeShade="BF"/>
          <w:sz w:val="26"/>
          <w:szCs w:val="26"/>
          <w:lang w:val="sr-Latn-RS"/>
        </w:rPr>
        <w:t>OPOREZOVANJE</w:t>
      </w:r>
      <w:r w:rsidR="00EF4CA9" w:rsidRPr="00EF4CA9">
        <w:rPr>
          <w:rFonts w:ascii="Cambria" w:hAnsi="Cambria"/>
          <w:b/>
          <w:caps/>
          <w:color w:val="1481AB" w:themeColor="accent1" w:themeShade="BF"/>
          <w:sz w:val="26"/>
          <w:szCs w:val="26"/>
          <w:lang w:val="sr-Latn-RS"/>
        </w:rPr>
        <w:t xml:space="preserve"> </w:t>
      </w:r>
      <w:r w:rsidR="00B83843">
        <w:rPr>
          <w:rFonts w:ascii="Cambria" w:hAnsi="Cambria"/>
          <w:b/>
          <w:caps/>
          <w:color w:val="1481AB" w:themeColor="accent1" w:themeShade="BF"/>
          <w:sz w:val="26"/>
          <w:szCs w:val="26"/>
          <w:lang w:val="sr-Latn-RS"/>
        </w:rPr>
        <w:t>NEPRIJAVLJENOG PRIHODA</w:t>
      </w:r>
    </w:p>
    <w:p w14:paraId="650A3618" w14:textId="45EF5BAF" w:rsidR="00C46C7A" w:rsidRPr="00AF3F39" w:rsidRDefault="00AF3F39" w:rsidP="00AF3F39">
      <w:pPr>
        <w:spacing w:line="276" w:lineRule="auto"/>
        <w:jc w:val="both"/>
        <w:rPr>
          <w:rFonts w:ascii="Cambria" w:eastAsia="Calibri" w:hAnsi="Cambria" w:cs="Times New Roman"/>
          <w:sz w:val="24"/>
          <w:szCs w:val="24"/>
          <w:lang w:val="sr-Latn-RS"/>
        </w:rPr>
      </w:pPr>
      <w:r w:rsidRPr="00AF3F39">
        <w:rPr>
          <w:rFonts w:ascii="Cambria" w:eastAsia="Calibri" w:hAnsi="Cambria" w:cs="Times New Roman"/>
          <w:sz w:val="24"/>
          <w:szCs w:val="24"/>
          <w:lang w:val="sr-Latn-RS"/>
        </w:rPr>
        <w:t xml:space="preserve">Značajan efekat na rast prihoda u srednjem roku očekuje se i od oporezivanja </w:t>
      </w:r>
      <w:r w:rsidR="00046CCD">
        <w:rPr>
          <w:rFonts w:ascii="Cambria" w:eastAsia="Calibri" w:hAnsi="Cambria" w:cs="Times New Roman"/>
          <w:sz w:val="24"/>
          <w:szCs w:val="24"/>
          <w:lang w:val="sr-Latn-RS"/>
        </w:rPr>
        <w:t>razlike između</w:t>
      </w:r>
      <w:r w:rsidRPr="00AF3F39">
        <w:rPr>
          <w:rFonts w:ascii="Cambria" w:eastAsia="Calibri" w:hAnsi="Cambria" w:cs="Times New Roman"/>
          <w:sz w:val="24"/>
          <w:szCs w:val="24"/>
          <w:lang w:val="sr-Latn-RS"/>
        </w:rPr>
        <w:t xml:space="preserve"> prijavljenih prihoda i uknjižene imovine, čime se imovina koja se ne može opravdati zakonito stečenim prihodima oporezuje po visokoj stopi (80%). Ovom mjerom destimulisanja poreskih obveznika od nelegalnih aktivnosti, koje će se oporezovati</w:t>
      </w:r>
      <w:r w:rsidR="00046CCD">
        <w:rPr>
          <w:rFonts w:ascii="Cambria" w:eastAsia="Calibri" w:hAnsi="Cambria" w:cs="Times New Roman"/>
          <w:sz w:val="24"/>
          <w:szCs w:val="24"/>
          <w:lang w:val="sr-Latn-RS"/>
        </w:rPr>
        <w:t xml:space="preserve"> po visokoj stopi</w:t>
      </w:r>
      <w:r w:rsidR="008B4622">
        <w:rPr>
          <w:rFonts w:ascii="Cambria" w:eastAsia="Calibri" w:hAnsi="Cambria" w:cs="Times New Roman"/>
          <w:sz w:val="24"/>
          <w:szCs w:val="24"/>
          <w:lang w:val="sr-Latn-RS"/>
        </w:rPr>
        <w:t>, unapr</w:t>
      </w:r>
      <w:r w:rsidRPr="00AF3F39">
        <w:rPr>
          <w:rFonts w:ascii="Cambria" w:eastAsia="Calibri" w:hAnsi="Cambria" w:cs="Times New Roman"/>
          <w:sz w:val="24"/>
          <w:szCs w:val="24"/>
          <w:lang w:val="sr-Latn-RS"/>
        </w:rPr>
        <w:t>eđuje se tržišna privreda, dok se istovremeno prihodi ostvareni primjenom ove poreske mjere, vraćaju u budžet, čime se omogućava finansiranje usluga od opšteg javnog interesa.</w:t>
      </w:r>
    </w:p>
    <w:p w14:paraId="53CA3652" w14:textId="77777777" w:rsidR="0034192C" w:rsidRPr="002E16BB" w:rsidRDefault="00EF4CA9" w:rsidP="00EF4CA9">
      <w:pPr>
        <w:spacing w:line="276" w:lineRule="auto"/>
        <w:jc w:val="both"/>
        <w:rPr>
          <w:rFonts w:ascii="Cambria" w:hAnsi="Cambria"/>
          <w:b/>
          <w:i/>
          <w:sz w:val="24"/>
          <w:szCs w:val="24"/>
          <w:u w:val="single"/>
          <w:lang w:val="sr-Latn-RS"/>
        </w:rPr>
      </w:pPr>
      <w:r w:rsidRPr="00EF4CA9">
        <w:rPr>
          <w:rFonts w:ascii="Cambria" w:hAnsi="Cambria"/>
          <w:b/>
          <w:sz w:val="24"/>
          <w:szCs w:val="24"/>
          <w:lang w:val="sr-Latn-RS"/>
        </w:rPr>
        <w:t xml:space="preserve">Fiskalni efekat: </w:t>
      </w:r>
      <w:r w:rsidRPr="00EF4CA9">
        <w:rPr>
          <w:rFonts w:ascii="Cambria" w:hAnsi="Cambria"/>
          <w:i/>
          <w:sz w:val="24"/>
          <w:szCs w:val="24"/>
          <w:lang w:val="sr-Latn-RS"/>
        </w:rPr>
        <w:t xml:space="preserve">Procijenjeni godišnji fiskalni efekat iznosi oko </w:t>
      </w:r>
      <w:r w:rsidRPr="00B83843">
        <w:rPr>
          <w:rFonts w:ascii="Cambria" w:hAnsi="Cambria"/>
          <w:b/>
          <w:i/>
          <w:sz w:val="24"/>
          <w:szCs w:val="24"/>
          <w:u w:val="single"/>
          <w:lang w:val="sr-Latn-RS"/>
        </w:rPr>
        <w:t>20,0 mil. €</w:t>
      </w:r>
      <w:r w:rsidR="00B83843">
        <w:rPr>
          <w:rFonts w:ascii="Cambria" w:hAnsi="Cambria"/>
          <w:b/>
          <w:i/>
          <w:sz w:val="24"/>
          <w:szCs w:val="24"/>
          <w:u w:val="single"/>
          <w:lang w:val="sr-Latn-RS"/>
        </w:rPr>
        <w:t xml:space="preserve"> u 2022. godini</w:t>
      </w:r>
      <w:r w:rsidRPr="00B83843">
        <w:rPr>
          <w:rFonts w:ascii="Cambria" w:hAnsi="Cambria"/>
          <w:b/>
          <w:i/>
          <w:sz w:val="24"/>
          <w:szCs w:val="24"/>
          <w:u w:val="single"/>
          <w:lang w:val="sr-Latn-RS"/>
        </w:rPr>
        <w:t>.</w:t>
      </w:r>
    </w:p>
    <w:p w14:paraId="0F92CE72" w14:textId="0B2ED7EA" w:rsidR="00704E25" w:rsidRPr="008B2D29" w:rsidRDefault="008B2D29" w:rsidP="008B2D29">
      <w:pPr>
        <w:spacing w:after="120" w:line="276" w:lineRule="auto"/>
        <w:jc w:val="both"/>
        <w:rPr>
          <w:rFonts w:ascii="Cambria" w:hAnsi="Cambria"/>
          <w:b/>
          <w:caps/>
          <w:color w:val="1481AB" w:themeColor="accent1" w:themeShade="BF"/>
          <w:sz w:val="26"/>
          <w:szCs w:val="26"/>
          <w:lang w:val="sr-Latn-RS"/>
        </w:rPr>
      </w:pPr>
      <w:r w:rsidRPr="008B2D29">
        <w:rPr>
          <w:rFonts w:ascii="Cambria" w:hAnsi="Cambria"/>
          <w:b/>
          <w:caps/>
          <w:color w:val="1481AB" w:themeColor="accent1" w:themeShade="BF"/>
          <w:sz w:val="26"/>
          <w:szCs w:val="26"/>
          <w:lang w:val="sr-Latn-RS"/>
        </w:rPr>
        <w:t xml:space="preserve">9. </w:t>
      </w:r>
      <w:r w:rsidR="00704E25" w:rsidRPr="008B2D29">
        <w:rPr>
          <w:rFonts w:ascii="Cambria" w:hAnsi="Cambria"/>
          <w:b/>
          <w:caps/>
          <w:color w:val="1481AB" w:themeColor="accent1" w:themeShade="BF"/>
          <w:sz w:val="26"/>
          <w:szCs w:val="26"/>
          <w:lang w:val="sr-Latn-RS"/>
        </w:rPr>
        <w:t>Suzbijanja neformalne ekonomije i efikasnije kontrole kroz nastavak</w:t>
      </w:r>
      <w:r w:rsidR="003E32B1" w:rsidRPr="008B2D29">
        <w:rPr>
          <w:rFonts w:ascii="Cambria" w:hAnsi="Cambria"/>
          <w:b/>
          <w:caps/>
          <w:color w:val="1481AB" w:themeColor="accent1" w:themeShade="BF"/>
          <w:sz w:val="26"/>
          <w:szCs w:val="26"/>
          <w:lang w:val="sr-Latn-RS"/>
        </w:rPr>
        <w:t xml:space="preserve"> unapređenja rada inspekcijskih službi </w:t>
      </w:r>
    </w:p>
    <w:p w14:paraId="0E06990C" w14:textId="77777777" w:rsidR="00A74127" w:rsidRPr="00A74127" w:rsidRDefault="00A74127" w:rsidP="00A74127">
      <w:pPr>
        <w:spacing w:line="276" w:lineRule="auto"/>
        <w:jc w:val="both"/>
        <w:rPr>
          <w:rFonts w:ascii="Cambria" w:hAnsi="Cambria"/>
          <w:sz w:val="24"/>
          <w:szCs w:val="24"/>
          <w:lang w:val="sr-Latn-RS"/>
        </w:rPr>
      </w:pPr>
      <w:r w:rsidRPr="00A74127">
        <w:rPr>
          <w:rFonts w:ascii="Cambria" w:hAnsi="Cambria"/>
          <w:sz w:val="24"/>
          <w:szCs w:val="24"/>
          <w:lang w:val="sr-Latn-RS"/>
        </w:rPr>
        <w:t>Implementacija mjera na prevođenju neformalnog sektora u legalne tokove, kao i dodatni izazovi uzrokovani pandemijom COVID-19 su pokazali da je potreban sveobuhvatni, multisektorski pristup politici suzbijanja neformalne ekonomije. S tim u vezi, a imajući u vidu činjenicu da ne postoje precizni podaci o visini neformalne ekonomije u Crnoj Gori i njenom učešću u BDP-u, pokrenut je postupak javne nabavke za sprovođenje istraživanja među domaćinstvima i preduzećima sa ciljem utvrđivanja obima i strukture neformalne ekonomije i uspostavljanja relevantne baze indikatora za praćenje realizacije aktivnosti na suzbijanju sive ekonomije. Očekuje se da informacije vezane za rezultate sprovedenog istraživanja budu dostupne početkom 2022. godine.</w:t>
      </w:r>
    </w:p>
    <w:p w14:paraId="2E2A2C97" w14:textId="2C4F6F49" w:rsidR="00A74127" w:rsidRPr="00A74127" w:rsidRDefault="00A74127" w:rsidP="00A74127">
      <w:pPr>
        <w:spacing w:line="276" w:lineRule="auto"/>
        <w:jc w:val="both"/>
        <w:rPr>
          <w:rFonts w:ascii="Cambria" w:hAnsi="Cambria"/>
          <w:sz w:val="24"/>
          <w:szCs w:val="24"/>
          <w:lang w:val="sr-Latn-RS"/>
        </w:rPr>
      </w:pPr>
      <w:r w:rsidRPr="00A74127">
        <w:rPr>
          <w:rFonts w:ascii="Cambria" w:hAnsi="Cambria"/>
          <w:sz w:val="24"/>
          <w:szCs w:val="24"/>
          <w:lang w:val="sr-Latn-RS"/>
        </w:rPr>
        <w:t>Nakon sprovedenog istraživanja radna grupa će na osnovu rezultata istraživanja, postojećih preporuka, raspoloživih akademskih studija i drugih inputa definisati Program za suzbijanje neformalne ekonomije sa Akcionim planom za tri godine</w:t>
      </w:r>
      <w:r>
        <w:rPr>
          <w:rFonts w:ascii="Cambria" w:hAnsi="Cambria"/>
          <w:sz w:val="24"/>
          <w:szCs w:val="24"/>
          <w:lang w:val="sr-Latn-RS"/>
        </w:rPr>
        <w:t xml:space="preserve">. </w:t>
      </w:r>
      <w:r w:rsidRPr="00A74127">
        <w:rPr>
          <w:rFonts w:ascii="Cambria" w:hAnsi="Cambria"/>
          <w:sz w:val="24"/>
          <w:szCs w:val="24"/>
          <w:lang w:val="sr-Latn-RS"/>
        </w:rPr>
        <w:t>S obzirom na zajedničku odgovornost različitih institucija, Vlada će formirati Savjet koji će nastaviti sa aktivnostima na suzbijanju sive ekonomije. Takođe, biće formirani i radni timovi po oblastima, koji će na operativnom nivou pratiti realizaciju i izvještavati o sprovođenju mjera.</w:t>
      </w:r>
      <w:r w:rsidRPr="00A74127">
        <w:t xml:space="preserve"> </w:t>
      </w:r>
      <w:r w:rsidRPr="00A74127">
        <w:rPr>
          <w:rFonts w:ascii="Cambria" w:hAnsi="Cambria"/>
          <w:sz w:val="24"/>
          <w:szCs w:val="24"/>
          <w:lang w:val="sr-Latn-RS"/>
        </w:rPr>
        <w:t xml:space="preserve">Tokom ove godine, Vlada </w:t>
      </w:r>
      <w:r w:rsidR="00065EA8">
        <w:rPr>
          <w:rFonts w:ascii="Cambria" w:hAnsi="Cambria"/>
          <w:sz w:val="24"/>
          <w:szCs w:val="24"/>
          <w:lang w:val="sr-Latn-RS"/>
        </w:rPr>
        <w:t xml:space="preserve">je </w:t>
      </w:r>
      <w:r w:rsidRPr="00A74127">
        <w:rPr>
          <w:rFonts w:ascii="Cambria" w:hAnsi="Cambria"/>
          <w:sz w:val="24"/>
          <w:szCs w:val="24"/>
          <w:lang w:val="sr-Latn-RS"/>
        </w:rPr>
        <w:t>donijela Odluku o zabrani skladištenja duvanskih proizvoda na teritoriji Slobodne zone „Luka Bar“, na način što se neće zaključivati ugovori o obavljanju djelatnosti u Slobodnoj zoni „Luka Bar“ niti produžavati zaključeni ugovori o obavljanju djelatnosti u Slobodnoj zoni „Luka Bar“, čiji je predmet skladištenje duvanskih proizvoda. Istovremeno, predložen je nastavak pojačanog carinskog nadzora unutar Slobodne zone „Luka Bar“ i uvođenje pojačanog nadzora u Slobodnoj zoni „Novi duvanski kombinat“. Nevedena odluka ima pozitivne efekte u suzbijanju sive ekonomije na tržištu duvanskih proizvoda, a za rezultat povećanje budžetskih prihoda po osnovu akciza.</w:t>
      </w:r>
    </w:p>
    <w:p w14:paraId="22FD5E6B" w14:textId="77777777" w:rsidR="00D141DD" w:rsidRDefault="00A74127" w:rsidP="00A74127">
      <w:pPr>
        <w:spacing w:line="276" w:lineRule="auto"/>
        <w:jc w:val="both"/>
        <w:rPr>
          <w:rFonts w:ascii="Cambria" w:hAnsi="Cambria"/>
          <w:sz w:val="24"/>
          <w:szCs w:val="24"/>
          <w:lang w:val="sr-Latn-RS"/>
        </w:rPr>
      </w:pPr>
      <w:r w:rsidRPr="00A74127">
        <w:rPr>
          <w:rFonts w:ascii="Cambria" w:hAnsi="Cambria"/>
          <w:sz w:val="24"/>
          <w:szCs w:val="24"/>
          <w:lang w:val="sr-Latn-RS"/>
        </w:rPr>
        <w:t xml:space="preserve">Što se tiče preduzetih mjera za povećanje efikasnosti rada inspekcijskih službi, u okviru Uprave prihoda i carina Crne Gore, od 2018. godine sprovodi se Projekat reforme poreske administracije (RARP), koji je usmjeren na unapređenje efikasnosti Uprave i smanjenje </w:t>
      </w:r>
      <w:r w:rsidRPr="00A74127">
        <w:rPr>
          <w:rFonts w:ascii="Cambria" w:hAnsi="Cambria"/>
          <w:sz w:val="24"/>
          <w:szCs w:val="24"/>
          <w:lang w:val="sr-Latn-RS"/>
        </w:rPr>
        <w:lastRenderedPageBreak/>
        <w:t xml:space="preserve">troškova za poreske obveznike. Ovaj projekat zasnovan je na dugoročnoj viziji da cjelokupna poreska administracija počiva na modernizovanim poslovnim procesima, zasnovanim na sistemskoj analizi rizika, a koji će u krajnjem doprinijeti efikasnijoj naplati javnih prihoda. S tim u vezi jedan od osnovnih instrumenata novog sistema biće integrisani sistem upravljanja prihodima (IRMS). Uspostavljanje ovog visoko automatizovanog sistema ima za cilj povećanje transparentnosti procesa plaćanja poreza, a samim tim i smanjenje sive ekonomije. </w:t>
      </w:r>
    </w:p>
    <w:p w14:paraId="6D1C063C" w14:textId="0B36AE8E" w:rsidR="00D141DD" w:rsidRDefault="00A810F2" w:rsidP="00820C50">
      <w:pPr>
        <w:spacing w:line="276" w:lineRule="auto"/>
        <w:jc w:val="both"/>
        <w:rPr>
          <w:rFonts w:ascii="Cambria" w:hAnsi="Cambria"/>
          <w:b/>
          <w:sz w:val="24"/>
          <w:szCs w:val="24"/>
          <w:lang w:val="sr-Latn-RS"/>
        </w:rPr>
      </w:pPr>
      <w:r>
        <w:rPr>
          <w:rFonts w:ascii="Cambria" w:hAnsi="Cambria"/>
          <w:sz w:val="24"/>
          <w:szCs w:val="24"/>
          <w:lang w:val="sr-Latn-RS"/>
        </w:rPr>
        <w:t xml:space="preserve">Uz implementaciju projekta </w:t>
      </w:r>
      <w:r w:rsidR="009C11E9">
        <w:rPr>
          <w:rFonts w:ascii="Cambria" w:hAnsi="Cambria"/>
          <w:sz w:val="24"/>
          <w:szCs w:val="24"/>
          <w:lang w:val="sr-Latn-RS"/>
        </w:rPr>
        <w:t xml:space="preserve">elektronske </w:t>
      </w:r>
      <w:r>
        <w:rPr>
          <w:rFonts w:ascii="Cambria" w:hAnsi="Cambria"/>
          <w:sz w:val="24"/>
          <w:szCs w:val="24"/>
          <w:lang w:val="sr-Latn-RS"/>
        </w:rPr>
        <w:t>fisk</w:t>
      </w:r>
      <w:r w:rsidR="00A74127">
        <w:rPr>
          <w:rFonts w:ascii="Cambria" w:hAnsi="Cambria"/>
          <w:sz w:val="24"/>
          <w:szCs w:val="24"/>
          <w:lang w:val="sr-Latn-RS"/>
        </w:rPr>
        <w:t>a</w:t>
      </w:r>
      <w:r>
        <w:rPr>
          <w:rFonts w:ascii="Cambria" w:hAnsi="Cambria"/>
          <w:sz w:val="24"/>
          <w:szCs w:val="24"/>
          <w:lang w:val="sr-Latn-RS"/>
        </w:rPr>
        <w:t>l</w:t>
      </w:r>
      <w:r w:rsidR="00A74127">
        <w:rPr>
          <w:rFonts w:ascii="Cambria" w:hAnsi="Cambria"/>
          <w:sz w:val="24"/>
          <w:szCs w:val="24"/>
          <w:lang w:val="sr-Latn-RS"/>
        </w:rPr>
        <w:t xml:space="preserve">izacije, intenziviranje inspekcijskih kontrola i ograničavanje neformalnosti na tržištu akciznih proizvoda, biće sprovedene aktivnosti kako bi se </w:t>
      </w:r>
      <w:r w:rsidR="00A74127">
        <w:rPr>
          <w:rFonts w:ascii="Calibri" w:hAnsi="Calibri" w:cs="Calibri"/>
          <w:sz w:val="24"/>
          <w:szCs w:val="24"/>
          <w:lang w:val="sr-Latn-RS"/>
        </w:rPr>
        <w:t>"</w:t>
      </w:r>
      <w:r w:rsidR="00A74127">
        <w:rPr>
          <w:rFonts w:ascii="Cambria" w:hAnsi="Cambria"/>
          <w:sz w:val="24"/>
          <w:szCs w:val="24"/>
          <w:lang w:val="sr-Latn-RS"/>
        </w:rPr>
        <w:t>siva ekonomija</w:t>
      </w:r>
      <w:r w:rsidR="00A74127">
        <w:rPr>
          <w:rFonts w:ascii="Calibri" w:hAnsi="Calibri" w:cs="Calibri"/>
          <w:sz w:val="24"/>
          <w:szCs w:val="24"/>
          <w:lang w:val="sr-Latn-RS"/>
        </w:rPr>
        <w:t>"</w:t>
      </w:r>
      <w:r w:rsidR="00A74127">
        <w:rPr>
          <w:rFonts w:ascii="Cambria" w:hAnsi="Cambria"/>
          <w:sz w:val="24"/>
          <w:szCs w:val="24"/>
          <w:lang w:val="sr-Latn-RS"/>
        </w:rPr>
        <w:t xml:space="preserve"> svela na najmanju moguću mjeru, a samim tim i povećali prihodi budžeta i smanjila nelojalna konkurencija.</w:t>
      </w:r>
    </w:p>
    <w:p w14:paraId="6728240E" w14:textId="77777777" w:rsidR="00820C50" w:rsidRDefault="00820C50" w:rsidP="00820C50">
      <w:pPr>
        <w:spacing w:line="276" w:lineRule="auto"/>
        <w:jc w:val="both"/>
        <w:rPr>
          <w:rFonts w:ascii="Cambria" w:hAnsi="Cambria"/>
          <w:i/>
          <w:sz w:val="24"/>
          <w:szCs w:val="24"/>
          <w:lang w:val="sr-Latn-RS"/>
        </w:rPr>
      </w:pPr>
      <w:r w:rsidRPr="00EF4CA9">
        <w:rPr>
          <w:rFonts w:ascii="Cambria" w:hAnsi="Cambria"/>
          <w:b/>
          <w:sz w:val="24"/>
          <w:szCs w:val="24"/>
          <w:lang w:val="sr-Latn-RS"/>
        </w:rPr>
        <w:t>Fiskalni efekat:</w:t>
      </w:r>
      <w:r>
        <w:rPr>
          <w:rFonts w:ascii="Cambria" w:hAnsi="Cambria"/>
          <w:b/>
          <w:sz w:val="24"/>
          <w:szCs w:val="24"/>
          <w:lang w:val="sr-Latn-RS"/>
        </w:rPr>
        <w:t xml:space="preserve"> </w:t>
      </w:r>
      <w:r w:rsidRPr="00EF4CA9">
        <w:rPr>
          <w:rFonts w:ascii="Cambria" w:hAnsi="Cambria"/>
          <w:i/>
          <w:sz w:val="24"/>
          <w:szCs w:val="24"/>
          <w:lang w:val="sr-Latn-RS"/>
        </w:rPr>
        <w:t xml:space="preserve">Procijenjeni fiskalni efekat </w:t>
      </w:r>
      <w:r w:rsidR="00A74127">
        <w:rPr>
          <w:rFonts w:ascii="Cambria" w:hAnsi="Cambria"/>
          <w:i/>
          <w:sz w:val="24"/>
          <w:szCs w:val="24"/>
          <w:lang w:val="sr-Latn-RS"/>
        </w:rPr>
        <w:t xml:space="preserve">u 2022. godini </w:t>
      </w:r>
      <w:r w:rsidRPr="00EF4CA9">
        <w:rPr>
          <w:rFonts w:ascii="Cambria" w:hAnsi="Cambria"/>
          <w:i/>
          <w:sz w:val="24"/>
          <w:szCs w:val="24"/>
          <w:lang w:val="sr-Latn-RS"/>
        </w:rPr>
        <w:t>iznosi oko</w:t>
      </w:r>
      <w:r>
        <w:rPr>
          <w:rFonts w:ascii="Cambria" w:hAnsi="Cambria"/>
          <w:i/>
          <w:sz w:val="24"/>
          <w:szCs w:val="24"/>
          <w:lang w:val="sr-Latn-RS"/>
        </w:rPr>
        <w:t xml:space="preserve"> </w:t>
      </w:r>
      <w:r w:rsidR="00A3164D" w:rsidRPr="00A3164D">
        <w:rPr>
          <w:rFonts w:ascii="Cambria" w:hAnsi="Cambria"/>
          <w:b/>
          <w:i/>
          <w:sz w:val="24"/>
          <w:szCs w:val="24"/>
          <w:u w:val="single"/>
          <w:lang w:val="sr-Latn-RS"/>
        </w:rPr>
        <w:t xml:space="preserve">10 </w:t>
      </w:r>
      <w:r w:rsidRPr="00A3164D">
        <w:rPr>
          <w:rFonts w:ascii="Cambria" w:hAnsi="Cambria"/>
          <w:b/>
          <w:i/>
          <w:sz w:val="24"/>
          <w:szCs w:val="24"/>
          <w:u w:val="single"/>
          <w:lang w:val="sr-Latn-RS"/>
        </w:rPr>
        <w:t>mil. €.</w:t>
      </w:r>
    </w:p>
    <w:p w14:paraId="09FC1B75" w14:textId="77777777" w:rsidR="00D141DD" w:rsidRDefault="00D141DD" w:rsidP="008B2D29">
      <w:pPr>
        <w:spacing w:line="276" w:lineRule="auto"/>
        <w:jc w:val="both"/>
        <w:rPr>
          <w:rFonts w:ascii="Cambria" w:hAnsi="Cambria"/>
          <w:b/>
          <w:caps/>
          <w:color w:val="1481AB" w:themeColor="accent1" w:themeShade="BF"/>
          <w:sz w:val="26"/>
          <w:szCs w:val="26"/>
          <w:lang w:val="sr-Latn-RS"/>
        </w:rPr>
      </w:pPr>
      <w:r w:rsidRPr="00D141DD">
        <w:rPr>
          <w:rFonts w:ascii="Cambria" w:hAnsi="Cambria"/>
          <w:b/>
          <w:caps/>
          <w:color w:val="1481AB" w:themeColor="accent1" w:themeShade="BF"/>
          <w:sz w:val="26"/>
          <w:szCs w:val="26"/>
          <w:lang w:val="sr-Latn-RS"/>
        </w:rPr>
        <w:t xml:space="preserve">10. Implementacije novog zakonskog rješenja u oblasti privređivanja igara na sreću </w:t>
      </w:r>
    </w:p>
    <w:p w14:paraId="27B62056" w14:textId="77777777" w:rsidR="00B33B1D" w:rsidRPr="00B33B1D" w:rsidRDefault="00B33B1D" w:rsidP="00B33B1D">
      <w:pPr>
        <w:spacing w:line="276" w:lineRule="auto"/>
        <w:jc w:val="both"/>
        <w:rPr>
          <w:rFonts w:ascii="Cambria" w:hAnsi="Cambria"/>
          <w:sz w:val="24"/>
          <w:szCs w:val="24"/>
          <w:lang w:val="sr-Latn-RS"/>
        </w:rPr>
      </w:pPr>
      <w:r w:rsidRPr="00B33B1D">
        <w:rPr>
          <w:rFonts w:ascii="Cambria" w:hAnsi="Cambria"/>
          <w:sz w:val="24"/>
          <w:szCs w:val="24"/>
          <w:lang w:val="sr-Latn-RS"/>
        </w:rPr>
        <w:t xml:space="preserve">Donošenjem novog Zakona o igrama na sreću i nagradnim igrama unaprijediće se sistem igara na sreću, kroz kreiranje trajnih i održivih rješenja u skladu sa najboljom evropskom praksom. Primjenom rješenja </w:t>
      </w:r>
      <w:r w:rsidR="00305C97">
        <w:rPr>
          <w:rFonts w:ascii="Cambria" w:hAnsi="Cambria"/>
          <w:sz w:val="24"/>
          <w:szCs w:val="24"/>
          <w:lang w:val="sr-Latn-RS"/>
        </w:rPr>
        <w:t xml:space="preserve">iz </w:t>
      </w:r>
      <w:r w:rsidRPr="00B33B1D">
        <w:rPr>
          <w:rFonts w:ascii="Cambria" w:hAnsi="Cambria"/>
          <w:sz w:val="24"/>
          <w:szCs w:val="24"/>
          <w:lang w:val="sr-Latn-RS"/>
        </w:rPr>
        <w:t xml:space="preserve">novog Zakona bi se obezbijedila veća sredstva za </w:t>
      </w:r>
      <w:r w:rsidR="00305C97">
        <w:rPr>
          <w:rFonts w:ascii="Cambria" w:hAnsi="Cambria"/>
          <w:sz w:val="24"/>
          <w:szCs w:val="24"/>
          <w:lang w:val="sr-Latn-RS"/>
        </w:rPr>
        <w:t>B</w:t>
      </w:r>
      <w:r w:rsidRPr="00B33B1D">
        <w:rPr>
          <w:rFonts w:ascii="Cambria" w:hAnsi="Cambria"/>
          <w:sz w:val="24"/>
          <w:szCs w:val="24"/>
          <w:lang w:val="sr-Latn-RS"/>
        </w:rPr>
        <w:t xml:space="preserve">udžet Crne Gore, na način što bi bilo manje prostora za malverzacije, utaje poreza, neplaćanje naknada i slično. Preciznijim i efikasnijim propisivanjem obaveza priređivača i oštrijih kaznenih odredbi nelegalnog priređivanja igara na sreću, kao i efikasnim sprečavanjem i sankcionisanjem zloupotreba na tržištu, poboljšaće se i finansijska disciplina i omogućiti bolja zaštita </w:t>
      </w:r>
      <w:r>
        <w:rPr>
          <w:rFonts w:ascii="Cambria" w:hAnsi="Cambria"/>
          <w:sz w:val="24"/>
          <w:szCs w:val="24"/>
          <w:lang w:val="sr-Latn-RS"/>
        </w:rPr>
        <w:t xml:space="preserve">interesa legalnih priređivača. </w:t>
      </w:r>
    </w:p>
    <w:p w14:paraId="11034C00" w14:textId="49636754" w:rsidR="00B33B1D" w:rsidRPr="00B33B1D" w:rsidRDefault="00B33B1D" w:rsidP="000C2CAF">
      <w:pPr>
        <w:tabs>
          <w:tab w:val="left" w:pos="4253"/>
          <w:tab w:val="center" w:pos="4535"/>
        </w:tabs>
        <w:spacing w:line="276" w:lineRule="auto"/>
        <w:jc w:val="both"/>
        <w:rPr>
          <w:rFonts w:ascii="Cambria" w:hAnsi="Cambria"/>
          <w:sz w:val="24"/>
          <w:szCs w:val="24"/>
          <w:lang w:val="sr-Latn-RS"/>
        </w:rPr>
      </w:pPr>
      <w:r w:rsidRPr="00B33B1D">
        <w:rPr>
          <w:rFonts w:ascii="Cambria" w:hAnsi="Cambria"/>
          <w:sz w:val="24"/>
          <w:szCs w:val="24"/>
          <w:lang w:val="sr-Latn-RS"/>
        </w:rPr>
        <w:t xml:space="preserve">Usvajanje novog Zakona ima za cilj: </w:t>
      </w:r>
      <w:r w:rsidR="000C2CAF">
        <w:rPr>
          <w:rFonts w:ascii="Cambria" w:hAnsi="Cambria"/>
          <w:sz w:val="24"/>
          <w:szCs w:val="24"/>
          <w:lang w:val="sr-Latn-RS"/>
        </w:rPr>
        <w:tab/>
      </w:r>
      <w:r w:rsidR="000C2CAF">
        <w:rPr>
          <w:rFonts w:ascii="Cambria" w:hAnsi="Cambria"/>
          <w:sz w:val="24"/>
          <w:szCs w:val="24"/>
          <w:lang w:val="sr-Latn-RS"/>
        </w:rPr>
        <w:tab/>
      </w:r>
    </w:p>
    <w:p w14:paraId="46875DC9"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 xml:space="preserve">stvaranje kvalitetnijeg ambijenta za razvoj tržišta i privlačenje priređivača iz inostranstva; </w:t>
      </w:r>
    </w:p>
    <w:p w14:paraId="5225D44A"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obezbijeđivanje bolje naplat</w:t>
      </w:r>
      <w:r w:rsidR="00305C97">
        <w:rPr>
          <w:rFonts w:ascii="Cambria" w:hAnsi="Cambria"/>
          <w:sz w:val="24"/>
          <w:szCs w:val="24"/>
          <w:lang w:val="sr-Latn-RS"/>
        </w:rPr>
        <w:t>e</w:t>
      </w:r>
      <w:r w:rsidRPr="00B33B1D">
        <w:rPr>
          <w:rFonts w:ascii="Cambria" w:hAnsi="Cambria"/>
          <w:sz w:val="24"/>
          <w:szCs w:val="24"/>
          <w:lang w:val="sr-Latn-RS"/>
        </w:rPr>
        <w:t xml:space="preserve"> prihoda od igara na sreću; </w:t>
      </w:r>
    </w:p>
    <w:p w14:paraId="104E06C8"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 xml:space="preserve">kontrolisani razvoj igara na sreću djelatnosti, kako bi se spriječile negativne pojave koje izazivaju igre na sreću i smanjilo nelagalno priređivanje igara na sreću odnosno siva ekonomija; </w:t>
      </w:r>
    </w:p>
    <w:p w14:paraId="1C66EFB7"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 xml:space="preserve">poboljšanje finansijske discipline i bolja zaštita interesa legalnih priređivača; </w:t>
      </w:r>
    </w:p>
    <w:p w14:paraId="3406F6C7"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omogućavanje veće zaštita maloljetnika od učestvovanja u igrama na sreću, te kvalitetnij</w:t>
      </w:r>
      <w:r w:rsidR="00305C97">
        <w:rPr>
          <w:rFonts w:ascii="Cambria" w:hAnsi="Cambria"/>
          <w:sz w:val="24"/>
          <w:szCs w:val="24"/>
          <w:lang w:val="sr-Latn-RS"/>
        </w:rPr>
        <w:t>a</w:t>
      </w:r>
      <w:r w:rsidRPr="00B33B1D">
        <w:rPr>
          <w:rFonts w:ascii="Cambria" w:hAnsi="Cambria"/>
          <w:sz w:val="24"/>
          <w:szCs w:val="24"/>
          <w:lang w:val="sr-Latn-RS"/>
        </w:rPr>
        <w:t xml:space="preserve"> društven</w:t>
      </w:r>
      <w:r w:rsidR="00305C97">
        <w:rPr>
          <w:rFonts w:ascii="Cambria" w:hAnsi="Cambria"/>
          <w:sz w:val="24"/>
          <w:szCs w:val="24"/>
          <w:lang w:val="sr-Latn-RS"/>
        </w:rPr>
        <w:t>a</w:t>
      </w:r>
      <w:r w:rsidRPr="00B33B1D">
        <w:rPr>
          <w:rFonts w:ascii="Cambria" w:hAnsi="Cambria"/>
          <w:sz w:val="24"/>
          <w:szCs w:val="24"/>
          <w:lang w:val="sr-Latn-RS"/>
        </w:rPr>
        <w:t xml:space="preserve"> zaštita igrača i njihovih porodica; </w:t>
      </w:r>
    </w:p>
    <w:p w14:paraId="0A360C15" w14:textId="77777777" w:rsidR="00B33B1D" w:rsidRPr="00B33B1D" w:rsidRDefault="00B33B1D" w:rsidP="00B33B1D">
      <w:pPr>
        <w:pStyle w:val="ListParagraph"/>
        <w:numPr>
          <w:ilvl w:val="0"/>
          <w:numId w:val="17"/>
        </w:numPr>
        <w:spacing w:line="276" w:lineRule="auto"/>
        <w:jc w:val="both"/>
        <w:rPr>
          <w:rFonts w:ascii="Cambria" w:hAnsi="Cambria"/>
          <w:sz w:val="24"/>
          <w:szCs w:val="24"/>
          <w:lang w:val="sr-Latn-RS"/>
        </w:rPr>
      </w:pPr>
      <w:r w:rsidRPr="00B33B1D">
        <w:rPr>
          <w:rFonts w:ascii="Cambria" w:hAnsi="Cambria"/>
          <w:sz w:val="24"/>
          <w:szCs w:val="24"/>
          <w:lang w:val="sr-Latn-RS"/>
        </w:rPr>
        <w:t xml:space="preserve">omogućavanje ravnopravnog i ujednačenog tretmana svih priređivača igara na sreću na tržištu, itd. </w:t>
      </w:r>
    </w:p>
    <w:p w14:paraId="567A48A9" w14:textId="77777777" w:rsidR="00D141DD" w:rsidRDefault="00D141DD" w:rsidP="00D141DD">
      <w:pPr>
        <w:spacing w:line="276" w:lineRule="auto"/>
        <w:jc w:val="both"/>
        <w:rPr>
          <w:rFonts w:ascii="Cambria" w:hAnsi="Cambria"/>
          <w:i/>
          <w:sz w:val="24"/>
          <w:szCs w:val="24"/>
          <w:lang w:val="sr-Latn-RS"/>
        </w:rPr>
      </w:pPr>
      <w:r w:rsidRPr="00EF4CA9">
        <w:rPr>
          <w:rFonts w:ascii="Cambria" w:hAnsi="Cambria"/>
          <w:b/>
          <w:sz w:val="24"/>
          <w:szCs w:val="24"/>
          <w:lang w:val="sr-Latn-RS"/>
        </w:rPr>
        <w:t>Fiskalni efekat:</w:t>
      </w:r>
      <w:r>
        <w:rPr>
          <w:rFonts w:ascii="Cambria" w:hAnsi="Cambria"/>
          <w:b/>
          <w:sz w:val="24"/>
          <w:szCs w:val="24"/>
          <w:lang w:val="sr-Latn-RS"/>
        </w:rPr>
        <w:t xml:space="preserve"> </w:t>
      </w:r>
      <w:r w:rsidRPr="00EF4CA9">
        <w:rPr>
          <w:rFonts w:ascii="Cambria" w:hAnsi="Cambria"/>
          <w:i/>
          <w:sz w:val="24"/>
          <w:szCs w:val="24"/>
          <w:lang w:val="sr-Latn-RS"/>
        </w:rPr>
        <w:t>Procijenjeni godišnji fiskalni efekat iznosi oko</w:t>
      </w:r>
      <w:r>
        <w:rPr>
          <w:rFonts w:ascii="Cambria" w:hAnsi="Cambria"/>
          <w:i/>
          <w:sz w:val="24"/>
          <w:szCs w:val="24"/>
          <w:lang w:val="sr-Latn-RS"/>
        </w:rPr>
        <w:t xml:space="preserve"> </w:t>
      </w:r>
      <w:r w:rsidR="00A3164D" w:rsidRPr="00A3164D">
        <w:rPr>
          <w:rFonts w:ascii="Cambria" w:hAnsi="Cambria"/>
          <w:b/>
          <w:i/>
          <w:sz w:val="24"/>
          <w:szCs w:val="24"/>
          <w:u w:val="single"/>
          <w:lang w:val="sr-Latn-RS"/>
        </w:rPr>
        <w:t>15,0 mil. €.</w:t>
      </w:r>
    </w:p>
    <w:p w14:paraId="2C425CBA" w14:textId="77777777" w:rsidR="00D141DD" w:rsidRDefault="00D141DD" w:rsidP="008B2D29">
      <w:pPr>
        <w:spacing w:line="276" w:lineRule="auto"/>
        <w:jc w:val="both"/>
        <w:rPr>
          <w:rFonts w:ascii="Cambria" w:hAnsi="Cambria"/>
          <w:sz w:val="24"/>
          <w:szCs w:val="24"/>
          <w:lang w:val="sr-Latn-RS"/>
        </w:rPr>
      </w:pPr>
    </w:p>
    <w:p w14:paraId="08EC238A" w14:textId="77777777" w:rsidR="00B33B1D" w:rsidRDefault="00B33B1D">
      <w:pPr>
        <w:rPr>
          <w:rFonts w:ascii="Cambria" w:hAnsi="Cambria"/>
          <w:sz w:val="24"/>
          <w:szCs w:val="24"/>
          <w:highlight w:val="yellow"/>
          <w:lang w:val="sr-Latn-RS"/>
        </w:rPr>
      </w:pPr>
      <w:r>
        <w:rPr>
          <w:rFonts w:ascii="Cambria" w:hAnsi="Cambria"/>
          <w:sz w:val="24"/>
          <w:szCs w:val="24"/>
          <w:highlight w:val="yellow"/>
          <w:lang w:val="sr-Latn-RS"/>
        </w:rPr>
        <w:br w:type="page"/>
      </w:r>
    </w:p>
    <w:p w14:paraId="661C220C" w14:textId="77777777" w:rsidR="006019A3" w:rsidRPr="004E5CDC" w:rsidRDefault="006019A3" w:rsidP="006019A3">
      <w:pPr>
        <w:pStyle w:val="Heading1"/>
        <w:jc w:val="both"/>
        <w:rPr>
          <w:rFonts w:ascii="Cambria" w:hAnsi="Cambria"/>
          <w:b/>
          <w:lang w:val="sr-Latn-RS"/>
        </w:rPr>
      </w:pPr>
      <w:bookmarkStart w:id="9" w:name="_Toc86755074"/>
      <w:r w:rsidRPr="004E5CDC">
        <w:rPr>
          <w:rFonts w:ascii="Cambria" w:hAnsi="Cambria"/>
          <w:b/>
          <w:lang w:val="sr-Latn-RS"/>
        </w:rPr>
        <w:lastRenderedPageBreak/>
        <w:t xml:space="preserve">UTICAJ PROGRAMA </w:t>
      </w:r>
      <w:r w:rsidRPr="004E5CDC">
        <w:rPr>
          <w:rFonts w:ascii="Calibri" w:hAnsi="Calibri" w:cs="Calibri"/>
          <w:b/>
          <w:lang w:val="sr-Latn-RS"/>
        </w:rPr>
        <w:t>"</w:t>
      </w:r>
      <w:r w:rsidRPr="004E5CDC">
        <w:rPr>
          <w:rFonts w:ascii="Cambria" w:hAnsi="Cambria"/>
          <w:b/>
          <w:lang w:val="sr-Latn-RS"/>
        </w:rPr>
        <w:t>EVROPA SAD!</w:t>
      </w:r>
      <w:r w:rsidRPr="004E5CDC">
        <w:rPr>
          <w:rFonts w:ascii="Calibri" w:hAnsi="Calibri" w:cs="Calibri"/>
          <w:b/>
          <w:lang w:val="sr-Latn-RS"/>
        </w:rPr>
        <w:t>"</w:t>
      </w:r>
      <w:r w:rsidRPr="004E5CDC">
        <w:rPr>
          <w:rFonts w:ascii="Cambria" w:hAnsi="Cambria"/>
          <w:b/>
          <w:lang w:val="sr-Latn-RS"/>
        </w:rPr>
        <w:t xml:space="preserve"> NA BUDŽET CRNE GORE</w:t>
      </w:r>
      <w:bookmarkEnd w:id="9"/>
      <w:r w:rsidRPr="004E5CDC">
        <w:rPr>
          <w:rFonts w:ascii="Cambria" w:hAnsi="Cambria"/>
          <w:b/>
          <w:lang w:val="sr-Latn-RS"/>
        </w:rPr>
        <w:t xml:space="preserve"> </w:t>
      </w:r>
    </w:p>
    <w:p w14:paraId="60531A0C" w14:textId="77777777" w:rsidR="006019A3" w:rsidRPr="004E5CDC" w:rsidRDefault="006019A3" w:rsidP="006019A3">
      <w:pPr>
        <w:rPr>
          <w:rFonts w:ascii="Cambria" w:hAnsi="Cambria"/>
          <w:lang w:val="sr-Latn-RS"/>
        </w:rPr>
      </w:pPr>
    </w:p>
    <w:p w14:paraId="6F1B2994" w14:textId="77777777" w:rsidR="006F1E4E" w:rsidRPr="009F1F90" w:rsidRDefault="00AE6ADD" w:rsidP="006F1E4E">
      <w:pPr>
        <w:jc w:val="both"/>
        <w:rPr>
          <w:rFonts w:ascii="Cambria" w:hAnsi="Cambria"/>
          <w:b/>
          <w:sz w:val="24"/>
          <w:szCs w:val="24"/>
          <w:lang w:val="sr-Latn-RS"/>
        </w:rPr>
      </w:pPr>
      <w:r w:rsidRPr="009F1F90">
        <w:rPr>
          <w:rFonts w:ascii="Cambria" w:hAnsi="Cambria"/>
          <w:b/>
          <w:sz w:val="24"/>
          <w:szCs w:val="24"/>
          <w:lang w:val="sr-Latn-RS"/>
        </w:rPr>
        <w:t>Kako je prethodno obrazloženo, set mjera poreske politike koji se predlaže imaće n</w:t>
      </w:r>
      <w:r w:rsidR="00C638E8" w:rsidRPr="009F1F90">
        <w:rPr>
          <w:rFonts w:ascii="Cambria" w:hAnsi="Cambria"/>
          <w:b/>
          <w:sz w:val="24"/>
          <w:szCs w:val="24"/>
          <w:lang w:val="sr-Latn-RS"/>
        </w:rPr>
        <w:t>e</w:t>
      </w:r>
      <w:r w:rsidRPr="009F1F90">
        <w:rPr>
          <w:rFonts w:ascii="Cambria" w:hAnsi="Cambria"/>
          <w:b/>
          <w:sz w:val="24"/>
          <w:szCs w:val="24"/>
          <w:lang w:val="sr-Latn-RS"/>
        </w:rPr>
        <w:t xml:space="preserve">gativan uticaj na Budžet Crne Gore u prvoj godini primjene (2022. godina), pri čemu je taj negativni efekat na </w:t>
      </w:r>
      <w:r w:rsidR="00C638E8" w:rsidRPr="009F1F90">
        <w:rPr>
          <w:rFonts w:ascii="Cambria" w:hAnsi="Cambria"/>
          <w:b/>
          <w:sz w:val="24"/>
          <w:szCs w:val="24"/>
          <w:lang w:val="sr-Latn-RS"/>
        </w:rPr>
        <w:t>n</w:t>
      </w:r>
      <w:r w:rsidRPr="009F1F90">
        <w:rPr>
          <w:rFonts w:ascii="Cambria" w:hAnsi="Cambria"/>
          <w:b/>
          <w:sz w:val="24"/>
          <w:szCs w:val="24"/>
          <w:lang w:val="sr-Latn-RS"/>
        </w:rPr>
        <w:t>ivou od ispod 1% BDP-a.</w:t>
      </w:r>
    </w:p>
    <w:p w14:paraId="00171033" w14:textId="77777777" w:rsidR="00AE6ADD" w:rsidRPr="009F1F90" w:rsidRDefault="00AE6ADD" w:rsidP="006F1E4E">
      <w:pPr>
        <w:jc w:val="both"/>
        <w:rPr>
          <w:rFonts w:ascii="Cambria" w:hAnsi="Cambria"/>
          <w:b/>
          <w:sz w:val="24"/>
          <w:szCs w:val="24"/>
          <w:lang w:val="sr-Latn-RS"/>
        </w:rPr>
      </w:pPr>
      <w:r w:rsidRPr="009F1F90">
        <w:rPr>
          <w:rFonts w:ascii="Cambria" w:hAnsi="Cambria"/>
          <w:b/>
          <w:sz w:val="24"/>
          <w:szCs w:val="24"/>
          <w:lang w:val="sr-Latn-RS"/>
        </w:rPr>
        <w:t xml:space="preserve">U srednjem a posebno </w:t>
      </w:r>
      <w:r w:rsidR="00C638E8" w:rsidRPr="009F1F90">
        <w:rPr>
          <w:rFonts w:ascii="Cambria" w:hAnsi="Cambria"/>
          <w:b/>
          <w:sz w:val="24"/>
          <w:szCs w:val="24"/>
          <w:lang w:val="sr-Latn-RS"/>
        </w:rPr>
        <w:t>d</w:t>
      </w:r>
      <w:r w:rsidRPr="009F1F90">
        <w:rPr>
          <w:rFonts w:ascii="Cambria" w:hAnsi="Cambria"/>
          <w:b/>
          <w:sz w:val="24"/>
          <w:szCs w:val="24"/>
          <w:lang w:val="sr-Latn-RS"/>
        </w:rPr>
        <w:t>ugom roku, sveobuhvatna poreska reforma ima pozitivan uticaj na Budžet Crne Gore.</w:t>
      </w:r>
    </w:p>
    <w:p w14:paraId="0FD52AB4" w14:textId="5ECEDE3B" w:rsidR="00AE6ADD" w:rsidRDefault="00AE6ADD" w:rsidP="006F1E4E">
      <w:pPr>
        <w:jc w:val="both"/>
        <w:rPr>
          <w:rFonts w:ascii="Cambria" w:hAnsi="Cambria"/>
          <w:sz w:val="24"/>
          <w:szCs w:val="24"/>
          <w:lang w:val="sr-Latn-RS"/>
        </w:rPr>
      </w:pPr>
      <w:r>
        <w:rPr>
          <w:rFonts w:ascii="Cambria" w:hAnsi="Cambria"/>
          <w:sz w:val="24"/>
          <w:szCs w:val="24"/>
          <w:lang w:val="sr-Latn-RS"/>
        </w:rPr>
        <w:t xml:space="preserve">U narednoj tabeli dat je pregled procijenjenih </w:t>
      </w:r>
      <w:r w:rsidR="00612C01">
        <w:rPr>
          <w:rFonts w:ascii="Cambria" w:hAnsi="Cambria"/>
          <w:sz w:val="24"/>
          <w:szCs w:val="24"/>
          <w:lang w:val="sr-Latn-RS"/>
        </w:rPr>
        <w:t xml:space="preserve">neto </w:t>
      </w:r>
      <w:r>
        <w:rPr>
          <w:rFonts w:ascii="Cambria" w:hAnsi="Cambria"/>
          <w:sz w:val="24"/>
          <w:szCs w:val="24"/>
          <w:lang w:val="sr-Latn-RS"/>
        </w:rPr>
        <w:t>efekata svake pojedinačne mjere na: prihode, rashode budžeta i budžetski bilans.</w:t>
      </w:r>
    </w:p>
    <w:p w14:paraId="7FD3FB61" w14:textId="77777777" w:rsidR="00895284" w:rsidRDefault="00895284" w:rsidP="006F1E4E">
      <w:pPr>
        <w:jc w:val="both"/>
        <w:rPr>
          <w:rFonts w:ascii="Cambria" w:hAnsi="Cambria"/>
          <w:sz w:val="24"/>
          <w:szCs w:val="24"/>
          <w:lang w:val="sr-Latn-RS"/>
        </w:rPr>
      </w:pPr>
    </w:p>
    <w:tbl>
      <w:tblPr>
        <w:tblW w:w="6284" w:type="dxa"/>
        <w:jc w:val="center"/>
        <w:tblLook w:val="04A0" w:firstRow="1" w:lastRow="0" w:firstColumn="1" w:lastColumn="0" w:noHBand="0" w:noVBand="1"/>
      </w:tblPr>
      <w:tblGrid>
        <w:gridCol w:w="4348"/>
        <w:gridCol w:w="968"/>
        <w:gridCol w:w="968"/>
      </w:tblGrid>
      <w:tr w:rsidR="004F6654" w:rsidRPr="004F6654" w14:paraId="0063B726" w14:textId="77777777" w:rsidTr="004F6654">
        <w:trPr>
          <w:trHeight w:val="300"/>
          <w:jc w:val="center"/>
        </w:trPr>
        <w:tc>
          <w:tcPr>
            <w:tcW w:w="4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F313"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Uticaj na prihode</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0CB2D34E"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2022</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4361220A"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2023</w:t>
            </w:r>
          </w:p>
        </w:tc>
      </w:tr>
      <w:tr w:rsidR="004F6654" w:rsidRPr="004F6654" w14:paraId="598047C2" w14:textId="77777777" w:rsidTr="004F6654">
        <w:trPr>
          <w:trHeight w:val="585"/>
          <w:jc w:val="center"/>
        </w:trPr>
        <w:tc>
          <w:tcPr>
            <w:tcW w:w="4348" w:type="dxa"/>
            <w:tcBorders>
              <w:top w:val="nil"/>
              <w:left w:val="nil"/>
              <w:bottom w:val="nil"/>
              <w:right w:val="nil"/>
            </w:tcBorders>
            <w:shd w:val="clear" w:color="auto" w:fill="auto"/>
            <w:vAlign w:val="bottom"/>
            <w:hideMark/>
          </w:tcPr>
          <w:p w14:paraId="0C75D44C"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Povećanje minimalne zarade i smanjenje poreskog opterećenja rada</w:t>
            </w:r>
          </w:p>
        </w:tc>
        <w:tc>
          <w:tcPr>
            <w:tcW w:w="968" w:type="dxa"/>
            <w:tcBorders>
              <w:top w:val="nil"/>
              <w:left w:val="nil"/>
              <w:bottom w:val="nil"/>
              <w:right w:val="nil"/>
            </w:tcBorders>
            <w:shd w:val="clear" w:color="auto" w:fill="auto"/>
            <w:vAlign w:val="center"/>
            <w:hideMark/>
          </w:tcPr>
          <w:p w14:paraId="1F5E1086"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-125,0</w:t>
            </w:r>
          </w:p>
        </w:tc>
        <w:tc>
          <w:tcPr>
            <w:tcW w:w="968" w:type="dxa"/>
            <w:tcBorders>
              <w:top w:val="nil"/>
              <w:left w:val="nil"/>
              <w:bottom w:val="nil"/>
              <w:right w:val="nil"/>
            </w:tcBorders>
            <w:shd w:val="clear" w:color="auto" w:fill="auto"/>
            <w:noWrap/>
            <w:vAlign w:val="bottom"/>
            <w:hideMark/>
          </w:tcPr>
          <w:p w14:paraId="76ACAD46"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4B71B084"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294DC04F"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Izmjena akcizne politike</w:t>
            </w:r>
          </w:p>
        </w:tc>
        <w:tc>
          <w:tcPr>
            <w:tcW w:w="968" w:type="dxa"/>
            <w:tcBorders>
              <w:top w:val="nil"/>
              <w:left w:val="nil"/>
              <w:bottom w:val="nil"/>
              <w:right w:val="nil"/>
            </w:tcBorders>
            <w:shd w:val="clear" w:color="auto" w:fill="auto"/>
            <w:noWrap/>
            <w:vAlign w:val="center"/>
            <w:hideMark/>
          </w:tcPr>
          <w:p w14:paraId="26D76095"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23,0</w:t>
            </w:r>
          </w:p>
        </w:tc>
        <w:tc>
          <w:tcPr>
            <w:tcW w:w="968" w:type="dxa"/>
            <w:tcBorders>
              <w:top w:val="nil"/>
              <w:left w:val="nil"/>
              <w:bottom w:val="nil"/>
              <w:right w:val="nil"/>
            </w:tcBorders>
            <w:shd w:val="clear" w:color="auto" w:fill="auto"/>
            <w:noWrap/>
            <w:vAlign w:val="bottom"/>
            <w:hideMark/>
          </w:tcPr>
          <w:p w14:paraId="2FA0EB5A"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09BB44D4"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638D831B"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Reprogram poreskih potraživanja</w:t>
            </w:r>
          </w:p>
        </w:tc>
        <w:tc>
          <w:tcPr>
            <w:tcW w:w="968" w:type="dxa"/>
            <w:tcBorders>
              <w:top w:val="nil"/>
              <w:left w:val="nil"/>
              <w:bottom w:val="nil"/>
              <w:right w:val="nil"/>
            </w:tcBorders>
            <w:shd w:val="clear" w:color="auto" w:fill="auto"/>
            <w:noWrap/>
            <w:vAlign w:val="center"/>
            <w:hideMark/>
          </w:tcPr>
          <w:p w14:paraId="46EB83C4"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15,0</w:t>
            </w:r>
          </w:p>
        </w:tc>
        <w:tc>
          <w:tcPr>
            <w:tcW w:w="968" w:type="dxa"/>
            <w:tcBorders>
              <w:top w:val="nil"/>
              <w:left w:val="nil"/>
              <w:bottom w:val="nil"/>
              <w:right w:val="nil"/>
            </w:tcBorders>
            <w:shd w:val="clear" w:color="auto" w:fill="auto"/>
            <w:noWrap/>
            <w:vAlign w:val="bottom"/>
            <w:hideMark/>
          </w:tcPr>
          <w:p w14:paraId="542AD1B1"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251022E0"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704C1E1A"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Progresivno oporezivanje dobiti</w:t>
            </w:r>
          </w:p>
        </w:tc>
        <w:tc>
          <w:tcPr>
            <w:tcW w:w="968" w:type="dxa"/>
            <w:tcBorders>
              <w:top w:val="nil"/>
              <w:left w:val="nil"/>
              <w:bottom w:val="nil"/>
              <w:right w:val="nil"/>
            </w:tcBorders>
            <w:shd w:val="clear" w:color="auto" w:fill="auto"/>
            <w:noWrap/>
            <w:vAlign w:val="center"/>
            <w:hideMark/>
          </w:tcPr>
          <w:p w14:paraId="332BC847"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0,0</w:t>
            </w:r>
          </w:p>
        </w:tc>
        <w:tc>
          <w:tcPr>
            <w:tcW w:w="968" w:type="dxa"/>
            <w:tcBorders>
              <w:top w:val="nil"/>
              <w:left w:val="nil"/>
              <w:bottom w:val="nil"/>
              <w:right w:val="nil"/>
            </w:tcBorders>
            <w:shd w:val="clear" w:color="auto" w:fill="auto"/>
            <w:noWrap/>
            <w:vAlign w:val="bottom"/>
            <w:hideMark/>
          </w:tcPr>
          <w:p w14:paraId="31AF16F2"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28,0</w:t>
            </w:r>
          </w:p>
        </w:tc>
      </w:tr>
      <w:tr w:rsidR="004F6654" w:rsidRPr="004F6654" w14:paraId="43F58A52"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7716A07F"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Markiranje goriva</w:t>
            </w:r>
          </w:p>
        </w:tc>
        <w:tc>
          <w:tcPr>
            <w:tcW w:w="968" w:type="dxa"/>
            <w:tcBorders>
              <w:top w:val="nil"/>
              <w:left w:val="nil"/>
              <w:bottom w:val="nil"/>
              <w:right w:val="nil"/>
            </w:tcBorders>
            <w:shd w:val="clear" w:color="auto" w:fill="auto"/>
            <w:noWrap/>
            <w:vAlign w:val="center"/>
            <w:hideMark/>
          </w:tcPr>
          <w:p w14:paraId="3A182006"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14,0</w:t>
            </w:r>
          </w:p>
        </w:tc>
        <w:tc>
          <w:tcPr>
            <w:tcW w:w="968" w:type="dxa"/>
            <w:tcBorders>
              <w:top w:val="nil"/>
              <w:left w:val="nil"/>
              <w:bottom w:val="nil"/>
              <w:right w:val="nil"/>
            </w:tcBorders>
            <w:shd w:val="clear" w:color="auto" w:fill="auto"/>
            <w:noWrap/>
            <w:vAlign w:val="bottom"/>
            <w:hideMark/>
          </w:tcPr>
          <w:p w14:paraId="4A9151A2"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64295798"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3DC836CB"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Oporezivanje neprijavljenih prihoda</w:t>
            </w:r>
          </w:p>
        </w:tc>
        <w:tc>
          <w:tcPr>
            <w:tcW w:w="968" w:type="dxa"/>
            <w:tcBorders>
              <w:top w:val="nil"/>
              <w:left w:val="nil"/>
              <w:bottom w:val="nil"/>
              <w:right w:val="nil"/>
            </w:tcBorders>
            <w:shd w:val="clear" w:color="auto" w:fill="auto"/>
            <w:noWrap/>
            <w:vAlign w:val="center"/>
            <w:hideMark/>
          </w:tcPr>
          <w:p w14:paraId="44EADCC4"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20,0</w:t>
            </w:r>
          </w:p>
        </w:tc>
        <w:tc>
          <w:tcPr>
            <w:tcW w:w="968" w:type="dxa"/>
            <w:tcBorders>
              <w:top w:val="nil"/>
              <w:left w:val="nil"/>
              <w:bottom w:val="nil"/>
              <w:right w:val="nil"/>
            </w:tcBorders>
            <w:shd w:val="clear" w:color="auto" w:fill="auto"/>
            <w:noWrap/>
            <w:vAlign w:val="bottom"/>
            <w:hideMark/>
          </w:tcPr>
          <w:p w14:paraId="01242EF0"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2C501D1D"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21125B15"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Prihodi od novog zakona o igrama na sreću</w:t>
            </w:r>
          </w:p>
        </w:tc>
        <w:tc>
          <w:tcPr>
            <w:tcW w:w="968" w:type="dxa"/>
            <w:tcBorders>
              <w:top w:val="nil"/>
              <w:left w:val="nil"/>
              <w:bottom w:val="nil"/>
              <w:right w:val="nil"/>
            </w:tcBorders>
            <w:shd w:val="clear" w:color="auto" w:fill="auto"/>
            <w:noWrap/>
            <w:vAlign w:val="center"/>
            <w:hideMark/>
          </w:tcPr>
          <w:p w14:paraId="583CF30B"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15,0</w:t>
            </w:r>
          </w:p>
        </w:tc>
        <w:tc>
          <w:tcPr>
            <w:tcW w:w="968" w:type="dxa"/>
            <w:tcBorders>
              <w:top w:val="nil"/>
              <w:left w:val="nil"/>
              <w:bottom w:val="nil"/>
              <w:right w:val="nil"/>
            </w:tcBorders>
            <w:shd w:val="clear" w:color="auto" w:fill="auto"/>
            <w:noWrap/>
            <w:vAlign w:val="bottom"/>
            <w:hideMark/>
          </w:tcPr>
          <w:p w14:paraId="3544D29A"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12383970"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187999BC"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 xml:space="preserve">Smanjenje "sive" ekonomije </w:t>
            </w:r>
          </w:p>
        </w:tc>
        <w:tc>
          <w:tcPr>
            <w:tcW w:w="968" w:type="dxa"/>
            <w:tcBorders>
              <w:top w:val="nil"/>
              <w:left w:val="nil"/>
              <w:bottom w:val="nil"/>
              <w:right w:val="nil"/>
            </w:tcBorders>
            <w:shd w:val="clear" w:color="auto" w:fill="auto"/>
            <w:noWrap/>
            <w:vAlign w:val="center"/>
            <w:hideMark/>
          </w:tcPr>
          <w:p w14:paraId="0C0B7D9E"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10,0</w:t>
            </w:r>
          </w:p>
        </w:tc>
        <w:tc>
          <w:tcPr>
            <w:tcW w:w="968" w:type="dxa"/>
            <w:tcBorders>
              <w:top w:val="nil"/>
              <w:left w:val="nil"/>
              <w:bottom w:val="nil"/>
              <w:right w:val="nil"/>
            </w:tcBorders>
            <w:shd w:val="clear" w:color="auto" w:fill="auto"/>
            <w:noWrap/>
            <w:vAlign w:val="bottom"/>
            <w:hideMark/>
          </w:tcPr>
          <w:p w14:paraId="2FDED258"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5640E1CE"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12002B66"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 xml:space="preserve">Oporezivanje podizanja gotovine </w:t>
            </w:r>
          </w:p>
        </w:tc>
        <w:tc>
          <w:tcPr>
            <w:tcW w:w="968" w:type="dxa"/>
            <w:tcBorders>
              <w:top w:val="nil"/>
              <w:left w:val="nil"/>
              <w:bottom w:val="nil"/>
              <w:right w:val="nil"/>
            </w:tcBorders>
            <w:shd w:val="clear" w:color="auto" w:fill="auto"/>
            <w:noWrap/>
            <w:vAlign w:val="center"/>
            <w:hideMark/>
          </w:tcPr>
          <w:p w14:paraId="2B8D93E4"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5,0</w:t>
            </w:r>
          </w:p>
        </w:tc>
        <w:tc>
          <w:tcPr>
            <w:tcW w:w="968" w:type="dxa"/>
            <w:tcBorders>
              <w:top w:val="nil"/>
              <w:left w:val="nil"/>
              <w:bottom w:val="nil"/>
              <w:right w:val="nil"/>
            </w:tcBorders>
            <w:shd w:val="clear" w:color="auto" w:fill="auto"/>
            <w:noWrap/>
            <w:vAlign w:val="bottom"/>
            <w:hideMark/>
          </w:tcPr>
          <w:p w14:paraId="716F4F44"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21B5790D" w14:textId="77777777" w:rsidTr="004F6654">
        <w:trPr>
          <w:trHeight w:val="300"/>
          <w:jc w:val="center"/>
        </w:trPr>
        <w:tc>
          <w:tcPr>
            <w:tcW w:w="4348" w:type="dxa"/>
            <w:tcBorders>
              <w:top w:val="single" w:sz="4" w:space="0" w:color="auto"/>
              <w:left w:val="single" w:sz="4" w:space="0" w:color="auto"/>
              <w:bottom w:val="single" w:sz="4" w:space="0" w:color="auto"/>
              <w:right w:val="nil"/>
            </w:tcBorders>
            <w:shd w:val="clear" w:color="auto" w:fill="auto"/>
            <w:noWrap/>
            <w:vAlign w:val="bottom"/>
            <w:hideMark/>
          </w:tcPr>
          <w:p w14:paraId="122390A7"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ukupno</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797110F6"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-23,0</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01A49359"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28,0</w:t>
            </w:r>
          </w:p>
        </w:tc>
      </w:tr>
      <w:tr w:rsidR="004F6654" w:rsidRPr="004F6654" w14:paraId="078F2970"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49F1B8A5"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Uticaj na rashode</w:t>
            </w:r>
          </w:p>
        </w:tc>
        <w:tc>
          <w:tcPr>
            <w:tcW w:w="968" w:type="dxa"/>
            <w:tcBorders>
              <w:top w:val="nil"/>
              <w:left w:val="nil"/>
              <w:bottom w:val="nil"/>
              <w:right w:val="nil"/>
            </w:tcBorders>
            <w:shd w:val="clear" w:color="auto" w:fill="auto"/>
            <w:noWrap/>
            <w:vAlign w:val="center"/>
            <w:hideMark/>
          </w:tcPr>
          <w:p w14:paraId="59457DE0"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p>
        </w:tc>
        <w:tc>
          <w:tcPr>
            <w:tcW w:w="968" w:type="dxa"/>
            <w:tcBorders>
              <w:top w:val="nil"/>
              <w:left w:val="nil"/>
              <w:bottom w:val="nil"/>
              <w:right w:val="nil"/>
            </w:tcBorders>
            <w:shd w:val="clear" w:color="auto" w:fill="auto"/>
            <w:noWrap/>
            <w:vAlign w:val="bottom"/>
            <w:hideMark/>
          </w:tcPr>
          <w:p w14:paraId="59FADA22" w14:textId="77777777" w:rsidR="004F6654" w:rsidRPr="004F6654" w:rsidRDefault="004F6654" w:rsidP="004F6654">
            <w:pPr>
              <w:spacing w:after="0" w:line="240" w:lineRule="auto"/>
              <w:jc w:val="center"/>
              <w:rPr>
                <w:rFonts w:ascii="Times New Roman" w:eastAsia="Times New Roman" w:hAnsi="Times New Roman" w:cs="Times New Roman"/>
                <w:sz w:val="20"/>
                <w:szCs w:val="20"/>
                <w:lang w:val="sr-Latn-RS" w:eastAsia="en-GB"/>
              </w:rPr>
            </w:pPr>
          </w:p>
        </w:tc>
      </w:tr>
      <w:tr w:rsidR="004F6654" w:rsidRPr="004F6654" w14:paraId="6A5B7587" w14:textId="77777777" w:rsidTr="004F6654">
        <w:trPr>
          <w:trHeight w:val="585"/>
          <w:jc w:val="center"/>
        </w:trPr>
        <w:tc>
          <w:tcPr>
            <w:tcW w:w="4348" w:type="dxa"/>
            <w:tcBorders>
              <w:top w:val="nil"/>
              <w:left w:val="nil"/>
              <w:bottom w:val="nil"/>
              <w:right w:val="nil"/>
            </w:tcBorders>
            <w:shd w:val="clear" w:color="auto" w:fill="auto"/>
            <w:vAlign w:val="bottom"/>
            <w:hideMark/>
          </w:tcPr>
          <w:p w14:paraId="1A35746C"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Povećanje minimalne zarade i smanjenje poreskog opterećenja rada</w:t>
            </w:r>
          </w:p>
        </w:tc>
        <w:tc>
          <w:tcPr>
            <w:tcW w:w="968" w:type="dxa"/>
            <w:tcBorders>
              <w:top w:val="nil"/>
              <w:left w:val="nil"/>
              <w:bottom w:val="nil"/>
              <w:right w:val="nil"/>
            </w:tcBorders>
            <w:shd w:val="clear" w:color="auto" w:fill="auto"/>
            <w:noWrap/>
            <w:vAlign w:val="center"/>
            <w:hideMark/>
          </w:tcPr>
          <w:p w14:paraId="0FC018B2"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-0,7</w:t>
            </w:r>
          </w:p>
        </w:tc>
        <w:tc>
          <w:tcPr>
            <w:tcW w:w="968" w:type="dxa"/>
            <w:tcBorders>
              <w:top w:val="nil"/>
              <w:left w:val="nil"/>
              <w:bottom w:val="nil"/>
              <w:right w:val="nil"/>
            </w:tcBorders>
            <w:shd w:val="clear" w:color="auto" w:fill="auto"/>
            <w:noWrap/>
            <w:vAlign w:val="bottom"/>
            <w:hideMark/>
          </w:tcPr>
          <w:p w14:paraId="578026C0"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r>
      <w:tr w:rsidR="004F6654" w:rsidRPr="004F6654" w14:paraId="2309B517" w14:textId="77777777" w:rsidTr="004F6654">
        <w:trPr>
          <w:trHeight w:val="300"/>
          <w:jc w:val="center"/>
        </w:trPr>
        <w:tc>
          <w:tcPr>
            <w:tcW w:w="4348" w:type="dxa"/>
            <w:tcBorders>
              <w:top w:val="nil"/>
              <w:left w:val="nil"/>
              <w:bottom w:val="nil"/>
              <w:right w:val="nil"/>
            </w:tcBorders>
            <w:shd w:val="clear" w:color="auto" w:fill="auto"/>
            <w:vAlign w:val="bottom"/>
            <w:hideMark/>
          </w:tcPr>
          <w:p w14:paraId="51B8BDD1" w14:textId="77777777" w:rsidR="004F6654" w:rsidRPr="004F6654" w:rsidRDefault="004F6654" w:rsidP="004F6654">
            <w:pPr>
              <w:spacing w:after="0" w:line="240" w:lineRule="auto"/>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Usklađivanje ostalih kategorija rashoda</w:t>
            </w:r>
          </w:p>
        </w:tc>
        <w:tc>
          <w:tcPr>
            <w:tcW w:w="968" w:type="dxa"/>
            <w:tcBorders>
              <w:top w:val="nil"/>
              <w:left w:val="nil"/>
              <w:bottom w:val="nil"/>
              <w:right w:val="nil"/>
            </w:tcBorders>
            <w:shd w:val="clear" w:color="auto" w:fill="auto"/>
            <w:noWrap/>
            <w:vAlign w:val="center"/>
            <w:hideMark/>
          </w:tcPr>
          <w:p w14:paraId="3756EBD8"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13,0</w:t>
            </w:r>
          </w:p>
        </w:tc>
        <w:tc>
          <w:tcPr>
            <w:tcW w:w="968" w:type="dxa"/>
            <w:tcBorders>
              <w:top w:val="nil"/>
              <w:left w:val="nil"/>
              <w:bottom w:val="nil"/>
              <w:right w:val="nil"/>
            </w:tcBorders>
            <w:shd w:val="clear" w:color="auto" w:fill="auto"/>
            <w:noWrap/>
            <w:vAlign w:val="bottom"/>
            <w:hideMark/>
          </w:tcPr>
          <w:p w14:paraId="1CA28D0C"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10,0</w:t>
            </w:r>
          </w:p>
        </w:tc>
      </w:tr>
      <w:tr w:rsidR="004F6654" w:rsidRPr="004F6654" w14:paraId="6EF83EF5" w14:textId="77777777" w:rsidTr="004F6654">
        <w:trPr>
          <w:trHeight w:val="300"/>
          <w:jc w:val="center"/>
        </w:trPr>
        <w:tc>
          <w:tcPr>
            <w:tcW w:w="4348" w:type="dxa"/>
            <w:tcBorders>
              <w:top w:val="single" w:sz="4" w:space="0" w:color="auto"/>
              <w:left w:val="single" w:sz="4" w:space="0" w:color="auto"/>
              <w:bottom w:val="single" w:sz="4" w:space="0" w:color="auto"/>
              <w:right w:val="nil"/>
            </w:tcBorders>
            <w:shd w:val="clear" w:color="auto" w:fill="auto"/>
            <w:noWrap/>
            <w:vAlign w:val="bottom"/>
            <w:hideMark/>
          </w:tcPr>
          <w:p w14:paraId="467501E1"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ukupno</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1D5FC5E"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12,3</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593F5DA4"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r w:rsidRPr="004F6654">
              <w:rPr>
                <w:rFonts w:ascii="Cambria" w:eastAsia="Times New Roman" w:hAnsi="Cambria" w:cs="Calibri"/>
                <w:color w:val="000000"/>
                <w:lang w:val="sr-Latn-RS" w:eastAsia="en-GB"/>
              </w:rPr>
              <w:t>10,0</w:t>
            </w:r>
          </w:p>
        </w:tc>
      </w:tr>
      <w:tr w:rsidR="004F6654" w:rsidRPr="004F6654" w14:paraId="155DB120" w14:textId="77777777" w:rsidTr="004F6654">
        <w:trPr>
          <w:trHeight w:val="300"/>
          <w:jc w:val="center"/>
        </w:trPr>
        <w:tc>
          <w:tcPr>
            <w:tcW w:w="4348" w:type="dxa"/>
            <w:tcBorders>
              <w:top w:val="nil"/>
              <w:left w:val="nil"/>
              <w:bottom w:val="nil"/>
              <w:right w:val="nil"/>
            </w:tcBorders>
            <w:shd w:val="clear" w:color="auto" w:fill="auto"/>
            <w:noWrap/>
            <w:vAlign w:val="bottom"/>
            <w:hideMark/>
          </w:tcPr>
          <w:p w14:paraId="449429CD" w14:textId="77777777" w:rsidR="004F6654" w:rsidRPr="004F6654" w:rsidRDefault="004F6654" w:rsidP="004F6654">
            <w:pPr>
              <w:spacing w:after="0" w:line="240" w:lineRule="auto"/>
              <w:jc w:val="center"/>
              <w:rPr>
                <w:rFonts w:ascii="Cambria" w:eastAsia="Times New Roman" w:hAnsi="Cambria" w:cs="Calibri"/>
                <w:color w:val="000000"/>
                <w:lang w:val="sr-Latn-RS" w:eastAsia="en-GB"/>
              </w:rPr>
            </w:pPr>
          </w:p>
        </w:tc>
        <w:tc>
          <w:tcPr>
            <w:tcW w:w="968" w:type="dxa"/>
            <w:tcBorders>
              <w:top w:val="nil"/>
              <w:left w:val="nil"/>
              <w:bottom w:val="nil"/>
              <w:right w:val="nil"/>
            </w:tcBorders>
            <w:shd w:val="clear" w:color="auto" w:fill="auto"/>
            <w:noWrap/>
            <w:vAlign w:val="center"/>
            <w:hideMark/>
          </w:tcPr>
          <w:p w14:paraId="03146D6D" w14:textId="77777777" w:rsidR="004F6654" w:rsidRPr="004F6654" w:rsidRDefault="004F6654" w:rsidP="004F6654">
            <w:pPr>
              <w:spacing w:after="0" w:line="240" w:lineRule="auto"/>
              <w:jc w:val="center"/>
              <w:rPr>
                <w:rFonts w:ascii="Times New Roman" w:eastAsia="Times New Roman" w:hAnsi="Times New Roman" w:cs="Times New Roman"/>
                <w:sz w:val="20"/>
                <w:szCs w:val="20"/>
                <w:lang w:val="sr-Latn-RS" w:eastAsia="en-GB"/>
              </w:rPr>
            </w:pPr>
          </w:p>
        </w:tc>
        <w:tc>
          <w:tcPr>
            <w:tcW w:w="968" w:type="dxa"/>
            <w:tcBorders>
              <w:top w:val="nil"/>
              <w:left w:val="nil"/>
              <w:bottom w:val="nil"/>
              <w:right w:val="nil"/>
            </w:tcBorders>
            <w:shd w:val="clear" w:color="auto" w:fill="auto"/>
            <w:noWrap/>
            <w:vAlign w:val="bottom"/>
            <w:hideMark/>
          </w:tcPr>
          <w:p w14:paraId="41B69ACE" w14:textId="77777777" w:rsidR="004F6654" w:rsidRPr="004F6654" w:rsidRDefault="004F6654" w:rsidP="004F6654">
            <w:pPr>
              <w:spacing w:after="0" w:line="240" w:lineRule="auto"/>
              <w:jc w:val="center"/>
              <w:rPr>
                <w:rFonts w:ascii="Times New Roman" w:eastAsia="Times New Roman" w:hAnsi="Times New Roman" w:cs="Times New Roman"/>
                <w:sz w:val="20"/>
                <w:szCs w:val="20"/>
                <w:lang w:val="sr-Latn-RS" w:eastAsia="en-GB"/>
              </w:rPr>
            </w:pPr>
          </w:p>
        </w:tc>
      </w:tr>
      <w:tr w:rsidR="004F6654" w:rsidRPr="004F6654" w14:paraId="5424C8EB" w14:textId="77777777" w:rsidTr="004F6654">
        <w:trPr>
          <w:trHeight w:val="300"/>
          <w:jc w:val="center"/>
        </w:trPr>
        <w:tc>
          <w:tcPr>
            <w:tcW w:w="4348" w:type="dxa"/>
            <w:tcBorders>
              <w:top w:val="single" w:sz="4" w:space="0" w:color="auto"/>
              <w:left w:val="single" w:sz="4" w:space="0" w:color="auto"/>
              <w:bottom w:val="single" w:sz="4" w:space="0" w:color="auto"/>
              <w:right w:val="nil"/>
            </w:tcBorders>
            <w:shd w:val="clear" w:color="auto" w:fill="auto"/>
            <w:noWrap/>
            <w:vAlign w:val="bottom"/>
            <w:hideMark/>
          </w:tcPr>
          <w:p w14:paraId="4660CC66"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Uticaj na budžetski bilans</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0A8E529A"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-35,3</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1103A6DB" w14:textId="77777777" w:rsidR="004F6654" w:rsidRPr="004F6654" w:rsidRDefault="004F6654" w:rsidP="004F6654">
            <w:pPr>
              <w:spacing w:after="0" w:line="240" w:lineRule="auto"/>
              <w:jc w:val="center"/>
              <w:rPr>
                <w:rFonts w:ascii="Cambria" w:eastAsia="Times New Roman" w:hAnsi="Cambria" w:cs="Calibri"/>
                <w:b/>
                <w:bCs/>
                <w:color w:val="000000"/>
                <w:lang w:val="sr-Latn-RS" w:eastAsia="en-GB"/>
              </w:rPr>
            </w:pPr>
            <w:r w:rsidRPr="004F6654">
              <w:rPr>
                <w:rFonts w:ascii="Cambria" w:eastAsia="Times New Roman" w:hAnsi="Cambria" w:cs="Calibri"/>
                <w:b/>
                <w:bCs/>
                <w:color w:val="000000"/>
                <w:lang w:val="sr-Latn-RS" w:eastAsia="en-GB"/>
              </w:rPr>
              <w:t>18,0</w:t>
            </w:r>
          </w:p>
        </w:tc>
      </w:tr>
    </w:tbl>
    <w:p w14:paraId="1EC99910" w14:textId="77777777" w:rsidR="00AE6ADD" w:rsidRPr="00AE6ADD" w:rsidRDefault="00AE6ADD" w:rsidP="004F6654">
      <w:pPr>
        <w:jc w:val="center"/>
        <w:rPr>
          <w:rFonts w:ascii="Cambria" w:hAnsi="Cambria"/>
          <w:sz w:val="24"/>
          <w:szCs w:val="24"/>
          <w:lang w:val="sr-Latn-RS"/>
        </w:rPr>
      </w:pPr>
    </w:p>
    <w:sectPr w:rsidR="00AE6ADD" w:rsidRPr="00AE6ADD" w:rsidSect="005A38E9">
      <w:headerReference w:type="default" r:id="rId15"/>
      <w:footerReference w:type="default" r:id="rId16"/>
      <w:pgSz w:w="11906" w:h="16838"/>
      <w:pgMar w:top="1417" w:right="1134" w:bottom="1417" w:left="1701" w:header="144"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43E8" w14:textId="77777777" w:rsidR="0021611C" w:rsidRDefault="0021611C" w:rsidP="00E81493">
      <w:pPr>
        <w:spacing w:after="0" w:line="240" w:lineRule="auto"/>
      </w:pPr>
      <w:r>
        <w:separator/>
      </w:r>
    </w:p>
  </w:endnote>
  <w:endnote w:type="continuationSeparator" w:id="0">
    <w:p w14:paraId="0A648C93" w14:textId="77777777" w:rsidR="0021611C" w:rsidRDefault="0021611C" w:rsidP="00E8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656117"/>
      <w:docPartObj>
        <w:docPartGallery w:val="Page Numbers (Bottom of Page)"/>
        <w:docPartUnique/>
      </w:docPartObj>
    </w:sdtPr>
    <w:sdtEndPr>
      <w:rPr>
        <w:rFonts w:ascii="Cambria" w:hAnsi="Cambria"/>
        <w:noProof/>
      </w:rPr>
    </w:sdtEndPr>
    <w:sdtContent>
      <w:p w14:paraId="7F6BC376" w14:textId="44668179" w:rsidR="002A1FAB" w:rsidRPr="00556AEE" w:rsidRDefault="002A1FAB">
        <w:pPr>
          <w:pStyle w:val="Footer"/>
          <w:jc w:val="right"/>
          <w:rPr>
            <w:rFonts w:ascii="Cambria" w:hAnsi="Cambria"/>
          </w:rPr>
        </w:pPr>
        <w:r w:rsidRPr="00A04C1C">
          <w:rPr>
            <w:rFonts w:ascii="Cambria" w:hAnsi="Cambria"/>
            <w:b/>
            <w:i/>
            <w:noProof/>
            <w:sz w:val="24"/>
            <w:szCs w:val="24"/>
            <w:lang w:val="en-US"/>
          </w:rPr>
          <mc:AlternateContent>
            <mc:Choice Requires="wps">
              <w:drawing>
                <wp:anchor distT="0" distB="0" distL="114300" distR="114300" simplePos="0" relativeHeight="251659264" behindDoc="0" locked="0" layoutInCell="1" allowOverlap="1" wp14:anchorId="146860E0" wp14:editId="30BB59A0">
                  <wp:simplePos x="0" y="0"/>
                  <wp:positionH relativeFrom="page">
                    <wp:posOffset>0</wp:posOffset>
                  </wp:positionH>
                  <wp:positionV relativeFrom="paragraph">
                    <wp:posOffset>247015</wp:posOffset>
                  </wp:positionV>
                  <wp:extent cx="4759036" cy="502169"/>
                  <wp:effectExtent l="0" t="0" r="22860" b="12700"/>
                  <wp:wrapNone/>
                  <wp:docPr id="5" name="Rectangle 16">
                    <a:extLst xmlns:a="http://schemas.openxmlformats.org/drawingml/2006/main">
                      <a:ext uri="{FF2B5EF4-FFF2-40B4-BE49-F238E27FC236}">
                        <a16:creationId xmlns:a16="http://schemas.microsoft.com/office/drawing/2014/main" id="{33D5C8DE-6218-4DAC-BDA4-D9972C75312C}"/>
                      </a:ext>
                    </a:extLst>
                  </wp:docPr>
                  <wp:cNvGraphicFramePr/>
                  <a:graphic xmlns:a="http://schemas.openxmlformats.org/drawingml/2006/main">
                    <a:graphicData uri="http://schemas.microsoft.com/office/word/2010/wordprocessingShape">
                      <wps:wsp>
                        <wps:cNvSpPr/>
                        <wps:spPr>
                          <a:xfrm>
                            <a:off x="0" y="0"/>
                            <a:ext cx="4759036" cy="502169"/>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0C146CF" id="Rectangle 16" o:spid="_x0000_s1026" style="position:absolute;margin-left:0;margin-top:19.45pt;width:374.75pt;height:3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McQIAAEsFAAAOAAAAZHJzL2Uyb0RvYy54bWysVNlunDAUfa/Uf0C8MywDzKIwUQaGqlKV&#10;Rkn7AR5jBiRjI9udRVH+vdcXhi6pqioqD8bLvcfnHF/75vbccefIlG6lyNxwFrgOE1RWrThk7tcv&#10;pbd0HW2IqAiXgmXuhWn3dvP+3c2pX7NINpJXTDkAIvT61GduY0y/9n1NG9YRPZM9E7BYS9URA0N1&#10;8CtFToDecT8KgtQ/SVX1SlKmNcwWw6K7Qfy6ZtR8rmvNjMMzF7gZbBW2e9v6mxuyPijSNy0daZA3&#10;sOhIK2DTCaoghjjfVPsKqmupklrWZkZl58u6bilDDaAmDH5T89SQnqEWMEf3k036/8HS++ODctoq&#10;cxPXEaSDI3oE04g4cOaEKWpiZ/NJG6sOeoOq57KMtsmujL0Sel4cbGNvu4tXXhnNl7toUebRPH2x&#10;2WG6pooRA/Xxsbo6HKb/pmA8a+tN7KPHSPV5Pi+SfFnsvDQKl15c3OXetriLvWK1WkT5IpmHUf5i&#10;z9ZHztc/qvBPvV6jbFsk2H3qHxQE25GGrlV6rlVn/3BCzhnL5TKVi3WBwmS8SFbBPHUdCmtJEIXp&#10;atzzmt0rbT4w2Tm2k7kKnEVHyRGoDPSuIXYzLXlblS3nOFCHfc6VcyS2dIMoSLFaQdEvYVy8LRNw&#10;bCq6MYhG+ebCmQXk4pHVYDbIjJAy3kg2ESKUMmHCYakhFRt4JgF8owlTBtqPgBa5Bn0T9ghgb/tr&#10;7MGgMd6mMrzQU3LwN2Lj4V8zcGcpzJTctUKqPwFwUDXuPMRfTRqssS7tZXWBW6MMz+XwrhBBGwnP&#10;CjUKk20U3FhUPr4u9kn4eYywP97AzXcAAAD//wMAUEsDBBQABgAIAAAAIQDfqwyv3QAAAAcBAAAP&#10;AAAAZHJzL2Rvd25yZXYueG1sTI9BT4NAFITvJv6HzTPxZheqrYAsjTHpwUMTbe19C0+gsm8J+1ro&#10;v/f1pMfJTGa+yVeT69QZh9B6MhDPIlBIpa9aqg187dYPCajAlirbeUIDFwywKm5vcptVfqRPPG+5&#10;VlJCIbMGGuY+0zqUDTobZr5HEu/bD86yyKHW1WBHKXednkfRUjvbkiw0tse3Bsuf7ckZ2H/0nF52&#10;49HiernZH8f3eM4LY+7vptcXUIwT/4Xhii/oUAjTwZ+oCqozIEfYwGOSghL3+SldgDpILE4i0EWu&#10;//MXvwAAAP//AwBQSwECLQAUAAYACAAAACEAtoM4kv4AAADhAQAAEwAAAAAAAAAAAAAAAAAAAAAA&#10;W0NvbnRlbnRfVHlwZXNdLnhtbFBLAQItABQABgAIAAAAIQA4/SH/1gAAAJQBAAALAAAAAAAAAAAA&#10;AAAAAC8BAABfcmVscy8ucmVsc1BLAQItABQABgAIAAAAIQD+VAcMcQIAAEsFAAAOAAAAAAAAAAAA&#10;AAAAAC4CAABkcnMvZTJvRG9jLnhtbFBLAQItABQABgAIAAAAIQDfqwyv3QAAAAcBAAAPAAAAAAAA&#10;AAAAAAAAAMsEAABkcnMvZG93bnJldi54bWxQSwUGAAAAAAQABADzAAAA1QUAAAAA&#10;" fillcolor="#002060" strokecolor="#002060" strokeweight="1.25pt">
                  <w10:wrap anchorx="page"/>
                </v:rect>
              </w:pict>
            </mc:Fallback>
          </mc:AlternateContent>
        </w:r>
        <w:r w:rsidRPr="00556AEE">
          <w:rPr>
            <w:rFonts w:ascii="Cambria" w:hAnsi="Cambria"/>
          </w:rPr>
          <w:fldChar w:fldCharType="begin"/>
        </w:r>
        <w:r w:rsidRPr="00556AEE">
          <w:rPr>
            <w:rFonts w:ascii="Cambria" w:hAnsi="Cambria"/>
          </w:rPr>
          <w:instrText xml:space="preserve"> PAGE   \* MERGEFORMAT </w:instrText>
        </w:r>
        <w:r w:rsidRPr="00556AEE">
          <w:rPr>
            <w:rFonts w:ascii="Cambria" w:hAnsi="Cambria"/>
          </w:rPr>
          <w:fldChar w:fldCharType="separate"/>
        </w:r>
        <w:r w:rsidR="00837277">
          <w:rPr>
            <w:rFonts w:ascii="Cambria" w:hAnsi="Cambria"/>
            <w:noProof/>
          </w:rPr>
          <w:t>25</w:t>
        </w:r>
        <w:r w:rsidRPr="00556AEE">
          <w:rPr>
            <w:rFonts w:ascii="Cambria" w:hAnsi="Cambria"/>
            <w:noProof/>
          </w:rPr>
          <w:fldChar w:fldCharType="end"/>
        </w:r>
      </w:p>
    </w:sdtContent>
  </w:sdt>
  <w:p w14:paraId="64368C5D" w14:textId="7C722A22" w:rsidR="002A1FAB" w:rsidRDefault="002A1FAB" w:rsidP="005A38E9">
    <w:pPr>
      <w:pStyle w:val="Footer"/>
      <w:tabs>
        <w:tab w:val="clear" w:pos="4535"/>
        <w:tab w:val="clear" w:pos="9071"/>
        <w:tab w:val="left" w:pos="2064"/>
      </w:tabs>
    </w:pPr>
    <w:r w:rsidRPr="00A04C1C">
      <w:rPr>
        <w:rFonts w:ascii="Cambria" w:hAnsi="Cambria"/>
        <w:b/>
        <w:i/>
        <w:noProof/>
        <w:sz w:val="24"/>
        <w:szCs w:val="24"/>
        <w:lang w:val="en-US"/>
      </w:rPr>
      <mc:AlternateContent>
        <mc:Choice Requires="wps">
          <w:drawing>
            <wp:anchor distT="0" distB="0" distL="114300" distR="114300" simplePos="0" relativeHeight="251661312" behindDoc="0" locked="0" layoutInCell="1" allowOverlap="1" wp14:anchorId="01582ECE" wp14:editId="2C4237A0">
              <wp:simplePos x="0" y="0"/>
              <wp:positionH relativeFrom="page">
                <wp:align>right</wp:align>
              </wp:positionH>
              <wp:positionV relativeFrom="paragraph">
                <wp:posOffset>87630</wp:posOffset>
              </wp:positionV>
              <wp:extent cx="2789671" cy="707390"/>
              <wp:effectExtent l="19050" t="19050" r="10795" b="26670"/>
              <wp:wrapNone/>
              <wp:docPr id="18" name="TextBox 17">
                <a:extLst xmlns:a="http://schemas.openxmlformats.org/drawingml/2006/main">
                  <a:ext uri="{FF2B5EF4-FFF2-40B4-BE49-F238E27FC236}">
                    <a16:creationId xmlns:a16="http://schemas.microsoft.com/office/drawing/2014/main" id="{D023FC6A-CB92-4860-A597-1EB62A0347C1}"/>
                  </a:ext>
                </a:extLst>
              </wp:docPr>
              <wp:cNvGraphicFramePr/>
              <a:graphic xmlns:a="http://schemas.openxmlformats.org/drawingml/2006/main">
                <a:graphicData uri="http://schemas.microsoft.com/office/word/2010/wordprocessingShape">
                  <wps:wsp>
                    <wps:cNvSpPr txBox="1"/>
                    <wps:spPr>
                      <a:xfrm>
                        <a:off x="0" y="0"/>
                        <a:ext cx="2789671" cy="707390"/>
                      </a:xfrm>
                      <a:prstGeom prst="rect">
                        <a:avLst/>
                      </a:prstGeom>
                      <a:solidFill>
                        <a:schemeClr val="bg1"/>
                      </a:solidFill>
                      <a:ln w="28575">
                        <a:solidFill>
                          <a:srgbClr val="002060"/>
                        </a:solidFill>
                      </a:ln>
                    </wps:spPr>
                    <wps:txbx>
                      <w:txbxContent>
                        <w:p w14:paraId="3DC9261E" w14:textId="77777777" w:rsidR="002A1FAB" w:rsidRPr="00A04C1C" w:rsidRDefault="002A1FAB" w:rsidP="006A1F74">
                          <w:pPr>
                            <w:pStyle w:val="NormalWeb"/>
                            <w:spacing w:before="0" w:beforeAutospacing="0" w:after="0" w:afterAutospacing="0"/>
                            <w:jc w:val="center"/>
                            <w:rPr>
                              <w:sz w:val="50"/>
                              <w:szCs w:val="50"/>
                            </w:rPr>
                          </w:pPr>
                          <w:r w:rsidRPr="00A04C1C">
                            <w:rPr>
                              <w:rFonts w:ascii="Gill Sans MT" w:hAnsi="Gill Sans MT" w:cstheme="minorBidi"/>
                              <w:b/>
                              <w:bCs/>
                              <w:color w:val="002060"/>
                              <w:kern w:val="24"/>
                              <w:position w:val="1"/>
                              <w:sz w:val="50"/>
                              <w:szCs w:val="50"/>
                              <w:lang w:val="sr-Latn-ME"/>
                            </w:rPr>
                            <w:t>EVROPA SAD</w:t>
                          </w:r>
                          <w:r w:rsidRPr="00A04C1C">
                            <w:rPr>
                              <w:rFonts w:ascii="Gill Sans MT" w:hAnsi="Gill Sans MT" w:cstheme="minorBidi"/>
                              <w:b/>
                              <w:bCs/>
                              <w:color w:val="002060"/>
                              <w:kern w:val="24"/>
                              <w:position w:val="1"/>
                              <w:sz w:val="50"/>
                              <w:szCs w:val="50"/>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01582ECE" id="_x0000_t202" coordsize="21600,21600" o:spt="202" path="m,l,21600r21600,l21600,xe">
              <v:stroke joinstyle="miter"/>
              <v:path gradientshapeok="t" o:connecttype="rect"/>
            </v:shapetype>
            <v:shape id="TextBox 17" o:spid="_x0000_s1031" type="#_x0000_t202" style="position:absolute;margin-left:168.45pt;margin-top:6.9pt;width:219.65pt;height:55.7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OrPQIAAF0EAAAOAAAAZHJzL2Uyb0RvYy54bWysVNuOmzAQfa/Uf7D8TjCEQIJCVoGEqlLV&#10;VtrtBzhgEiSDXdsJRKv9946dy+62L1XVFzP22MfnnBmzfBg7jk5M6Vb0GQ4mBCPWV6Ju+32GfzyV&#10;3hwjbWhfUy56luEz0/hh9fHDcpApC8VB8JopBCC9TgeZ4YMxMvV9XR1YR/VESNZDshGqowamau/X&#10;ig6A3nE/JCT2B6FqqUTFtIbVzSWJVw6/aVhlvjWNZgbxDAM340blxp0d/dWSpntF5aGtrjToP7Do&#10;aNvDpXeoDTUUHVX7B1TXVkpo0ZhJJTpfNE1bMacB1ATkNzWPByqZ0wLmaHm3Sf8/2Orr6btCbQ21&#10;g0r1tIMaPbHR5GJEQeIkweyLNlYcRBdRz2UZ5rNtGXklRF5E8sjLt9HCK8PpfBsmZRFO4xd7OojT&#10;SjFqoD0+1zeDg/jvBFxLba2JfGexY/q8IeG0LOK1V+QLuH0eE289WyResM3jcE2mUVIEL7a0vuN8&#10;+zoV/iB16lTbHnHhowQLzAiSwQV7zK5rWLSax0Z19gulQpCHHjrf+8b6UcFimMwXcRJgVEEuIcl0&#10;4RoLbr+dlkqbT0x0yAYZVtCXzlt6AlIXorct9jIteFuXLeduYt8CK7hCJwpdvNs7jgD+bhfv0QBM&#10;5rNk5pDfJbXa7+4AhIQkvhF8sw0QeQ9evaq3kRl349WSnajP4NQAryXD+ueRKoaRMrwQ7nE5rnJ9&#10;NKJsnSZ7/HLmigo97GpxfW/2kbydu12vf4XVLwAAAP//AwBQSwMEFAAGAAgAAAAhALa4OTfaAAAA&#10;BwEAAA8AAABkcnMvZG93bnJldi54bWxMj8FOwzAQRO9I/IO1SFwQdUgooiFOhSpxRIJQ7pvYxAF7&#10;HcVumv49y4keZ2Y187baLt6J2UxxCKTgbpWBMNQFPVCvYP/xcvsIIiYkjS6QUXAyEbb15UWFpQ5H&#10;ejdzk3rBJRRLVGBTGkspY2eNx7gKoyHOvsLkMbGceqknPHK5dzLPsgfpcSBesDianTXdT3PwCt6a&#10;Hc7dtwvz/vPG06ld283rqNT11fL8BCKZJf0fwx8+o0PNTG04kI7CKeBHErsF83N6X2wKEC0b+ToH&#10;WVfynL/+BQAA//8DAFBLAQItABQABgAIAAAAIQC2gziS/gAAAOEBAAATAAAAAAAAAAAAAAAAAAAA&#10;AABbQ29udGVudF9UeXBlc10ueG1sUEsBAi0AFAAGAAgAAAAhADj9If/WAAAAlAEAAAsAAAAAAAAA&#10;AAAAAAAALwEAAF9yZWxzLy5yZWxzUEsBAi0AFAAGAAgAAAAhAOng46s9AgAAXQQAAA4AAAAAAAAA&#10;AAAAAAAALgIAAGRycy9lMm9Eb2MueG1sUEsBAi0AFAAGAAgAAAAhALa4OTfaAAAABwEAAA8AAAAA&#10;AAAAAAAAAAAAlwQAAGRycy9kb3ducmV2LnhtbFBLBQYAAAAABAAEAPMAAACeBQAAAAA=&#10;" fillcolor="white [3212]" strokecolor="#002060" strokeweight="2.25pt">
              <v:textbox style="mso-fit-shape-to-text:t">
                <w:txbxContent>
                  <w:p w14:paraId="3DC9261E" w14:textId="77777777" w:rsidR="006A1F74" w:rsidRPr="00A04C1C" w:rsidRDefault="006A1F74" w:rsidP="006A1F74">
                    <w:pPr>
                      <w:pStyle w:val="NormalWeb"/>
                      <w:spacing w:before="0" w:beforeAutospacing="0" w:after="0" w:afterAutospacing="0"/>
                      <w:jc w:val="center"/>
                      <w:rPr>
                        <w:sz w:val="50"/>
                        <w:szCs w:val="50"/>
                      </w:rPr>
                    </w:pPr>
                    <w:r w:rsidRPr="00A04C1C">
                      <w:rPr>
                        <w:rFonts w:ascii="Gill Sans MT" w:hAnsi="Gill Sans MT" w:cstheme="minorBidi"/>
                        <w:b/>
                        <w:bCs/>
                        <w:color w:val="002060"/>
                        <w:kern w:val="24"/>
                        <w:position w:val="1"/>
                        <w:sz w:val="50"/>
                        <w:szCs w:val="50"/>
                        <w:lang w:val="sr-Latn-ME"/>
                      </w:rPr>
                      <w:t>EVROPA SAD</w:t>
                    </w:r>
                    <w:r w:rsidRPr="00A04C1C">
                      <w:rPr>
                        <w:rFonts w:ascii="Gill Sans MT" w:hAnsi="Gill Sans MT" w:cstheme="minorBidi"/>
                        <w:b/>
                        <w:bCs/>
                        <w:color w:val="002060"/>
                        <w:kern w:val="24"/>
                        <w:position w:val="1"/>
                        <w:sz w:val="50"/>
                        <w:szCs w:val="50"/>
                      </w:rPr>
                      <w:t>!</w:t>
                    </w:r>
                  </w:p>
                </w:txbxContent>
              </v:textbox>
              <w10:wrap anchorx="page"/>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43F1" w14:textId="77777777" w:rsidR="0021611C" w:rsidRDefault="0021611C" w:rsidP="00E81493">
      <w:pPr>
        <w:spacing w:after="0" w:line="240" w:lineRule="auto"/>
      </w:pPr>
      <w:r>
        <w:separator/>
      </w:r>
    </w:p>
  </w:footnote>
  <w:footnote w:type="continuationSeparator" w:id="0">
    <w:p w14:paraId="4B5EA264" w14:textId="77777777" w:rsidR="0021611C" w:rsidRDefault="0021611C" w:rsidP="00E81493">
      <w:pPr>
        <w:spacing w:after="0" w:line="240" w:lineRule="auto"/>
      </w:pPr>
      <w:r>
        <w:continuationSeparator/>
      </w:r>
    </w:p>
  </w:footnote>
  <w:footnote w:id="1">
    <w:p w14:paraId="0C1BFC98" w14:textId="77777777" w:rsidR="002A1FAB" w:rsidRPr="004E7FC0" w:rsidRDefault="002A1FAB" w:rsidP="00713A77">
      <w:pPr>
        <w:pStyle w:val="FootnoteText"/>
        <w:rPr>
          <w:lang w:val="sr-Latn-RS"/>
        </w:rPr>
      </w:pPr>
      <w:r>
        <w:rPr>
          <w:rStyle w:val="FootnoteReference"/>
        </w:rPr>
        <w:footnoteRef/>
      </w:r>
      <w:r>
        <w:t xml:space="preserve"> </w:t>
      </w:r>
      <w:r w:rsidRPr="004E7FC0">
        <w:rPr>
          <w:rFonts w:ascii="Garamond" w:hAnsi="Garamond"/>
          <w:sz w:val="18"/>
          <w:szCs w:val="18"/>
        </w:rPr>
        <w:t>Konverzija valuta na dan 15-10-2021</w:t>
      </w:r>
    </w:p>
  </w:footnote>
  <w:footnote w:id="2">
    <w:p w14:paraId="28B6172E" w14:textId="77777777" w:rsidR="002A1FAB" w:rsidRPr="006647EF" w:rsidRDefault="002A1FAB">
      <w:pPr>
        <w:pStyle w:val="FootnoteText"/>
        <w:rPr>
          <w:sz w:val="18"/>
          <w:szCs w:val="18"/>
        </w:rPr>
      </w:pPr>
      <w:r w:rsidRPr="006647EF">
        <w:rPr>
          <w:rStyle w:val="FootnoteReference"/>
          <w:sz w:val="18"/>
          <w:szCs w:val="18"/>
        </w:rPr>
        <w:footnoteRef/>
      </w:r>
      <w:r w:rsidRPr="006647EF">
        <w:rPr>
          <w:sz w:val="18"/>
          <w:szCs w:val="18"/>
        </w:rPr>
        <w:t xml:space="preserve"> </w:t>
      </w:r>
      <w:r w:rsidRPr="00746BA5">
        <w:rPr>
          <w:rFonts w:ascii="Garamond" w:hAnsi="Garamond"/>
          <w:sz w:val="18"/>
          <w:szCs w:val="18"/>
        </w:rPr>
        <w:t>International Labor Organization (ILO)) - Global Wage Report 2020–21 Wages and minimum wages in the time of COVID-19</w:t>
      </w:r>
      <w:r w:rsidRPr="006647EF">
        <w:rPr>
          <w:sz w:val="18"/>
          <w:szCs w:val="18"/>
        </w:rPr>
        <w:t xml:space="preserve"> </w:t>
      </w:r>
    </w:p>
  </w:footnote>
  <w:footnote w:id="3">
    <w:p w14:paraId="6CA40FE2" w14:textId="77777777" w:rsidR="002A1FAB" w:rsidRPr="00746BA5" w:rsidRDefault="002A1FAB">
      <w:pPr>
        <w:pStyle w:val="FootnoteText"/>
        <w:rPr>
          <w:rFonts w:ascii="Garamond" w:hAnsi="Garamond"/>
          <w:sz w:val="18"/>
          <w:szCs w:val="18"/>
        </w:rPr>
      </w:pPr>
      <w:r w:rsidRPr="00746BA5">
        <w:rPr>
          <w:rStyle w:val="FootnoteReference"/>
          <w:rFonts w:ascii="Garamond" w:hAnsi="Garamond"/>
          <w:sz w:val="18"/>
          <w:szCs w:val="18"/>
        </w:rPr>
        <w:footnoteRef/>
      </w:r>
      <w:r w:rsidRPr="00746BA5">
        <w:rPr>
          <w:rFonts w:ascii="Garamond" w:hAnsi="Garamond"/>
          <w:sz w:val="18"/>
          <w:szCs w:val="18"/>
        </w:rPr>
        <w:t xml:space="preserve"> Danska, Italija, Kipar, Austrija, Finska i Švedska</w:t>
      </w:r>
    </w:p>
  </w:footnote>
  <w:footnote w:id="4">
    <w:p w14:paraId="6D023893" w14:textId="77777777" w:rsidR="002A1FAB" w:rsidRPr="00746BA5" w:rsidRDefault="002A1FAB">
      <w:pPr>
        <w:pStyle w:val="FootnoteText"/>
        <w:rPr>
          <w:rFonts w:ascii="Garamond" w:hAnsi="Garamond"/>
          <w:sz w:val="18"/>
          <w:szCs w:val="18"/>
        </w:rPr>
      </w:pPr>
      <w:r w:rsidRPr="00746BA5">
        <w:rPr>
          <w:rStyle w:val="FootnoteReference"/>
          <w:rFonts w:ascii="Garamond" w:hAnsi="Garamond"/>
          <w:sz w:val="18"/>
          <w:szCs w:val="18"/>
        </w:rPr>
        <w:footnoteRef/>
      </w:r>
      <w:r w:rsidRPr="00746BA5">
        <w:rPr>
          <w:rFonts w:ascii="Garamond" w:hAnsi="Garamond"/>
          <w:sz w:val="18"/>
          <w:szCs w:val="18"/>
        </w:rPr>
        <w:t xml:space="preserve"> Eurostat, Minimum wage statistics, January 2021</w:t>
      </w:r>
    </w:p>
  </w:footnote>
  <w:footnote w:id="5">
    <w:p w14:paraId="094159C4" w14:textId="77777777" w:rsidR="002A1FAB" w:rsidRDefault="002A1FAB">
      <w:pPr>
        <w:pStyle w:val="FootnoteText"/>
      </w:pPr>
      <w:r w:rsidRPr="00746BA5">
        <w:rPr>
          <w:rStyle w:val="FootnoteReference"/>
          <w:rFonts w:ascii="Garamond" w:hAnsi="Garamond"/>
          <w:sz w:val="18"/>
          <w:szCs w:val="18"/>
        </w:rPr>
        <w:footnoteRef/>
      </w:r>
      <w:r w:rsidRPr="00746BA5">
        <w:rPr>
          <w:rFonts w:ascii="Garamond" w:hAnsi="Garamond"/>
          <w:sz w:val="18"/>
          <w:szCs w:val="18"/>
        </w:rPr>
        <w:t xml:space="preserve"> Neto prosječna zarada za 2020. godinu prema podacima Monstata iznosila je 524€;</w:t>
      </w:r>
    </w:p>
  </w:footnote>
  <w:footnote w:id="6">
    <w:p w14:paraId="2B1D5925" w14:textId="77777777" w:rsidR="002A1FAB" w:rsidRPr="00746BA5" w:rsidRDefault="002A1FAB">
      <w:pPr>
        <w:pStyle w:val="FootnoteText"/>
        <w:rPr>
          <w:rFonts w:ascii="Garamond" w:hAnsi="Garamond"/>
          <w:sz w:val="18"/>
          <w:szCs w:val="18"/>
        </w:rPr>
      </w:pPr>
      <w:r w:rsidRPr="00746BA5">
        <w:rPr>
          <w:rStyle w:val="FootnoteReference"/>
          <w:rFonts w:ascii="Garamond" w:hAnsi="Garamond"/>
          <w:sz w:val="18"/>
          <w:szCs w:val="18"/>
        </w:rPr>
        <w:footnoteRef/>
      </w:r>
      <w:r w:rsidRPr="00746BA5">
        <w:rPr>
          <w:rFonts w:ascii="Garamond" w:hAnsi="Garamond"/>
          <w:sz w:val="18"/>
          <w:szCs w:val="18"/>
        </w:rPr>
        <w:t xml:space="preserve"> Uzeta u obzir samo šifra 1 – Zarade za puno radno vrijeme 40h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92CF" w14:textId="6E76B0FF" w:rsidR="002A1FAB" w:rsidRPr="00C81CEA" w:rsidRDefault="002A1FAB" w:rsidP="00C81CEA">
    <w:pPr>
      <w:pStyle w:val="Header"/>
    </w:pPr>
    <w:r>
      <w:ptab w:relativeTo="margin" w:alignment="left" w:leader="none"/>
    </w:r>
    <w:r w:rsidRPr="00C81CEA">
      <w:rPr>
        <w:noProof/>
        <w:lang w:val="en-US"/>
      </w:rPr>
      <w:drawing>
        <wp:inline distT="0" distB="0" distL="0" distR="0" wp14:anchorId="5D5738E2" wp14:editId="1FF4487A">
          <wp:extent cx="1272540" cy="448388"/>
          <wp:effectExtent l="0" t="0" r="3810" b="8890"/>
          <wp:docPr id="12" name="Google Shape;87;p13"/>
          <wp:cNvGraphicFramePr/>
          <a:graphic xmlns:a="http://schemas.openxmlformats.org/drawingml/2006/main">
            <a:graphicData uri="http://schemas.openxmlformats.org/drawingml/2006/picture">
              <pic:pic xmlns:pic="http://schemas.openxmlformats.org/drawingml/2006/picture">
                <pic:nvPicPr>
                  <pic:cNvPr id="12" name="Google Shape;87;p13"/>
                  <pic:cNvPicPr preferRelativeResize="0"/>
                </pic:nvPicPr>
                <pic:blipFill>
                  <a:blip r:embed="rId1">
                    <a:alphaModFix/>
                  </a:blip>
                  <a:stretch>
                    <a:fillRect/>
                  </a:stretch>
                </pic:blipFill>
                <pic:spPr>
                  <a:xfrm>
                    <a:off x="0" y="0"/>
                    <a:ext cx="1292221" cy="45532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E02"/>
    <w:multiLevelType w:val="hybridMultilevel"/>
    <w:tmpl w:val="E8A49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534F3"/>
    <w:multiLevelType w:val="hybridMultilevel"/>
    <w:tmpl w:val="20A82D52"/>
    <w:lvl w:ilvl="0" w:tplc="332ECA62">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DE77A32"/>
    <w:multiLevelType w:val="hybridMultilevel"/>
    <w:tmpl w:val="3ECA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57D7D"/>
    <w:multiLevelType w:val="hybridMultilevel"/>
    <w:tmpl w:val="7FA2F920"/>
    <w:lvl w:ilvl="0" w:tplc="F7FE765E">
      <w:start w:val="3"/>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 w15:restartNumberingAfterBreak="0">
    <w:nsid w:val="0FBF54CC"/>
    <w:multiLevelType w:val="hybridMultilevel"/>
    <w:tmpl w:val="AC582A7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CC15296"/>
    <w:multiLevelType w:val="hybridMultilevel"/>
    <w:tmpl w:val="04D25A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1575168"/>
    <w:multiLevelType w:val="hybridMultilevel"/>
    <w:tmpl w:val="A51002DC"/>
    <w:lvl w:ilvl="0" w:tplc="332ECA62">
      <w:numFmt w:val="bullet"/>
      <w:lvlText w:val="-"/>
      <w:lvlJc w:val="left"/>
      <w:pPr>
        <w:ind w:left="720" w:hanging="360"/>
      </w:pPr>
      <w:rPr>
        <w:rFonts w:ascii="Calibri" w:eastAsiaTheme="minorHAnsi" w:hAnsi="Calibri" w:cstheme="minorBidi" w:hint="default"/>
      </w:rPr>
    </w:lvl>
    <w:lvl w:ilvl="1" w:tplc="081A0005">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31B042E"/>
    <w:multiLevelType w:val="hybridMultilevel"/>
    <w:tmpl w:val="24E6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E6A98"/>
    <w:multiLevelType w:val="hybridMultilevel"/>
    <w:tmpl w:val="DA8A8256"/>
    <w:lvl w:ilvl="0" w:tplc="82F68C54">
      <w:start w:val="1"/>
      <w:numFmt w:val="decimal"/>
      <w:lvlText w:val="%1."/>
      <w:lvlJc w:val="left"/>
      <w:pPr>
        <w:ind w:left="720" w:hanging="360"/>
      </w:pPr>
      <w:rPr>
        <w:rFonts w:asciiTheme="majorHAnsi" w:hAnsiTheme="majorHAnsi" w:hint="default"/>
        <w:b w:val="0"/>
        <w:i w:val="0"/>
        <w:sz w:val="32"/>
        <w:szCs w:val="3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8D53C17"/>
    <w:multiLevelType w:val="hybridMultilevel"/>
    <w:tmpl w:val="D6E6B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44647"/>
    <w:multiLevelType w:val="hybridMultilevel"/>
    <w:tmpl w:val="B26C6A2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2812FF2"/>
    <w:multiLevelType w:val="hybridMultilevel"/>
    <w:tmpl w:val="72849020"/>
    <w:lvl w:ilvl="0" w:tplc="A8D8E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03812"/>
    <w:multiLevelType w:val="hybridMultilevel"/>
    <w:tmpl w:val="A0FED4A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40610F60"/>
    <w:multiLevelType w:val="hybridMultilevel"/>
    <w:tmpl w:val="2F308F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28668E"/>
    <w:multiLevelType w:val="hybridMultilevel"/>
    <w:tmpl w:val="19A4F8C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46660129"/>
    <w:multiLevelType w:val="hybridMultilevel"/>
    <w:tmpl w:val="178A847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8DB213B"/>
    <w:multiLevelType w:val="hybridMultilevel"/>
    <w:tmpl w:val="2A5A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02E58"/>
    <w:multiLevelType w:val="hybridMultilevel"/>
    <w:tmpl w:val="3E6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468DC"/>
    <w:multiLevelType w:val="hybridMultilevel"/>
    <w:tmpl w:val="2F3C5C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87438"/>
    <w:multiLevelType w:val="hybridMultilevel"/>
    <w:tmpl w:val="9E7C7C0E"/>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19F27E4"/>
    <w:multiLevelType w:val="hybridMultilevel"/>
    <w:tmpl w:val="7EE0E21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73792FEB"/>
    <w:multiLevelType w:val="hybridMultilevel"/>
    <w:tmpl w:val="1C60118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74064B9D"/>
    <w:multiLevelType w:val="hybridMultilevel"/>
    <w:tmpl w:val="B9765ACA"/>
    <w:lvl w:ilvl="0" w:tplc="30FA39D2">
      <w:numFmt w:val="bullet"/>
      <w:lvlText w:val="-"/>
      <w:lvlJc w:val="left"/>
      <w:pPr>
        <w:ind w:left="720" w:hanging="360"/>
      </w:pPr>
      <w:rPr>
        <w:rFonts w:ascii="Garamond" w:eastAsiaTheme="minorHAnsi"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9097B"/>
    <w:multiLevelType w:val="hybridMultilevel"/>
    <w:tmpl w:val="CE6A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
  </w:num>
  <w:num w:numId="5">
    <w:abstractNumId w:val="21"/>
  </w:num>
  <w:num w:numId="6">
    <w:abstractNumId w:val="8"/>
  </w:num>
  <w:num w:numId="7">
    <w:abstractNumId w:val="22"/>
  </w:num>
  <w:num w:numId="8">
    <w:abstractNumId w:val="20"/>
  </w:num>
  <w:num w:numId="9">
    <w:abstractNumId w:val="10"/>
  </w:num>
  <w:num w:numId="10">
    <w:abstractNumId w:val="12"/>
  </w:num>
  <w:num w:numId="11">
    <w:abstractNumId w:val="0"/>
  </w:num>
  <w:num w:numId="12">
    <w:abstractNumId w:val="13"/>
  </w:num>
  <w:num w:numId="13">
    <w:abstractNumId w:val="11"/>
  </w:num>
  <w:num w:numId="14">
    <w:abstractNumId w:val="3"/>
  </w:num>
  <w:num w:numId="15">
    <w:abstractNumId w:val="19"/>
  </w:num>
  <w:num w:numId="16">
    <w:abstractNumId w:val="15"/>
  </w:num>
  <w:num w:numId="17">
    <w:abstractNumId w:val="17"/>
  </w:num>
  <w:num w:numId="18">
    <w:abstractNumId w:val="16"/>
  </w:num>
  <w:num w:numId="19">
    <w:abstractNumId w:val="9"/>
  </w:num>
  <w:num w:numId="20">
    <w:abstractNumId w:val="23"/>
  </w:num>
  <w:num w:numId="21">
    <w:abstractNumId w:val="18"/>
  </w:num>
  <w:num w:numId="22">
    <w:abstractNumId w:val="7"/>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72"/>
    <w:rsid w:val="00001210"/>
    <w:rsid w:val="00002FD9"/>
    <w:rsid w:val="00007FCB"/>
    <w:rsid w:val="000125F4"/>
    <w:rsid w:val="00015443"/>
    <w:rsid w:val="00016DEA"/>
    <w:rsid w:val="00021201"/>
    <w:rsid w:val="00023458"/>
    <w:rsid w:val="00023F6E"/>
    <w:rsid w:val="0002404C"/>
    <w:rsid w:val="0002452F"/>
    <w:rsid w:val="000253E7"/>
    <w:rsid w:val="00025F73"/>
    <w:rsid w:val="00026760"/>
    <w:rsid w:val="000274CB"/>
    <w:rsid w:val="00030753"/>
    <w:rsid w:val="00032C39"/>
    <w:rsid w:val="00032DE5"/>
    <w:rsid w:val="00034436"/>
    <w:rsid w:val="00035590"/>
    <w:rsid w:val="000362CF"/>
    <w:rsid w:val="000418AD"/>
    <w:rsid w:val="000444BE"/>
    <w:rsid w:val="00044D7A"/>
    <w:rsid w:val="00046AE0"/>
    <w:rsid w:val="00046CCD"/>
    <w:rsid w:val="00046E80"/>
    <w:rsid w:val="00053BF6"/>
    <w:rsid w:val="000540DF"/>
    <w:rsid w:val="00054BD4"/>
    <w:rsid w:val="00054CBD"/>
    <w:rsid w:val="00055068"/>
    <w:rsid w:val="00061383"/>
    <w:rsid w:val="00062A88"/>
    <w:rsid w:val="00064953"/>
    <w:rsid w:val="00065EA8"/>
    <w:rsid w:val="00067615"/>
    <w:rsid w:val="000710F0"/>
    <w:rsid w:val="000725C7"/>
    <w:rsid w:val="00072643"/>
    <w:rsid w:val="000751A7"/>
    <w:rsid w:val="00075C17"/>
    <w:rsid w:val="0007727E"/>
    <w:rsid w:val="000809B3"/>
    <w:rsid w:val="00083011"/>
    <w:rsid w:val="000856D7"/>
    <w:rsid w:val="000978C4"/>
    <w:rsid w:val="000A6F38"/>
    <w:rsid w:val="000A7045"/>
    <w:rsid w:val="000B4BFF"/>
    <w:rsid w:val="000B6EB1"/>
    <w:rsid w:val="000B76B8"/>
    <w:rsid w:val="000C0924"/>
    <w:rsid w:val="000C1182"/>
    <w:rsid w:val="000C2CAF"/>
    <w:rsid w:val="000C3CED"/>
    <w:rsid w:val="000C6612"/>
    <w:rsid w:val="000C73C4"/>
    <w:rsid w:val="000D05FC"/>
    <w:rsid w:val="000D120C"/>
    <w:rsid w:val="000D63E7"/>
    <w:rsid w:val="000E0054"/>
    <w:rsid w:val="000E2568"/>
    <w:rsid w:val="000E294E"/>
    <w:rsid w:val="000E31EA"/>
    <w:rsid w:val="000E561C"/>
    <w:rsid w:val="000E65BF"/>
    <w:rsid w:val="000F0DD7"/>
    <w:rsid w:val="000F419B"/>
    <w:rsid w:val="000F464A"/>
    <w:rsid w:val="000F7F70"/>
    <w:rsid w:val="00101CA4"/>
    <w:rsid w:val="00102095"/>
    <w:rsid w:val="00102612"/>
    <w:rsid w:val="001027AF"/>
    <w:rsid w:val="001044C8"/>
    <w:rsid w:val="001047BF"/>
    <w:rsid w:val="00106BA1"/>
    <w:rsid w:val="00112C70"/>
    <w:rsid w:val="0011364D"/>
    <w:rsid w:val="001155CF"/>
    <w:rsid w:val="00115D90"/>
    <w:rsid w:val="001206B8"/>
    <w:rsid w:val="00121BAD"/>
    <w:rsid w:val="001227DD"/>
    <w:rsid w:val="00134B1D"/>
    <w:rsid w:val="00135473"/>
    <w:rsid w:val="00135D28"/>
    <w:rsid w:val="001412E6"/>
    <w:rsid w:val="00145A1C"/>
    <w:rsid w:val="00147B4D"/>
    <w:rsid w:val="00147BF5"/>
    <w:rsid w:val="001515CE"/>
    <w:rsid w:val="001544E0"/>
    <w:rsid w:val="00155CF3"/>
    <w:rsid w:val="00162AE7"/>
    <w:rsid w:val="00170FB2"/>
    <w:rsid w:val="0017205F"/>
    <w:rsid w:val="00172CC0"/>
    <w:rsid w:val="00174760"/>
    <w:rsid w:val="00176EAB"/>
    <w:rsid w:val="00177539"/>
    <w:rsid w:val="0017756F"/>
    <w:rsid w:val="00177A0C"/>
    <w:rsid w:val="00185CB8"/>
    <w:rsid w:val="00187D64"/>
    <w:rsid w:val="001934ED"/>
    <w:rsid w:val="00195351"/>
    <w:rsid w:val="001A02C0"/>
    <w:rsid w:val="001B0228"/>
    <w:rsid w:val="001B218F"/>
    <w:rsid w:val="001B318C"/>
    <w:rsid w:val="001B3A5A"/>
    <w:rsid w:val="001B4DBC"/>
    <w:rsid w:val="001B536F"/>
    <w:rsid w:val="001B7021"/>
    <w:rsid w:val="001C54E8"/>
    <w:rsid w:val="001C674E"/>
    <w:rsid w:val="001D1C84"/>
    <w:rsid w:val="001D27EB"/>
    <w:rsid w:val="001D5683"/>
    <w:rsid w:val="001D6822"/>
    <w:rsid w:val="001D7E1A"/>
    <w:rsid w:val="001E279C"/>
    <w:rsid w:val="001E56FB"/>
    <w:rsid w:val="001F0040"/>
    <w:rsid w:val="001F0D1F"/>
    <w:rsid w:val="001F1348"/>
    <w:rsid w:val="001F1BFE"/>
    <w:rsid w:val="001F24EA"/>
    <w:rsid w:val="001F399A"/>
    <w:rsid w:val="001F409C"/>
    <w:rsid w:val="001F51F5"/>
    <w:rsid w:val="001F5270"/>
    <w:rsid w:val="001F6B33"/>
    <w:rsid w:val="001F7C66"/>
    <w:rsid w:val="001F7DB5"/>
    <w:rsid w:val="00200A04"/>
    <w:rsid w:val="00202009"/>
    <w:rsid w:val="00202363"/>
    <w:rsid w:val="00205EA3"/>
    <w:rsid w:val="0020648C"/>
    <w:rsid w:val="00207418"/>
    <w:rsid w:val="002115DB"/>
    <w:rsid w:val="00215B1C"/>
    <w:rsid w:val="0021611C"/>
    <w:rsid w:val="00220D86"/>
    <w:rsid w:val="002226CE"/>
    <w:rsid w:val="00223B17"/>
    <w:rsid w:val="00224AC8"/>
    <w:rsid w:val="00224DF6"/>
    <w:rsid w:val="002266AD"/>
    <w:rsid w:val="00231645"/>
    <w:rsid w:val="00231F1D"/>
    <w:rsid w:val="00232894"/>
    <w:rsid w:val="00235640"/>
    <w:rsid w:val="00236F6D"/>
    <w:rsid w:val="00240786"/>
    <w:rsid w:val="00242B73"/>
    <w:rsid w:val="002455D9"/>
    <w:rsid w:val="00245908"/>
    <w:rsid w:val="0024744B"/>
    <w:rsid w:val="00250255"/>
    <w:rsid w:val="002512F8"/>
    <w:rsid w:val="00252244"/>
    <w:rsid w:val="00254C87"/>
    <w:rsid w:val="002550CE"/>
    <w:rsid w:val="00255C3E"/>
    <w:rsid w:val="00256A82"/>
    <w:rsid w:val="00262FDC"/>
    <w:rsid w:val="00265213"/>
    <w:rsid w:val="00265DAF"/>
    <w:rsid w:val="00267868"/>
    <w:rsid w:val="002705AB"/>
    <w:rsid w:val="00272157"/>
    <w:rsid w:val="002721A8"/>
    <w:rsid w:val="002721D0"/>
    <w:rsid w:val="002727F7"/>
    <w:rsid w:val="00274294"/>
    <w:rsid w:val="00283986"/>
    <w:rsid w:val="002841F0"/>
    <w:rsid w:val="00284595"/>
    <w:rsid w:val="00285F84"/>
    <w:rsid w:val="00294646"/>
    <w:rsid w:val="0029631C"/>
    <w:rsid w:val="002A1BC8"/>
    <w:rsid w:val="002A1FAB"/>
    <w:rsid w:val="002A3082"/>
    <w:rsid w:val="002A34F5"/>
    <w:rsid w:val="002A7138"/>
    <w:rsid w:val="002A7FCA"/>
    <w:rsid w:val="002B026B"/>
    <w:rsid w:val="002B0330"/>
    <w:rsid w:val="002B18D2"/>
    <w:rsid w:val="002B1B33"/>
    <w:rsid w:val="002B6BFC"/>
    <w:rsid w:val="002C72CC"/>
    <w:rsid w:val="002D11CF"/>
    <w:rsid w:val="002D7327"/>
    <w:rsid w:val="002E0FD6"/>
    <w:rsid w:val="002E16BB"/>
    <w:rsid w:val="002E2EAD"/>
    <w:rsid w:val="002E4705"/>
    <w:rsid w:val="002E530F"/>
    <w:rsid w:val="002E5430"/>
    <w:rsid w:val="002E7AAB"/>
    <w:rsid w:val="002F446B"/>
    <w:rsid w:val="002F4DD5"/>
    <w:rsid w:val="002F63C3"/>
    <w:rsid w:val="00305C97"/>
    <w:rsid w:val="00306584"/>
    <w:rsid w:val="003114E3"/>
    <w:rsid w:val="0031203F"/>
    <w:rsid w:val="00314A9A"/>
    <w:rsid w:val="00316B95"/>
    <w:rsid w:val="003242E2"/>
    <w:rsid w:val="0032628A"/>
    <w:rsid w:val="0032748C"/>
    <w:rsid w:val="003313E5"/>
    <w:rsid w:val="00333359"/>
    <w:rsid w:val="00335817"/>
    <w:rsid w:val="0034192C"/>
    <w:rsid w:val="0034287A"/>
    <w:rsid w:val="00343204"/>
    <w:rsid w:val="00343416"/>
    <w:rsid w:val="0034434A"/>
    <w:rsid w:val="00346785"/>
    <w:rsid w:val="0034698E"/>
    <w:rsid w:val="00350617"/>
    <w:rsid w:val="00355A4A"/>
    <w:rsid w:val="00361E20"/>
    <w:rsid w:val="00363848"/>
    <w:rsid w:val="00373B98"/>
    <w:rsid w:val="00375869"/>
    <w:rsid w:val="00375D8D"/>
    <w:rsid w:val="00375D94"/>
    <w:rsid w:val="00376C76"/>
    <w:rsid w:val="0038083D"/>
    <w:rsid w:val="00382712"/>
    <w:rsid w:val="00386A57"/>
    <w:rsid w:val="00386F9C"/>
    <w:rsid w:val="00386FB5"/>
    <w:rsid w:val="003925C3"/>
    <w:rsid w:val="003965D6"/>
    <w:rsid w:val="003A5E3F"/>
    <w:rsid w:val="003A6140"/>
    <w:rsid w:val="003A6B7B"/>
    <w:rsid w:val="003B0A5F"/>
    <w:rsid w:val="003B0C74"/>
    <w:rsid w:val="003B12C9"/>
    <w:rsid w:val="003B46E5"/>
    <w:rsid w:val="003B6323"/>
    <w:rsid w:val="003C3A81"/>
    <w:rsid w:val="003C45DD"/>
    <w:rsid w:val="003C5361"/>
    <w:rsid w:val="003C6DAE"/>
    <w:rsid w:val="003D0987"/>
    <w:rsid w:val="003E0658"/>
    <w:rsid w:val="003E19A9"/>
    <w:rsid w:val="003E32B1"/>
    <w:rsid w:val="003E441D"/>
    <w:rsid w:val="003E5E6F"/>
    <w:rsid w:val="003E618D"/>
    <w:rsid w:val="003E6921"/>
    <w:rsid w:val="003F5941"/>
    <w:rsid w:val="004055D1"/>
    <w:rsid w:val="00405EA2"/>
    <w:rsid w:val="00410ABE"/>
    <w:rsid w:val="00412753"/>
    <w:rsid w:val="00412FAD"/>
    <w:rsid w:val="00414B9F"/>
    <w:rsid w:val="00414FB5"/>
    <w:rsid w:val="00415996"/>
    <w:rsid w:val="00416308"/>
    <w:rsid w:val="0041769E"/>
    <w:rsid w:val="00417ECC"/>
    <w:rsid w:val="00420BC5"/>
    <w:rsid w:val="004323F4"/>
    <w:rsid w:val="00432B8F"/>
    <w:rsid w:val="0044436C"/>
    <w:rsid w:val="004454DF"/>
    <w:rsid w:val="004513F9"/>
    <w:rsid w:val="00452B27"/>
    <w:rsid w:val="00453722"/>
    <w:rsid w:val="004549F9"/>
    <w:rsid w:val="00455017"/>
    <w:rsid w:val="00463EBB"/>
    <w:rsid w:val="00464EA9"/>
    <w:rsid w:val="00472172"/>
    <w:rsid w:val="00472561"/>
    <w:rsid w:val="00472E65"/>
    <w:rsid w:val="0047565E"/>
    <w:rsid w:val="004774AA"/>
    <w:rsid w:val="00480A5B"/>
    <w:rsid w:val="00482842"/>
    <w:rsid w:val="00482C07"/>
    <w:rsid w:val="0049263D"/>
    <w:rsid w:val="00492646"/>
    <w:rsid w:val="00496B37"/>
    <w:rsid w:val="00497453"/>
    <w:rsid w:val="00497A43"/>
    <w:rsid w:val="004A6947"/>
    <w:rsid w:val="004C3178"/>
    <w:rsid w:val="004C37CD"/>
    <w:rsid w:val="004C67AA"/>
    <w:rsid w:val="004C6858"/>
    <w:rsid w:val="004D26BC"/>
    <w:rsid w:val="004D3CE0"/>
    <w:rsid w:val="004D45CC"/>
    <w:rsid w:val="004D52BF"/>
    <w:rsid w:val="004D6542"/>
    <w:rsid w:val="004D7450"/>
    <w:rsid w:val="004E1184"/>
    <w:rsid w:val="004E5CDC"/>
    <w:rsid w:val="004F023A"/>
    <w:rsid w:val="004F17AB"/>
    <w:rsid w:val="004F22A0"/>
    <w:rsid w:val="004F270E"/>
    <w:rsid w:val="004F546E"/>
    <w:rsid w:val="004F5F1E"/>
    <w:rsid w:val="004F6654"/>
    <w:rsid w:val="004F7A59"/>
    <w:rsid w:val="0050273F"/>
    <w:rsid w:val="00502C54"/>
    <w:rsid w:val="00504A12"/>
    <w:rsid w:val="00507646"/>
    <w:rsid w:val="00513E4B"/>
    <w:rsid w:val="005141C3"/>
    <w:rsid w:val="00514DDA"/>
    <w:rsid w:val="00515728"/>
    <w:rsid w:val="00520557"/>
    <w:rsid w:val="00535046"/>
    <w:rsid w:val="00535B09"/>
    <w:rsid w:val="00535CD7"/>
    <w:rsid w:val="005360B6"/>
    <w:rsid w:val="005376F8"/>
    <w:rsid w:val="0054112F"/>
    <w:rsid w:val="0054283B"/>
    <w:rsid w:val="005449B5"/>
    <w:rsid w:val="00545DA0"/>
    <w:rsid w:val="0055021F"/>
    <w:rsid w:val="00551E13"/>
    <w:rsid w:val="0055258F"/>
    <w:rsid w:val="00556AEE"/>
    <w:rsid w:val="005621CB"/>
    <w:rsid w:val="00564AF4"/>
    <w:rsid w:val="00574100"/>
    <w:rsid w:val="00576C89"/>
    <w:rsid w:val="00577D0E"/>
    <w:rsid w:val="00580C8D"/>
    <w:rsid w:val="005838FA"/>
    <w:rsid w:val="00587C46"/>
    <w:rsid w:val="00587F6C"/>
    <w:rsid w:val="00591009"/>
    <w:rsid w:val="00591ED9"/>
    <w:rsid w:val="00592FC3"/>
    <w:rsid w:val="005947F8"/>
    <w:rsid w:val="005951F1"/>
    <w:rsid w:val="00596351"/>
    <w:rsid w:val="005A0CE1"/>
    <w:rsid w:val="005A2437"/>
    <w:rsid w:val="005A38E9"/>
    <w:rsid w:val="005A5C39"/>
    <w:rsid w:val="005A7999"/>
    <w:rsid w:val="005B07D3"/>
    <w:rsid w:val="005B17ED"/>
    <w:rsid w:val="005B434D"/>
    <w:rsid w:val="005B511F"/>
    <w:rsid w:val="005B59AE"/>
    <w:rsid w:val="005B65AC"/>
    <w:rsid w:val="005C2E52"/>
    <w:rsid w:val="005D14CE"/>
    <w:rsid w:val="005D3AB3"/>
    <w:rsid w:val="005D47E1"/>
    <w:rsid w:val="005D689A"/>
    <w:rsid w:val="005E326C"/>
    <w:rsid w:val="005E4CCE"/>
    <w:rsid w:val="005E4F4E"/>
    <w:rsid w:val="005E50AC"/>
    <w:rsid w:val="005E6F6C"/>
    <w:rsid w:val="005E7572"/>
    <w:rsid w:val="005E7E42"/>
    <w:rsid w:val="005F166B"/>
    <w:rsid w:val="005F1B62"/>
    <w:rsid w:val="005F7C40"/>
    <w:rsid w:val="006019A3"/>
    <w:rsid w:val="00601EA7"/>
    <w:rsid w:val="006037B9"/>
    <w:rsid w:val="0060401D"/>
    <w:rsid w:val="00607A4E"/>
    <w:rsid w:val="00610CE7"/>
    <w:rsid w:val="00612C01"/>
    <w:rsid w:val="0061345E"/>
    <w:rsid w:val="006135B6"/>
    <w:rsid w:val="00620A6E"/>
    <w:rsid w:val="0062156B"/>
    <w:rsid w:val="0062308C"/>
    <w:rsid w:val="006237E2"/>
    <w:rsid w:val="006254DF"/>
    <w:rsid w:val="006255CA"/>
    <w:rsid w:val="006270D5"/>
    <w:rsid w:val="00633705"/>
    <w:rsid w:val="00635282"/>
    <w:rsid w:val="0063691A"/>
    <w:rsid w:val="0063749F"/>
    <w:rsid w:val="00645792"/>
    <w:rsid w:val="006501BB"/>
    <w:rsid w:val="0065057A"/>
    <w:rsid w:val="006534DC"/>
    <w:rsid w:val="006647EF"/>
    <w:rsid w:val="00665DE8"/>
    <w:rsid w:val="0066676C"/>
    <w:rsid w:val="00666ECA"/>
    <w:rsid w:val="00667B1B"/>
    <w:rsid w:val="006715D7"/>
    <w:rsid w:val="006739AA"/>
    <w:rsid w:val="00673AC7"/>
    <w:rsid w:val="0067607A"/>
    <w:rsid w:val="0067618A"/>
    <w:rsid w:val="00677087"/>
    <w:rsid w:val="0067775A"/>
    <w:rsid w:val="006778A3"/>
    <w:rsid w:val="00680428"/>
    <w:rsid w:val="00685212"/>
    <w:rsid w:val="00687FFC"/>
    <w:rsid w:val="00692886"/>
    <w:rsid w:val="006A112B"/>
    <w:rsid w:val="006A1F74"/>
    <w:rsid w:val="006A7078"/>
    <w:rsid w:val="006B304B"/>
    <w:rsid w:val="006B378B"/>
    <w:rsid w:val="006B5C0B"/>
    <w:rsid w:val="006C0FC5"/>
    <w:rsid w:val="006C13CB"/>
    <w:rsid w:val="006C3763"/>
    <w:rsid w:val="006C3F87"/>
    <w:rsid w:val="006C5047"/>
    <w:rsid w:val="006C73EE"/>
    <w:rsid w:val="006C7B6C"/>
    <w:rsid w:val="006D16FC"/>
    <w:rsid w:val="006D553F"/>
    <w:rsid w:val="006E390E"/>
    <w:rsid w:val="006E5DA7"/>
    <w:rsid w:val="006E6509"/>
    <w:rsid w:val="006F12AA"/>
    <w:rsid w:val="006F1E4E"/>
    <w:rsid w:val="006F68E2"/>
    <w:rsid w:val="007018FF"/>
    <w:rsid w:val="0070296A"/>
    <w:rsid w:val="007049C7"/>
    <w:rsid w:val="00704E25"/>
    <w:rsid w:val="00713187"/>
    <w:rsid w:val="00713A77"/>
    <w:rsid w:val="007157F4"/>
    <w:rsid w:val="00720AEC"/>
    <w:rsid w:val="00720F2C"/>
    <w:rsid w:val="00722993"/>
    <w:rsid w:val="00725150"/>
    <w:rsid w:val="007308E2"/>
    <w:rsid w:val="00734C2B"/>
    <w:rsid w:val="00735AC2"/>
    <w:rsid w:val="00737244"/>
    <w:rsid w:val="00737590"/>
    <w:rsid w:val="00740F73"/>
    <w:rsid w:val="00741164"/>
    <w:rsid w:val="00741745"/>
    <w:rsid w:val="00741F42"/>
    <w:rsid w:val="00743E7F"/>
    <w:rsid w:val="0074482D"/>
    <w:rsid w:val="007448B2"/>
    <w:rsid w:val="007453E0"/>
    <w:rsid w:val="00746BA5"/>
    <w:rsid w:val="007515CF"/>
    <w:rsid w:val="00751B64"/>
    <w:rsid w:val="007577F8"/>
    <w:rsid w:val="00757AD0"/>
    <w:rsid w:val="00757EA2"/>
    <w:rsid w:val="0076076D"/>
    <w:rsid w:val="007611F4"/>
    <w:rsid w:val="0076150E"/>
    <w:rsid w:val="0076156E"/>
    <w:rsid w:val="007633AD"/>
    <w:rsid w:val="00765C4F"/>
    <w:rsid w:val="0076607D"/>
    <w:rsid w:val="00772107"/>
    <w:rsid w:val="007744B0"/>
    <w:rsid w:val="0077622E"/>
    <w:rsid w:val="007771DD"/>
    <w:rsid w:val="00777FED"/>
    <w:rsid w:val="00781CF6"/>
    <w:rsid w:val="007859A6"/>
    <w:rsid w:val="007867F4"/>
    <w:rsid w:val="0079657B"/>
    <w:rsid w:val="00796F92"/>
    <w:rsid w:val="007A53F7"/>
    <w:rsid w:val="007B0692"/>
    <w:rsid w:val="007B251F"/>
    <w:rsid w:val="007B53D4"/>
    <w:rsid w:val="007B6849"/>
    <w:rsid w:val="007C4113"/>
    <w:rsid w:val="007C4BD6"/>
    <w:rsid w:val="007D25DD"/>
    <w:rsid w:val="007D3259"/>
    <w:rsid w:val="007D48AF"/>
    <w:rsid w:val="007D5585"/>
    <w:rsid w:val="007E19A2"/>
    <w:rsid w:val="007E3BC4"/>
    <w:rsid w:val="007F0242"/>
    <w:rsid w:val="007F4B12"/>
    <w:rsid w:val="007F7D77"/>
    <w:rsid w:val="00800BD6"/>
    <w:rsid w:val="008032CA"/>
    <w:rsid w:val="00803AF6"/>
    <w:rsid w:val="00803BDE"/>
    <w:rsid w:val="00811C88"/>
    <w:rsid w:val="008131E6"/>
    <w:rsid w:val="00816AFE"/>
    <w:rsid w:val="00816FB8"/>
    <w:rsid w:val="0081749B"/>
    <w:rsid w:val="00820C50"/>
    <w:rsid w:val="00822D44"/>
    <w:rsid w:val="00824E04"/>
    <w:rsid w:val="008265F7"/>
    <w:rsid w:val="00826830"/>
    <w:rsid w:val="00833FB6"/>
    <w:rsid w:val="0083409B"/>
    <w:rsid w:val="00837124"/>
    <w:rsid w:val="00837277"/>
    <w:rsid w:val="00843C00"/>
    <w:rsid w:val="008523FC"/>
    <w:rsid w:val="0085342D"/>
    <w:rsid w:val="00862916"/>
    <w:rsid w:val="00863D07"/>
    <w:rsid w:val="00870DD0"/>
    <w:rsid w:val="00871D2C"/>
    <w:rsid w:val="00871E91"/>
    <w:rsid w:val="00872085"/>
    <w:rsid w:val="008720D8"/>
    <w:rsid w:val="00872D7E"/>
    <w:rsid w:val="00877AE2"/>
    <w:rsid w:val="008805B2"/>
    <w:rsid w:val="00881941"/>
    <w:rsid w:val="00882C6D"/>
    <w:rsid w:val="00882D0B"/>
    <w:rsid w:val="00883703"/>
    <w:rsid w:val="00886A01"/>
    <w:rsid w:val="00886F20"/>
    <w:rsid w:val="008878B5"/>
    <w:rsid w:val="008879CE"/>
    <w:rsid w:val="00891918"/>
    <w:rsid w:val="00895284"/>
    <w:rsid w:val="008968BA"/>
    <w:rsid w:val="008A0C86"/>
    <w:rsid w:val="008A341E"/>
    <w:rsid w:val="008A42B5"/>
    <w:rsid w:val="008A5C59"/>
    <w:rsid w:val="008A60A1"/>
    <w:rsid w:val="008A74C1"/>
    <w:rsid w:val="008B2D29"/>
    <w:rsid w:val="008B4622"/>
    <w:rsid w:val="008B5600"/>
    <w:rsid w:val="008B563F"/>
    <w:rsid w:val="008C007A"/>
    <w:rsid w:val="008C0466"/>
    <w:rsid w:val="008C19B3"/>
    <w:rsid w:val="008C3653"/>
    <w:rsid w:val="008C5939"/>
    <w:rsid w:val="008D207E"/>
    <w:rsid w:val="008D2B82"/>
    <w:rsid w:val="008D7DE8"/>
    <w:rsid w:val="008E2C50"/>
    <w:rsid w:val="008E3655"/>
    <w:rsid w:val="008E53D5"/>
    <w:rsid w:val="008E5AF8"/>
    <w:rsid w:val="008E6CBA"/>
    <w:rsid w:val="008E7C8B"/>
    <w:rsid w:val="008F4EDF"/>
    <w:rsid w:val="008F534E"/>
    <w:rsid w:val="008F6390"/>
    <w:rsid w:val="00903152"/>
    <w:rsid w:val="00906226"/>
    <w:rsid w:val="00907702"/>
    <w:rsid w:val="00907AC6"/>
    <w:rsid w:val="00914F22"/>
    <w:rsid w:val="00920E43"/>
    <w:rsid w:val="00924A48"/>
    <w:rsid w:val="00925864"/>
    <w:rsid w:val="00927A14"/>
    <w:rsid w:val="009306B7"/>
    <w:rsid w:val="009405D8"/>
    <w:rsid w:val="0094386E"/>
    <w:rsid w:val="009476C6"/>
    <w:rsid w:val="00953BDD"/>
    <w:rsid w:val="009562BD"/>
    <w:rsid w:val="0095644A"/>
    <w:rsid w:val="009638C9"/>
    <w:rsid w:val="00970828"/>
    <w:rsid w:val="00974618"/>
    <w:rsid w:val="00984385"/>
    <w:rsid w:val="00987037"/>
    <w:rsid w:val="0098750C"/>
    <w:rsid w:val="009921C6"/>
    <w:rsid w:val="009924AF"/>
    <w:rsid w:val="00993460"/>
    <w:rsid w:val="0099656D"/>
    <w:rsid w:val="009A12E9"/>
    <w:rsid w:val="009A1A42"/>
    <w:rsid w:val="009A3ECA"/>
    <w:rsid w:val="009A44DB"/>
    <w:rsid w:val="009A6ED9"/>
    <w:rsid w:val="009B2122"/>
    <w:rsid w:val="009B3AA6"/>
    <w:rsid w:val="009B667F"/>
    <w:rsid w:val="009B6E1C"/>
    <w:rsid w:val="009B70AC"/>
    <w:rsid w:val="009C11E9"/>
    <w:rsid w:val="009C26C2"/>
    <w:rsid w:val="009C6619"/>
    <w:rsid w:val="009C669F"/>
    <w:rsid w:val="009C71CC"/>
    <w:rsid w:val="009D18DB"/>
    <w:rsid w:val="009D1AC1"/>
    <w:rsid w:val="009D541A"/>
    <w:rsid w:val="009D5510"/>
    <w:rsid w:val="009D5DCF"/>
    <w:rsid w:val="009E32E1"/>
    <w:rsid w:val="009E7E9C"/>
    <w:rsid w:val="009E7FA7"/>
    <w:rsid w:val="009F1F90"/>
    <w:rsid w:val="009F4271"/>
    <w:rsid w:val="00A01417"/>
    <w:rsid w:val="00A06AF9"/>
    <w:rsid w:val="00A07D13"/>
    <w:rsid w:val="00A113ED"/>
    <w:rsid w:val="00A11A3E"/>
    <w:rsid w:val="00A144C5"/>
    <w:rsid w:val="00A17B74"/>
    <w:rsid w:val="00A20529"/>
    <w:rsid w:val="00A211DB"/>
    <w:rsid w:val="00A23019"/>
    <w:rsid w:val="00A27CA0"/>
    <w:rsid w:val="00A30F51"/>
    <w:rsid w:val="00A3164D"/>
    <w:rsid w:val="00A31A68"/>
    <w:rsid w:val="00A3228B"/>
    <w:rsid w:val="00A3233F"/>
    <w:rsid w:val="00A326E5"/>
    <w:rsid w:val="00A379A0"/>
    <w:rsid w:val="00A42573"/>
    <w:rsid w:val="00A42BF9"/>
    <w:rsid w:val="00A46618"/>
    <w:rsid w:val="00A51696"/>
    <w:rsid w:val="00A56D50"/>
    <w:rsid w:val="00A600D6"/>
    <w:rsid w:val="00A638CC"/>
    <w:rsid w:val="00A65799"/>
    <w:rsid w:val="00A6759E"/>
    <w:rsid w:val="00A7225A"/>
    <w:rsid w:val="00A74127"/>
    <w:rsid w:val="00A80AEA"/>
    <w:rsid w:val="00A810F2"/>
    <w:rsid w:val="00A81311"/>
    <w:rsid w:val="00A8461F"/>
    <w:rsid w:val="00AA11AA"/>
    <w:rsid w:val="00AA30EE"/>
    <w:rsid w:val="00AA56D0"/>
    <w:rsid w:val="00AB0D6D"/>
    <w:rsid w:val="00AB2EAB"/>
    <w:rsid w:val="00AB483F"/>
    <w:rsid w:val="00AB52B5"/>
    <w:rsid w:val="00AB6277"/>
    <w:rsid w:val="00AC7EF6"/>
    <w:rsid w:val="00AD4229"/>
    <w:rsid w:val="00AD4E41"/>
    <w:rsid w:val="00AD5F32"/>
    <w:rsid w:val="00AE5AE7"/>
    <w:rsid w:val="00AE6ADD"/>
    <w:rsid w:val="00AE6BBA"/>
    <w:rsid w:val="00AE7DC2"/>
    <w:rsid w:val="00AF2896"/>
    <w:rsid w:val="00AF3F39"/>
    <w:rsid w:val="00AF7F0B"/>
    <w:rsid w:val="00B00AFD"/>
    <w:rsid w:val="00B01124"/>
    <w:rsid w:val="00B01A1D"/>
    <w:rsid w:val="00B0315D"/>
    <w:rsid w:val="00B1290A"/>
    <w:rsid w:val="00B14584"/>
    <w:rsid w:val="00B158CE"/>
    <w:rsid w:val="00B15DC4"/>
    <w:rsid w:val="00B21B0A"/>
    <w:rsid w:val="00B242E2"/>
    <w:rsid w:val="00B3120B"/>
    <w:rsid w:val="00B33B1D"/>
    <w:rsid w:val="00B34527"/>
    <w:rsid w:val="00B401AB"/>
    <w:rsid w:val="00B408B7"/>
    <w:rsid w:val="00B42E02"/>
    <w:rsid w:val="00B43EB8"/>
    <w:rsid w:val="00B466D8"/>
    <w:rsid w:val="00B50059"/>
    <w:rsid w:val="00B50CD9"/>
    <w:rsid w:val="00B55A79"/>
    <w:rsid w:val="00B56035"/>
    <w:rsid w:val="00B602F5"/>
    <w:rsid w:val="00B61251"/>
    <w:rsid w:val="00B64831"/>
    <w:rsid w:val="00B652E0"/>
    <w:rsid w:val="00B720DD"/>
    <w:rsid w:val="00B73883"/>
    <w:rsid w:val="00B82364"/>
    <w:rsid w:val="00B83843"/>
    <w:rsid w:val="00B849AB"/>
    <w:rsid w:val="00B86882"/>
    <w:rsid w:val="00B8764E"/>
    <w:rsid w:val="00B92D03"/>
    <w:rsid w:val="00B95B73"/>
    <w:rsid w:val="00BA2E47"/>
    <w:rsid w:val="00BA7A1D"/>
    <w:rsid w:val="00BB0DCC"/>
    <w:rsid w:val="00BB1E8F"/>
    <w:rsid w:val="00BB67CD"/>
    <w:rsid w:val="00BC23BB"/>
    <w:rsid w:val="00BC5357"/>
    <w:rsid w:val="00BC543B"/>
    <w:rsid w:val="00BD0FB9"/>
    <w:rsid w:val="00BD4D10"/>
    <w:rsid w:val="00BD75D2"/>
    <w:rsid w:val="00BE1412"/>
    <w:rsid w:val="00BE429B"/>
    <w:rsid w:val="00BE46AD"/>
    <w:rsid w:val="00BE63E5"/>
    <w:rsid w:val="00BF1E63"/>
    <w:rsid w:val="00BF2E7B"/>
    <w:rsid w:val="00BF364B"/>
    <w:rsid w:val="00BF4C78"/>
    <w:rsid w:val="00BF7280"/>
    <w:rsid w:val="00BF7655"/>
    <w:rsid w:val="00C066D4"/>
    <w:rsid w:val="00C10B8A"/>
    <w:rsid w:val="00C118AF"/>
    <w:rsid w:val="00C11E48"/>
    <w:rsid w:val="00C11ED5"/>
    <w:rsid w:val="00C12CBD"/>
    <w:rsid w:val="00C157A8"/>
    <w:rsid w:val="00C161CE"/>
    <w:rsid w:val="00C202EC"/>
    <w:rsid w:val="00C20909"/>
    <w:rsid w:val="00C22E56"/>
    <w:rsid w:val="00C23EF4"/>
    <w:rsid w:val="00C243A7"/>
    <w:rsid w:val="00C2709E"/>
    <w:rsid w:val="00C324AE"/>
    <w:rsid w:val="00C35BAA"/>
    <w:rsid w:val="00C36CE4"/>
    <w:rsid w:val="00C40F39"/>
    <w:rsid w:val="00C42E2C"/>
    <w:rsid w:val="00C44130"/>
    <w:rsid w:val="00C46C7A"/>
    <w:rsid w:val="00C46FCD"/>
    <w:rsid w:val="00C474B9"/>
    <w:rsid w:val="00C529E7"/>
    <w:rsid w:val="00C5306D"/>
    <w:rsid w:val="00C60999"/>
    <w:rsid w:val="00C61770"/>
    <w:rsid w:val="00C61E90"/>
    <w:rsid w:val="00C638E8"/>
    <w:rsid w:val="00C77455"/>
    <w:rsid w:val="00C81CEA"/>
    <w:rsid w:val="00C8685A"/>
    <w:rsid w:val="00C915C0"/>
    <w:rsid w:val="00C93B85"/>
    <w:rsid w:val="00CA09C9"/>
    <w:rsid w:val="00CB0228"/>
    <w:rsid w:val="00CB14AA"/>
    <w:rsid w:val="00CB4D3C"/>
    <w:rsid w:val="00CB68B7"/>
    <w:rsid w:val="00CB79F1"/>
    <w:rsid w:val="00CC7A7B"/>
    <w:rsid w:val="00CE17DD"/>
    <w:rsid w:val="00CE1944"/>
    <w:rsid w:val="00CF0169"/>
    <w:rsid w:val="00CF0AFA"/>
    <w:rsid w:val="00CF45C1"/>
    <w:rsid w:val="00CF54B4"/>
    <w:rsid w:val="00CF5725"/>
    <w:rsid w:val="00CF7C32"/>
    <w:rsid w:val="00D01513"/>
    <w:rsid w:val="00D05F7A"/>
    <w:rsid w:val="00D06932"/>
    <w:rsid w:val="00D06A86"/>
    <w:rsid w:val="00D07703"/>
    <w:rsid w:val="00D120EF"/>
    <w:rsid w:val="00D12575"/>
    <w:rsid w:val="00D128DF"/>
    <w:rsid w:val="00D12A71"/>
    <w:rsid w:val="00D141DD"/>
    <w:rsid w:val="00D15CD3"/>
    <w:rsid w:val="00D215B9"/>
    <w:rsid w:val="00D26910"/>
    <w:rsid w:val="00D3033E"/>
    <w:rsid w:val="00D36C65"/>
    <w:rsid w:val="00D37427"/>
    <w:rsid w:val="00D45256"/>
    <w:rsid w:val="00D45274"/>
    <w:rsid w:val="00D4550A"/>
    <w:rsid w:val="00D47030"/>
    <w:rsid w:val="00D475AB"/>
    <w:rsid w:val="00D50DF6"/>
    <w:rsid w:val="00D513A0"/>
    <w:rsid w:val="00D542B4"/>
    <w:rsid w:val="00D5751D"/>
    <w:rsid w:val="00D579E9"/>
    <w:rsid w:val="00D60C2D"/>
    <w:rsid w:val="00D65FE6"/>
    <w:rsid w:val="00D720B7"/>
    <w:rsid w:val="00D72F5D"/>
    <w:rsid w:val="00D74686"/>
    <w:rsid w:val="00D83249"/>
    <w:rsid w:val="00D8557C"/>
    <w:rsid w:val="00D86628"/>
    <w:rsid w:val="00D90918"/>
    <w:rsid w:val="00D91A00"/>
    <w:rsid w:val="00D92FD8"/>
    <w:rsid w:val="00D96766"/>
    <w:rsid w:val="00DA1B20"/>
    <w:rsid w:val="00DA26E9"/>
    <w:rsid w:val="00DA522A"/>
    <w:rsid w:val="00DA62B4"/>
    <w:rsid w:val="00DA646E"/>
    <w:rsid w:val="00DA69F9"/>
    <w:rsid w:val="00DA7158"/>
    <w:rsid w:val="00DA7951"/>
    <w:rsid w:val="00DB024F"/>
    <w:rsid w:val="00DB1235"/>
    <w:rsid w:val="00DB2A35"/>
    <w:rsid w:val="00DB6A82"/>
    <w:rsid w:val="00DC5629"/>
    <w:rsid w:val="00DC563F"/>
    <w:rsid w:val="00DD04DE"/>
    <w:rsid w:val="00DD11E3"/>
    <w:rsid w:val="00DD2BFE"/>
    <w:rsid w:val="00DD3BB7"/>
    <w:rsid w:val="00DD3FED"/>
    <w:rsid w:val="00DD6CFA"/>
    <w:rsid w:val="00DD7466"/>
    <w:rsid w:val="00DE1DAF"/>
    <w:rsid w:val="00DF4736"/>
    <w:rsid w:val="00E0070A"/>
    <w:rsid w:val="00E01008"/>
    <w:rsid w:val="00E014FC"/>
    <w:rsid w:val="00E04523"/>
    <w:rsid w:val="00E12C01"/>
    <w:rsid w:val="00E13951"/>
    <w:rsid w:val="00E14BD7"/>
    <w:rsid w:val="00E154FF"/>
    <w:rsid w:val="00E205DB"/>
    <w:rsid w:val="00E218FD"/>
    <w:rsid w:val="00E259B0"/>
    <w:rsid w:val="00E363A2"/>
    <w:rsid w:val="00E3765E"/>
    <w:rsid w:val="00E41482"/>
    <w:rsid w:val="00E427BC"/>
    <w:rsid w:val="00E47AB8"/>
    <w:rsid w:val="00E47C9B"/>
    <w:rsid w:val="00E50D72"/>
    <w:rsid w:val="00E52DE6"/>
    <w:rsid w:val="00E541F9"/>
    <w:rsid w:val="00E56D66"/>
    <w:rsid w:val="00E57B0E"/>
    <w:rsid w:val="00E602A0"/>
    <w:rsid w:val="00E60C83"/>
    <w:rsid w:val="00E621D6"/>
    <w:rsid w:val="00E64700"/>
    <w:rsid w:val="00E64F80"/>
    <w:rsid w:val="00E717FF"/>
    <w:rsid w:val="00E7363E"/>
    <w:rsid w:val="00E7445A"/>
    <w:rsid w:val="00E747AB"/>
    <w:rsid w:val="00E760B6"/>
    <w:rsid w:val="00E81493"/>
    <w:rsid w:val="00E829FE"/>
    <w:rsid w:val="00E8419B"/>
    <w:rsid w:val="00E84996"/>
    <w:rsid w:val="00E84CF1"/>
    <w:rsid w:val="00E86751"/>
    <w:rsid w:val="00E9074B"/>
    <w:rsid w:val="00E90B0B"/>
    <w:rsid w:val="00E91544"/>
    <w:rsid w:val="00E918EA"/>
    <w:rsid w:val="00E938A0"/>
    <w:rsid w:val="00E93A2D"/>
    <w:rsid w:val="00E95529"/>
    <w:rsid w:val="00E95708"/>
    <w:rsid w:val="00EA02F5"/>
    <w:rsid w:val="00EA1DB7"/>
    <w:rsid w:val="00EA2535"/>
    <w:rsid w:val="00EA3B76"/>
    <w:rsid w:val="00EA3D01"/>
    <w:rsid w:val="00EA4A3A"/>
    <w:rsid w:val="00EA513F"/>
    <w:rsid w:val="00EB13F7"/>
    <w:rsid w:val="00EB17A5"/>
    <w:rsid w:val="00EB5698"/>
    <w:rsid w:val="00EB71E8"/>
    <w:rsid w:val="00ED01BA"/>
    <w:rsid w:val="00ED363F"/>
    <w:rsid w:val="00ED5338"/>
    <w:rsid w:val="00EE1392"/>
    <w:rsid w:val="00EE1A42"/>
    <w:rsid w:val="00EE5EA3"/>
    <w:rsid w:val="00EF4CA9"/>
    <w:rsid w:val="00EF5D62"/>
    <w:rsid w:val="00EF6623"/>
    <w:rsid w:val="00F006D8"/>
    <w:rsid w:val="00F012AD"/>
    <w:rsid w:val="00F0331E"/>
    <w:rsid w:val="00F035A8"/>
    <w:rsid w:val="00F0663F"/>
    <w:rsid w:val="00F070F1"/>
    <w:rsid w:val="00F12BF9"/>
    <w:rsid w:val="00F14797"/>
    <w:rsid w:val="00F14A0E"/>
    <w:rsid w:val="00F229C8"/>
    <w:rsid w:val="00F23EE7"/>
    <w:rsid w:val="00F24B16"/>
    <w:rsid w:val="00F34032"/>
    <w:rsid w:val="00F35837"/>
    <w:rsid w:val="00F370A8"/>
    <w:rsid w:val="00F40360"/>
    <w:rsid w:val="00F43668"/>
    <w:rsid w:val="00F43691"/>
    <w:rsid w:val="00F44E98"/>
    <w:rsid w:val="00F467D7"/>
    <w:rsid w:val="00F530AD"/>
    <w:rsid w:val="00F54F51"/>
    <w:rsid w:val="00F55FAC"/>
    <w:rsid w:val="00F60D7D"/>
    <w:rsid w:val="00F624E8"/>
    <w:rsid w:val="00F65EFF"/>
    <w:rsid w:val="00F70E18"/>
    <w:rsid w:val="00F71625"/>
    <w:rsid w:val="00F7531F"/>
    <w:rsid w:val="00F75569"/>
    <w:rsid w:val="00F77DE3"/>
    <w:rsid w:val="00F82D73"/>
    <w:rsid w:val="00F8736E"/>
    <w:rsid w:val="00F91371"/>
    <w:rsid w:val="00F92709"/>
    <w:rsid w:val="00F95302"/>
    <w:rsid w:val="00F965EA"/>
    <w:rsid w:val="00FB1C27"/>
    <w:rsid w:val="00FB2E0C"/>
    <w:rsid w:val="00FB481D"/>
    <w:rsid w:val="00FB5093"/>
    <w:rsid w:val="00FB52EC"/>
    <w:rsid w:val="00FB6554"/>
    <w:rsid w:val="00FC098F"/>
    <w:rsid w:val="00FC182C"/>
    <w:rsid w:val="00FC1AE8"/>
    <w:rsid w:val="00FC22EF"/>
    <w:rsid w:val="00FC3119"/>
    <w:rsid w:val="00FC591F"/>
    <w:rsid w:val="00FD01A3"/>
    <w:rsid w:val="00FD3CDD"/>
    <w:rsid w:val="00FD5BBF"/>
    <w:rsid w:val="00FD5D7F"/>
    <w:rsid w:val="00FD7846"/>
    <w:rsid w:val="00FE22F3"/>
    <w:rsid w:val="00FE373D"/>
    <w:rsid w:val="00FE56E8"/>
    <w:rsid w:val="00FE6B77"/>
    <w:rsid w:val="00FF1D24"/>
    <w:rsid w:val="00FF3125"/>
    <w:rsid w:val="00FF5321"/>
    <w:rsid w:val="00FF613A"/>
    <w:rsid w:val="00FF6503"/>
    <w:rsid w:val="00FF68B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FC6E"/>
  <w15:docId w15:val="{F0CD6B36-1BE2-4B6A-BC5E-91732979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25F4"/>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0125F4"/>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4FC"/>
    <w:pPr>
      <w:ind w:left="720"/>
      <w:contextualSpacing/>
    </w:pPr>
  </w:style>
  <w:style w:type="paragraph" w:customStyle="1" w:styleId="Default">
    <w:name w:val="Default"/>
    <w:rsid w:val="006778A3"/>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0E561C"/>
    <w:pPr>
      <w:spacing w:after="200" w:line="240" w:lineRule="auto"/>
    </w:pPr>
    <w:rPr>
      <w:i/>
      <w:iCs/>
      <w:color w:val="335B74" w:themeColor="text2"/>
      <w:sz w:val="18"/>
      <w:szCs w:val="18"/>
    </w:rPr>
  </w:style>
  <w:style w:type="paragraph" w:styleId="FootnoteText">
    <w:name w:val="footnote text"/>
    <w:basedOn w:val="Normal"/>
    <w:link w:val="FootnoteTextChar"/>
    <w:uiPriority w:val="99"/>
    <w:semiHidden/>
    <w:unhideWhenUsed/>
    <w:rsid w:val="00E81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493"/>
    <w:rPr>
      <w:sz w:val="20"/>
      <w:szCs w:val="20"/>
    </w:rPr>
  </w:style>
  <w:style w:type="character" w:styleId="FootnoteReference">
    <w:name w:val="footnote reference"/>
    <w:basedOn w:val="DefaultParagraphFont"/>
    <w:uiPriority w:val="99"/>
    <w:semiHidden/>
    <w:unhideWhenUsed/>
    <w:rsid w:val="00E81493"/>
    <w:rPr>
      <w:vertAlign w:val="superscript"/>
    </w:rPr>
  </w:style>
  <w:style w:type="table" w:customStyle="1" w:styleId="GridTable3-Accent11">
    <w:name w:val="Grid Table 3 - Accent 11"/>
    <w:basedOn w:val="TableNormal"/>
    <w:uiPriority w:val="48"/>
    <w:rsid w:val="005C2E52"/>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paragraph" w:styleId="NoSpacing">
    <w:name w:val="No Spacing"/>
    <w:link w:val="NoSpacingChar"/>
    <w:uiPriority w:val="1"/>
    <w:qFormat/>
    <w:rsid w:val="000125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25F4"/>
    <w:rPr>
      <w:rFonts w:eastAsiaTheme="minorEastAsia"/>
      <w:lang w:val="en-US"/>
    </w:rPr>
  </w:style>
  <w:style w:type="paragraph" w:styleId="Header">
    <w:name w:val="header"/>
    <w:basedOn w:val="Normal"/>
    <w:link w:val="HeaderChar"/>
    <w:uiPriority w:val="99"/>
    <w:unhideWhenUsed/>
    <w:rsid w:val="000125F4"/>
    <w:pPr>
      <w:tabs>
        <w:tab w:val="center" w:pos="4535"/>
        <w:tab w:val="right" w:pos="9071"/>
      </w:tabs>
      <w:spacing w:after="0" w:line="240" w:lineRule="auto"/>
    </w:pPr>
  </w:style>
  <w:style w:type="character" w:customStyle="1" w:styleId="HeaderChar">
    <w:name w:val="Header Char"/>
    <w:basedOn w:val="DefaultParagraphFont"/>
    <w:link w:val="Header"/>
    <w:uiPriority w:val="99"/>
    <w:rsid w:val="000125F4"/>
  </w:style>
  <w:style w:type="paragraph" w:styleId="Footer">
    <w:name w:val="footer"/>
    <w:basedOn w:val="Normal"/>
    <w:link w:val="FooterChar"/>
    <w:uiPriority w:val="99"/>
    <w:unhideWhenUsed/>
    <w:rsid w:val="000125F4"/>
    <w:pPr>
      <w:tabs>
        <w:tab w:val="center" w:pos="4535"/>
        <w:tab w:val="right" w:pos="9071"/>
      </w:tabs>
      <w:spacing w:after="0" w:line="240" w:lineRule="auto"/>
    </w:pPr>
  </w:style>
  <w:style w:type="character" w:customStyle="1" w:styleId="FooterChar">
    <w:name w:val="Footer Char"/>
    <w:basedOn w:val="DefaultParagraphFont"/>
    <w:link w:val="Footer"/>
    <w:uiPriority w:val="99"/>
    <w:rsid w:val="000125F4"/>
  </w:style>
  <w:style w:type="character" w:customStyle="1" w:styleId="Heading1Char">
    <w:name w:val="Heading 1 Char"/>
    <w:basedOn w:val="DefaultParagraphFont"/>
    <w:link w:val="Heading1"/>
    <w:uiPriority w:val="9"/>
    <w:rsid w:val="000125F4"/>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sid w:val="000125F4"/>
    <w:rPr>
      <w:rFonts w:asciiTheme="majorHAnsi" w:eastAsiaTheme="majorEastAsia" w:hAnsiTheme="majorHAnsi" w:cstheme="majorBidi"/>
      <w:color w:val="1481AB" w:themeColor="accent1" w:themeShade="BF"/>
      <w:sz w:val="26"/>
      <w:szCs w:val="26"/>
    </w:rPr>
  </w:style>
  <w:style w:type="paragraph" w:styleId="TOCHeading">
    <w:name w:val="TOC Heading"/>
    <w:basedOn w:val="Heading1"/>
    <w:next w:val="Normal"/>
    <w:uiPriority w:val="39"/>
    <w:unhideWhenUsed/>
    <w:qFormat/>
    <w:rsid w:val="008032CA"/>
    <w:pPr>
      <w:outlineLvl w:val="9"/>
    </w:pPr>
    <w:rPr>
      <w:lang w:val="en-US"/>
    </w:rPr>
  </w:style>
  <w:style w:type="paragraph" w:styleId="TOC1">
    <w:name w:val="toc 1"/>
    <w:basedOn w:val="Normal"/>
    <w:next w:val="Normal"/>
    <w:autoRedefine/>
    <w:uiPriority w:val="39"/>
    <w:unhideWhenUsed/>
    <w:rsid w:val="008032CA"/>
    <w:pPr>
      <w:spacing w:after="100"/>
    </w:pPr>
  </w:style>
  <w:style w:type="character" w:styleId="Hyperlink">
    <w:name w:val="Hyperlink"/>
    <w:basedOn w:val="DefaultParagraphFont"/>
    <w:uiPriority w:val="99"/>
    <w:unhideWhenUsed/>
    <w:rsid w:val="008032CA"/>
    <w:rPr>
      <w:color w:val="6B9F25" w:themeColor="hyperlink"/>
      <w:u w:val="single"/>
    </w:rPr>
  </w:style>
  <w:style w:type="paragraph" w:styleId="BalloonText">
    <w:name w:val="Balloon Text"/>
    <w:basedOn w:val="Normal"/>
    <w:link w:val="BalloonTextChar"/>
    <w:uiPriority w:val="99"/>
    <w:semiHidden/>
    <w:unhideWhenUsed/>
    <w:rsid w:val="00550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1F"/>
    <w:rPr>
      <w:rFonts w:ascii="Segoe UI" w:hAnsi="Segoe UI" w:cs="Segoe UI"/>
      <w:sz w:val="18"/>
      <w:szCs w:val="18"/>
    </w:rPr>
  </w:style>
  <w:style w:type="character" w:styleId="CommentReference">
    <w:name w:val="annotation reference"/>
    <w:basedOn w:val="DefaultParagraphFont"/>
    <w:uiPriority w:val="99"/>
    <w:semiHidden/>
    <w:unhideWhenUsed/>
    <w:rsid w:val="00187D64"/>
    <w:rPr>
      <w:sz w:val="16"/>
      <w:szCs w:val="16"/>
    </w:rPr>
  </w:style>
  <w:style w:type="paragraph" w:styleId="CommentText">
    <w:name w:val="annotation text"/>
    <w:basedOn w:val="Normal"/>
    <w:link w:val="CommentTextChar"/>
    <w:uiPriority w:val="99"/>
    <w:semiHidden/>
    <w:unhideWhenUsed/>
    <w:rsid w:val="00187D64"/>
    <w:pPr>
      <w:spacing w:line="240" w:lineRule="auto"/>
    </w:pPr>
    <w:rPr>
      <w:sz w:val="20"/>
      <w:szCs w:val="20"/>
    </w:rPr>
  </w:style>
  <w:style w:type="character" w:customStyle="1" w:styleId="CommentTextChar">
    <w:name w:val="Comment Text Char"/>
    <w:basedOn w:val="DefaultParagraphFont"/>
    <w:link w:val="CommentText"/>
    <w:uiPriority w:val="99"/>
    <w:semiHidden/>
    <w:rsid w:val="00187D64"/>
    <w:rPr>
      <w:sz w:val="20"/>
      <w:szCs w:val="20"/>
    </w:rPr>
  </w:style>
  <w:style w:type="paragraph" w:styleId="CommentSubject">
    <w:name w:val="annotation subject"/>
    <w:basedOn w:val="CommentText"/>
    <w:next w:val="CommentText"/>
    <w:link w:val="CommentSubjectChar"/>
    <w:uiPriority w:val="99"/>
    <w:semiHidden/>
    <w:unhideWhenUsed/>
    <w:rsid w:val="00187D64"/>
    <w:rPr>
      <w:b/>
      <w:bCs/>
    </w:rPr>
  </w:style>
  <w:style w:type="character" w:customStyle="1" w:styleId="CommentSubjectChar">
    <w:name w:val="Comment Subject Char"/>
    <w:basedOn w:val="CommentTextChar"/>
    <w:link w:val="CommentSubject"/>
    <w:uiPriority w:val="99"/>
    <w:semiHidden/>
    <w:rsid w:val="00187D64"/>
    <w:rPr>
      <w:b/>
      <w:bCs/>
      <w:sz w:val="20"/>
      <w:szCs w:val="20"/>
    </w:rPr>
  </w:style>
  <w:style w:type="paragraph" w:customStyle="1" w:styleId="Style1">
    <w:name w:val="Style1"/>
    <w:basedOn w:val="Normal"/>
    <w:link w:val="Style1Char"/>
    <w:qFormat/>
    <w:rsid w:val="00E84CF1"/>
    <w:rPr>
      <w:rFonts w:ascii="Garamond" w:hAnsi="Garamond"/>
      <w:b/>
      <w:color w:val="1481AB" w:themeColor="accent1" w:themeShade="BF"/>
      <w:sz w:val="32"/>
      <w:szCs w:val="32"/>
      <w:lang w:val="en-GB"/>
    </w:rPr>
  </w:style>
  <w:style w:type="character" w:customStyle="1" w:styleId="Style1Char">
    <w:name w:val="Style1 Char"/>
    <w:basedOn w:val="DefaultParagraphFont"/>
    <w:link w:val="Style1"/>
    <w:rsid w:val="00E84CF1"/>
    <w:rPr>
      <w:rFonts w:ascii="Garamond" w:hAnsi="Garamond"/>
      <w:b/>
      <w:color w:val="1481AB" w:themeColor="accent1" w:themeShade="BF"/>
      <w:sz w:val="32"/>
      <w:szCs w:val="32"/>
      <w:lang w:val="en-GB"/>
    </w:rPr>
  </w:style>
  <w:style w:type="paragraph" w:styleId="TOC2">
    <w:name w:val="toc 2"/>
    <w:basedOn w:val="Normal"/>
    <w:next w:val="Normal"/>
    <w:autoRedefine/>
    <w:uiPriority w:val="39"/>
    <w:unhideWhenUsed/>
    <w:rsid w:val="00AF7F0B"/>
    <w:pPr>
      <w:spacing w:after="100"/>
      <w:ind w:left="220"/>
    </w:pPr>
  </w:style>
  <w:style w:type="paragraph" w:styleId="NormalWeb">
    <w:name w:val="Normal (Web)"/>
    <w:basedOn w:val="Normal"/>
    <w:uiPriority w:val="99"/>
    <w:semiHidden/>
    <w:unhideWhenUsed/>
    <w:rsid w:val="006A1F74"/>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562">
      <w:bodyDiv w:val="1"/>
      <w:marLeft w:val="0"/>
      <w:marRight w:val="0"/>
      <w:marTop w:val="0"/>
      <w:marBottom w:val="0"/>
      <w:divBdr>
        <w:top w:val="none" w:sz="0" w:space="0" w:color="auto"/>
        <w:left w:val="none" w:sz="0" w:space="0" w:color="auto"/>
        <w:bottom w:val="none" w:sz="0" w:space="0" w:color="auto"/>
        <w:right w:val="none" w:sz="0" w:space="0" w:color="auto"/>
      </w:divBdr>
    </w:div>
    <w:div w:id="56822445">
      <w:bodyDiv w:val="1"/>
      <w:marLeft w:val="0"/>
      <w:marRight w:val="0"/>
      <w:marTop w:val="0"/>
      <w:marBottom w:val="0"/>
      <w:divBdr>
        <w:top w:val="none" w:sz="0" w:space="0" w:color="auto"/>
        <w:left w:val="none" w:sz="0" w:space="0" w:color="auto"/>
        <w:bottom w:val="none" w:sz="0" w:space="0" w:color="auto"/>
        <w:right w:val="none" w:sz="0" w:space="0" w:color="auto"/>
      </w:divBdr>
    </w:div>
    <w:div w:id="691608628">
      <w:bodyDiv w:val="1"/>
      <w:marLeft w:val="0"/>
      <w:marRight w:val="0"/>
      <w:marTop w:val="0"/>
      <w:marBottom w:val="0"/>
      <w:divBdr>
        <w:top w:val="none" w:sz="0" w:space="0" w:color="auto"/>
        <w:left w:val="none" w:sz="0" w:space="0" w:color="auto"/>
        <w:bottom w:val="none" w:sz="0" w:space="0" w:color="auto"/>
        <w:right w:val="none" w:sz="0" w:space="0" w:color="auto"/>
      </w:divBdr>
    </w:div>
    <w:div w:id="803933635">
      <w:bodyDiv w:val="1"/>
      <w:marLeft w:val="0"/>
      <w:marRight w:val="0"/>
      <w:marTop w:val="0"/>
      <w:marBottom w:val="0"/>
      <w:divBdr>
        <w:top w:val="none" w:sz="0" w:space="0" w:color="auto"/>
        <w:left w:val="none" w:sz="0" w:space="0" w:color="auto"/>
        <w:bottom w:val="none" w:sz="0" w:space="0" w:color="auto"/>
        <w:right w:val="none" w:sz="0" w:space="0" w:color="auto"/>
      </w:divBdr>
    </w:div>
    <w:div w:id="1033699877">
      <w:bodyDiv w:val="1"/>
      <w:marLeft w:val="0"/>
      <w:marRight w:val="0"/>
      <w:marTop w:val="0"/>
      <w:marBottom w:val="0"/>
      <w:divBdr>
        <w:top w:val="none" w:sz="0" w:space="0" w:color="auto"/>
        <w:left w:val="none" w:sz="0" w:space="0" w:color="auto"/>
        <w:bottom w:val="none" w:sz="0" w:space="0" w:color="auto"/>
        <w:right w:val="none" w:sz="0" w:space="0" w:color="auto"/>
      </w:divBdr>
    </w:div>
    <w:div w:id="1066805864">
      <w:bodyDiv w:val="1"/>
      <w:marLeft w:val="0"/>
      <w:marRight w:val="0"/>
      <w:marTop w:val="0"/>
      <w:marBottom w:val="0"/>
      <w:divBdr>
        <w:top w:val="none" w:sz="0" w:space="0" w:color="auto"/>
        <w:left w:val="none" w:sz="0" w:space="0" w:color="auto"/>
        <w:bottom w:val="none" w:sz="0" w:space="0" w:color="auto"/>
        <w:right w:val="none" w:sz="0" w:space="0" w:color="auto"/>
      </w:divBdr>
    </w:div>
    <w:div w:id="1400708389">
      <w:bodyDiv w:val="1"/>
      <w:marLeft w:val="0"/>
      <w:marRight w:val="0"/>
      <w:marTop w:val="0"/>
      <w:marBottom w:val="0"/>
      <w:divBdr>
        <w:top w:val="none" w:sz="0" w:space="0" w:color="auto"/>
        <w:left w:val="none" w:sz="0" w:space="0" w:color="auto"/>
        <w:bottom w:val="none" w:sz="0" w:space="0" w:color="auto"/>
        <w:right w:val="none" w:sz="0" w:space="0" w:color="auto"/>
      </w:divBdr>
    </w:div>
    <w:div w:id="1417021090">
      <w:bodyDiv w:val="1"/>
      <w:marLeft w:val="0"/>
      <w:marRight w:val="0"/>
      <w:marTop w:val="0"/>
      <w:marBottom w:val="0"/>
      <w:divBdr>
        <w:top w:val="none" w:sz="0" w:space="0" w:color="auto"/>
        <w:left w:val="none" w:sz="0" w:space="0" w:color="auto"/>
        <w:bottom w:val="none" w:sz="0" w:space="0" w:color="auto"/>
        <w:right w:val="none" w:sz="0" w:space="0" w:color="auto"/>
      </w:divBdr>
    </w:div>
    <w:div w:id="1463844010">
      <w:bodyDiv w:val="1"/>
      <w:marLeft w:val="0"/>
      <w:marRight w:val="0"/>
      <w:marTop w:val="0"/>
      <w:marBottom w:val="0"/>
      <w:divBdr>
        <w:top w:val="none" w:sz="0" w:space="0" w:color="auto"/>
        <w:left w:val="none" w:sz="0" w:space="0" w:color="auto"/>
        <w:bottom w:val="none" w:sz="0" w:space="0" w:color="auto"/>
        <w:right w:val="none" w:sz="0" w:space="0" w:color="auto"/>
      </w:divBdr>
    </w:div>
    <w:div w:id="1806194240">
      <w:bodyDiv w:val="1"/>
      <w:marLeft w:val="0"/>
      <w:marRight w:val="0"/>
      <w:marTop w:val="0"/>
      <w:marBottom w:val="0"/>
      <w:divBdr>
        <w:top w:val="none" w:sz="0" w:space="0" w:color="auto"/>
        <w:left w:val="none" w:sz="0" w:space="0" w:color="auto"/>
        <w:bottom w:val="none" w:sz="0" w:space="0" w:color="auto"/>
        <w:right w:val="none" w:sz="0" w:space="0" w:color="auto"/>
      </w:divBdr>
    </w:div>
    <w:div w:id="1878544520">
      <w:bodyDiv w:val="1"/>
      <w:marLeft w:val="0"/>
      <w:marRight w:val="0"/>
      <w:marTop w:val="0"/>
      <w:marBottom w:val="0"/>
      <w:divBdr>
        <w:top w:val="none" w:sz="0" w:space="0" w:color="auto"/>
        <w:left w:val="none" w:sz="0" w:space="0" w:color="auto"/>
        <w:bottom w:val="none" w:sz="0" w:space="0" w:color="auto"/>
        <w:right w:val="none" w:sz="0" w:space="0" w:color="auto"/>
      </w:divBdr>
    </w:div>
    <w:div w:id="1918398577">
      <w:bodyDiv w:val="1"/>
      <w:marLeft w:val="0"/>
      <w:marRight w:val="0"/>
      <w:marTop w:val="0"/>
      <w:marBottom w:val="0"/>
      <w:divBdr>
        <w:top w:val="none" w:sz="0" w:space="0" w:color="auto"/>
        <w:left w:val="none" w:sz="0" w:space="0" w:color="auto"/>
        <w:bottom w:val="none" w:sz="0" w:space="0" w:color="auto"/>
        <w:right w:val="none" w:sz="0" w:space="0" w:color="auto"/>
      </w:divBdr>
    </w:div>
    <w:div w:id="1935363408">
      <w:bodyDiv w:val="1"/>
      <w:marLeft w:val="0"/>
      <w:marRight w:val="0"/>
      <w:marTop w:val="0"/>
      <w:marBottom w:val="0"/>
      <w:divBdr>
        <w:top w:val="none" w:sz="0" w:space="0" w:color="auto"/>
        <w:left w:val="none" w:sz="0" w:space="0" w:color="auto"/>
        <w:bottom w:val="none" w:sz="0" w:space="0" w:color="auto"/>
        <w:right w:val="none" w:sz="0" w:space="0" w:color="auto"/>
      </w:divBdr>
    </w:div>
    <w:div w:id="21322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000" b="1" i="0" u="none" strike="noStrike" kern="1200" cap="all" spc="100" normalizeH="0" baseline="0">
              <a:solidFill>
                <a:schemeClr val="lt1"/>
              </a:solidFill>
              <a:latin typeface="+mn-lt"/>
              <a:ea typeface="+mn-ea"/>
              <a:cs typeface="+mn-cs"/>
            </a:defRPr>
          </a:pPr>
          <a:endParaRPr lang="en-US"/>
        </a:p>
      </c:txPr>
    </c:title>
    <c:autoTitleDeleted val="0"/>
    <c:plotArea>
      <c:layout/>
      <c:scatterChart>
        <c:scatterStyle val="smoothMarker"/>
        <c:varyColors val="0"/>
        <c:ser>
          <c:idx val="0"/>
          <c:order val="0"/>
          <c:tx>
            <c:strRef>
              <c:f>Sheet1!$C$17</c:f>
              <c:strCache>
                <c:ptCount val="1"/>
                <c:pt idx="0">
                  <c:v>Poresko opterećenje na rad</c:v>
                </c:pt>
              </c:strCache>
            </c:strRef>
          </c:tx>
          <c:spPr>
            <a:ln w="28575" cap="rnd">
              <a:solidFill>
                <a:schemeClr val="lt1">
                  <a:alpha val="50000"/>
                </a:schemeClr>
              </a:solidFill>
              <a:round/>
            </a:ln>
            <a:effectLst>
              <a:outerShdw dist="25400" dir="2700000" algn="tl" rotWithShape="0">
                <a:schemeClr val="accent1"/>
              </a:outerShdw>
            </a:effectLst>
          </c:spPr>
          <c:marker>
            <c:symbol val="circle"/>
            <c:size val="6"/>
            <c:spPr>
              <a:solidFill>
                <a:srgbClr val="FF0000"/>
              </a:solidFill>
              <a:ln w="22225">
                <a:solidFill>
                  <a:schemeClr val="lt1"/>
                </a:solidFill>
                <a:round/>
              </a:ln>
              <a:effectLst/>
            </c:spPr>
          </c:marker>
          <c:xVal>
            <c:numRef>
              <c:f>Sheet1!$B$18:$B$29</c:f>
              <c:numCache>
                <c:formatCode>#,#00</c:formatCode>
                <c:ptCount val="12"/>
                <c:pt idx="0">
                  <c:v>450</c:v>
                </c:pt>
                <c:pt idx="1">
                  <c:v>550</c:v>
                </c:pt>
                <c:pt idx="2">
                  <c:v>650</c:v>
                </c:pt>
                <c:pt idx="3">
                  <c:v>750</c:v>
                </c:pt>
                <c:pt idx="4">
                  <c:v>850</c:v>
                </c:pt>
                <c:pt idx="5">
                  <c:v>950</c:v>
                </c:pt>
                <c:pt idx="6">
                  <c:v>1000</c:v>
                </c:pt>
                <c:pt idx="7">
                  <c:v>1250</c:v>
                </c:pt>
                <c:pt idx="8">
                  <c:v>1500</c:v>
                </c:pt>
                <c:pt idx="9">
                  <c:v>1750</c:v>
                </c:pt>
                <c:pt idx="10">
                  <c:v>2000</c:v>
                </c:pt>
                <c:pt idx="11">
                  <c:v>2250</c:v>
                </c:pt>
              </c:numCache>
            </c:numRef>
          </c:xVal>
          <c:yVal>
            <c:numRef>
              <c:f>Sheet1!$C$18:$C$29</c:f>
              <c:numCache>
                <c:formatCode>General</c:formatCode>
                <c:ptCount val="12"/>
                <c:pt idx="0">
                  <c:v>20.399999999999999</c:v>
                </c:pt>
                <c:pt idx="1">
                  <c:v>20.399999999999999</c:v>
                </c:pt>
                <c:pt idx="2">
                  <c:v>21.4</c:v>
                </c:pt>
                <c:pt idx="3">
                  <c:v>22.6</c:v>
                </c:pt>
                <c:pt idx="4">
                  <c:v>23.8</c:v>
                </c:pt>
                <c:pt idx="5">
                  <c:v>25.3</c:v>
                </c:pt>
                <c:pt idx="6">
                  <c:v>25.9</c:v>
                </c:pt>
                <c:pt idx="7">
                  <c:v>28.2</c:v>
                </c:pt>
                <c:pt idx="8">
                  <c:v>29.6</c:v>
                </c:pt>
                <c:pt idx="9">
                  <c:v>30.6</c:v>
                </c:pt>
                <c:pt idx="10">
                  <c:v>31.3</c:v>
                </c:pt>
                <c:pt idx="11">
                  <c:v>31.8</c:v>
                </c:pt>
              </c:numCache>
            </c:numRef>
          </c:yVal>
          <c:smooth val="1"/>
          <c:extLst>
            <c:ext xmlns:c16="http://schemas.microsoft.com/office/drawing/2014/chart" uri="{C3380CC4-5D6E-409C-BE32-E72D297353CC}">
              <c16:uniqueId val="{00000000-FD3A-4AD3-A9F8-8F3F452B8E6A}"/>
            </c:ext>
          </c:extLst>
        </c:ser>
        <c:dLbls>
          <c:showLegendKey val="0"/>
          <c:showVal val="0"/>
          <c:showCatName val="0"/>
          <c:showSerName val="0"/>
          <c:showPercent val="0"/>
          <c:showBubbleSize val="0"/>
        </c:dLbls>
        <c:axId val="523565968"/>
        <c:axId val="523563248"/>
      </c:scatterChart>
      <c:valAx>
        <c:axId val="523565968"/>
        <c:scaling>
          <c:orientation val="minMax"/>
        </c:scaling>
        <c:delete val="0"/>
        <c:axPos val="b"/>
        <c:majorGridlines>
          <c:spPr>
            <a:ln w="9525" cap="flat" cmpd="sng" algn="ctr">
              <a:solidFill>
                <a:schemeClr val="lt1">
                  <a:alpha val="25000"/>
                </a:schemeClr>
              </a:solidFill>
              <a:round/>
            </a:ln>
            <a:effectLst/>
          </c:spPr>
        </c:majorGridlines>
        <c:numFmt formatCode="#,#00" sourceLinked="1"/>
        <c:majorTickMark val="none"/>
        <c:minorTickMark val="none"/>
        <c:tickLblPos val="nextTo"/>
        <c:spPr>
          <a:noFill/>
          <a:ln w="12700" cap="flat" cmpd="sng" algn="ctr">
            <a:solidFill>
              <a:schemeClr val="lt1">
                <a:alpha val="25000"/>
              </a:schemeClr>
            </a:solidFill>
            <a:round/>
          </a:ln>
          <a:effectLst/>
        </c:spPr>
        <c:txPr>
          <a:bodyPr rot="-60000000" spcFirstLastPara="1" vertOverflow="ellipsis" vert="horz" wrap="square" anchor="ctr" anchorCtr="1"/>
          <a:lstStyle/>
          <a:p>
            <a:pPr>
              <a:defRPr sz="800" b="1" i="0" u="none" strike="noStrike" kern="1200" spc="100" baseline="0">
                <a:solidFill>
                  <a:schemeClr val="lt1"/>
                </a:solidFill>
                <a:latin typeface="+mn-lt"/>
                <a:ea typeface="+mn-ea"/>
                <a:cs typeface="+mn-cs"/>
              </a:defRPr>
            </a:pPr>
            <a:endParaRPr lang="en-US"/>
          </a:p>
        </c:txPr>
        <c:crossAx val="523563248"/>
        <c:crosses val="autoZero"/>
        <c:crossBetween val="midCat"/>
      </c:valAx>
      <c:valAx>
        <c:axId val="523563248"/>
        <c:scaling>
          <c:orientation val="minMax"/>
        </c:scaling>
        <c:delete val="0"/>
        <c:axPos val="l"/>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lt1"/>
                </a:solidFill>
                <a:latin typeface="+mn-lt"/>
                <a:ea typeface="+mn-ea"/>
                <a:cs typeface="+mn-cs"/>
              </a:defRPr>
            </a:pPr>
            <a:endParaRPr lang="en-US"/>
          </a:p>
        </c:txPr>
        <c:crossAx val="523565968"/>
        <c:crosses val="autoZero"/>
        <c:crossBetween val="midCat"/>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2">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A6EB8-76C9-4241-A8FC-B0814D7D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8129</Words>
  <Characters>46337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EVROPASAD!</vt:lpstr>
    </vt:vector>
  </TitlesOfParts>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EVROPASAD!</dc:title>
  <dc:subject>Optimalno rješenje – draft</dc:subject>
  <dc:creator>Radna grupa za analizu svih fiskaliteta i parafiskaliteta na rad</dc:creator>
  <cp:keywords/>
  <dc:description/>
  <cp:lastModifiedBy>Branka Nedeljkovic</cp:lastModifiedBy>
  <cp:revision>2</cp:revision>
  <cp:lastPrinted>2021-09-06T08:59:00Z</cp:lastPrinted>
  <dcterms:created xsi:type="dcterms:W3CDTF">2021-11-04T10:49:00Z</dcterms:created>
  <dcterms:modified xsi:type="dcterms:W3CDTF">2021-11-04T10:49:00Z</dcterms:modified>
</cp:coreProperties>
</file>