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2D6A" w14:textId="77777777" w:rsidR="000A00FF" w:rsidRPr="00B004A0" w:rsidRDefault="000A00FF" w:rsidP="000A00FF">
      <w:pPr>
        <w:spacing w:line="288" w:lineRule="auto"/>
        <w:jc w:val="center"/>
        <w:rPr>
          <w:b/>
          <w:sz w:val="26"/>
          <w:lang w:val="en-GB"/>
        </w:rPr>
      </w:pPr>
      <w:r w:rsidRPr="00B004A0">
        <w:rPr>
          <w:noProof/>
          <w:lang w:val="en-GB" w:eastAsia="en-GB"/>
        </w:rPr>
        <w:drawing>
          <wp:inline distT="0" distB="0" distL="0" distR="0" wp14:anchorId="16B4311E" wp14:editId="19CD03DF">
            <wp:extent cx="742950" cy="844550"/>
            <wp:effectExtent l="0" t="0" r="0" b="0"/>
            <wp:docPr id="52" name="Picture 5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44550"/>
                    </a:xfrm>
                    <a:prstGeom prst="rect">
                      <a:avLst/>
                    </a:prstGeom>
                    <a:noFill/>
                    <a:ln>
                      <a:noFill/>
                    </a:ln>
                  </pic:spPr>
                </pic:pic>
              </a:graphicData>
            </a:graphic>
          </wp:inline>
        </w:drawing>
      </w:r>
    </w:p>
    <w:p w14:paraId="2EE01FFD" w14:textId="6771EA9C" w:rsidR="000A00FF" w:rsidRDefault="000A00FF" w:rsidP="000A00FF">
      <w:pPr>
        <w:jc w:val="center"/>
        <w:rPr>
          <w:rFonts w:eastAsia="Calibri" w:cs="Arial"/>
          <w:b/>
          <w:sz w:val="28"/>
          <w:szCs w:val="28"/>
          <w:lang w:val="en-GB"/>
        </w:rPr>
      </w:pPr>
      <w:r w:rsidRPr="00B004A0">
        <w:rPr>
          <w:rFonts w:eastAsia="Calibri" w:cs="Arial"/>
          <w:b/>
          <w:sz w:val="28"/>
          <w:szCs w:val="28"/>
          <w:lang w:val="en-GB"/>
        </w:rPr>
        <w:t>MONTENEGRO</w:t>
      </w:r>
    </w:p>
    <w:p w14:paraId="184260DB" w14:textId="43193E30" w:rsidR="000A00FF" w:rsidRPr="00B004A0" w:rsidRDefault="000A00FF" w:rsidP="000A00FF">
      <w:pPr>
        <w:jc w:val="center"/>
        <w:rPr>
          <w:rFonts w:eastAsia="Calibri" w:cs="Arial"/>
          <w:b/>
          <w:sz w:val="28"/>
          <w:szCs w:val="28"/>
          <w:lang w:val="en-GB"/>
        </w:rPr>
      </w:pPr>
      <w:r w:rsidRPr="000A00FF">
        <w:rPr>
          <w:rFonts w:eastAsia="Calibri" w:cs="Arial"/>
          <w:b/>
          <w:sz w:val="28"/>
          <w:szCs w:val="28"/>
          <w:lang w:val="en-GB"/>
        </w:rPr>
        <w:t>Ministry of Agriculture, Forestry and Water Management</w:t>
      </w:r>
    </w:p>
    <w:p w14:paraId="20841FCA" w14:textId="77777777" w:rsidR="000A00FF" w:rsidRDefault="000A00FF" w:rsidP="000A00FF">
      <w:pPr>
        <w:jc w:val="center"/>
        <w:rPr>
          <w:rFonts w:eastAsia="Calibri" w:cs="Arial"/>
          <w:b/>
          <w:sz w:val="28"/>
          <w:szCs w:val="28"/>
          <w:lang w:val="en-GB"/>
        </w:rPr>
      </w:pPr>
      <w:r w:rsidRPr="000A00FF">
        <w:rPr>
          <w:rFonts w:eastAsia="Calibri" w:cs="Arial"/>
          <w:b/>
          <w:sz w:val="28"/>
          <w:szCs w:val="28"/>
          <w:lang w:val="en-GB"/>
        </w:rPr>
        <w:t>Sava and Drina River Corridors Integrated Development Program (SDIP)</w:t>
      </w:r>
    </w:p>
    <w:p w14:paraId="080A339D" w14:textId="77777777" w:rsidR="00BA720A" w:rsidRPr="00B637AF" w:rsidRDefault="00BA720A" w:rsidP="00BA720A">
      <w:pPr>
        <w:pStyle w:val="Heading1a"/>
        <w:keepNext w:val="0"/>
        <w:keepLines w:val="0"/>
        <w:tabs>
          <w:tab w:val="clear" w:pos="-720"/>
        </w:tabs>
        <w:suppressAutoHyphens w:val="0"/>
        <w:jc w:val="left"/>
        <w:rPr>
          <w:bCs/>
          <w:smallCaps w:val="0"/>
        </w:rPr>
      </w:pPr>
    </w:p>
    <w:p w14:paraId="0A6AC2CA" w14:textId="77777777" w:rsidR="00BA720A" w:rsidRPr="00B637AF" w:rsidRDefault="00BA720A" w:rsidP="00BA720A">
      <w:pPr>
        <w:pStyle w:val="Heading1a"/>
        <w:keepNext w:val="0"/>
        <w:keepLines w:val="0"/>
        <w:tabs>
          <w:tab w:val="clear" w:pos="-720"/>
        </w:tabs>
        <w:suppressAutoHyphens w:val="0"/>
        <w:rPr>
          <w:smallCaps w:val="0"/>
          <w:sz w:val="44"/>
        </w:rPr>
      </w:pPr>
      <w:r w:rsidRPr="00B637AF">
        <w:rPr>
          <w:smallCaps w:val="0"/>
          <w:sz w:val="44"/>
        </w:rPr>
        <w:t>Request for Bids</w:t>
      </w:r>
    </w:p>
    <w:p w14:paraId="3CBF6E10" w14:textId="77777777" w:rsidR="00BA720A" w:rsidRPr="00B637AF" w:rsidRDefault="00BA720A" w:rsidP="00BA720A">
      <w:pPr>
        <w:pStyle w:val="Heading1a"/>
        <w:keepNext w:val="0"/>
        <w:keepLines w:val="0"/>
        <w:tabs>
          <w:tab w:val="clear" w:pos="-720"/>
        </w:tabs>
        <w:suppressAutoHyphens w:val="0"/>
        <w:rPr>
          <w:smallCaps w:val="0"/>
          <w:sz w:val="44"/>
        </w:rPr>
      </w:pPr>
      <w:r w:rsidRPr="00B637AF">
        <w:rPr>
          <w:smallCaps w:val="0"/>
          <w:sz w:val="44"/>
        </w:rPr>
        <w:t xml:space="preserve">Small Works </w:t>
      </w:r>
    </w:p>
    <w:p w14:paraId="16EE3BE0" w14:textId="2B839AF7" w:rsidR="00BA720A" w:rsidRPr="00B637AF" w:rsidRDefault="00BA720A" w:rsidP="00BA720A">
      <w:pPr>
        <w:pStyle w:val="Heading1a"/>
        <w:keepNext w:val="0"/>
        <w:keepLines w:val="0"/>
        <w:tabs>
          <w:tab w:val="clear" w:pos="-720"/>
        </w:tabs>
        <w:suppressAutoHyphens w:val="0"/>
        <w:spacing w:before="120"/>
        <w:rPr>
          <w:bCs/>
          <w:smallCaps w:val="0"/>
          <w:sz w:val="28"/>
          <w:szCs w:val="28"/>
        </w:rPr>
      </w:pPr>
      <w:r w:rsidRPr="00B637AF">
        <w:rPr>
          <w:bCs/>
          <w:smallCaps w:val="0"/>
          <w:sz w:val="28"/>
          <w:szCs w:val="28"/>
        </w:rPr>
        <w:t>(</w:t>
      </w:r>
      <w:r w:rsidR="00244D90">
        <w:rPr>
          <w:bCs/>
          <w:smallCaps w:val="0"/>
          <w:sz w:val="28"/>
          <w:szCs w:val="28"/>
        </w:rPr>
        <w:t>Two</w:t>
      </w:r>
      <w:r w:rsidRPr="00B637AF">
        <w:rPr>
          <w:bCs/>
          <w:smallCaps w:val="0"/>
          <w:sz w:val="28"/>
          <w:szCs w:val="28"/>
        </w:rPr>
        <w:t>-Envelope Bidding Process)</w:t>
      </w:r>
    </w:p>
    <w:p w14:paraId="4C7BAE9B" w14:textId="77777777" w:rsidR="00BA720A" w:rsidRPr="00B637AF" w:rsidRDefault="00BA720A" w:rsidP="00BA720A">
      <w:pPr>
        <w:pStyle w:val="ChapterNumber"/>
        <w:tabs>
          <w:tab w:val="clear" w:pos="-720"/>
        </w:tabs>
        <w:rPr>
          <w:rFonts w:ascii="Times New Roman" w:hAnsi="Times New Roman"/>
          <w:spacing w:val="-2"/>
        </w:rPr>
      </w:pPr>
    </w:p>
    <w:p w14:paraId="3FE64CEC" w14:textId="560D1A28" w:rsidR="00BA720A" w:rsidRPr="00B637AF" w:rsidRDefault="00BA720A" w:rsidP="00BA720A">
      <w:pPr>
        <w:suppressAutoHyphens/>
        <w:spacing w:after="60"/>
        <w:rPr>
          <w:spacing w:val="-2"/>
        </w:rPr>
      </w:pPr>
      <w:r w:rsidRPr="00B637AF">
        <w:rPr>
          <w:b/>
          <w:spacing w:val="-2"/>
        </w:rPr>
        <w:t>Country:</w:t>
      </w:r>
      <w:r>
        <w:rPr>
          <w:b/>
          <w:spacing w:val="-2"/>
        </w:rPr>
        <w:t xml:space="preserve"> </w:t>
      </w:r>
      <w:r>
        <w:t>Montenegro</w:t>
      </w:r>
    </w:p>
    <w:p w14:paraId="0121C0B2" w14:textId="0C031907" w:rsidR="00BA720A" w:rsidRPr="00B637AF" w:rsidRDefault="00BA720A" w:rsidP="00BA720A">
      <w:pPr>
        <w:tabs>
          <w:tab w:val="left" w:pos="6660"/>
        </w:tabs>
        <w:suppressAutoHyphens/>
        <w:spacing w:after="60"/>
      </w:pPr>
      <w:r w:rsidRPr="00B637AF">
        <w:rPr>
          <w:b/>
        </w:rPr>
        <w:t>Name of Project:</w:t>
      </w:r>
      <w:r w:rsidRPr="00B637AF">
        <w:rPr>
          <w:spacing w:val="-2"/>
        </w:rPr>
        <w:t xml:space="preserve"> </w:t>
      </w:r>
      <w:r w:rsidRPr="00BA720A">
        <w:t>Sava and Drina River Corridors Integrated Development Program (SDIP)</w:t>
      </w:r>
    </w:p>
    <w:p w14:paraId="3DD7754A" w14:textId="77777777" w:rsidR="00260978" w:rsidRDefault="00BA720A" w:rsidP="00BA720A">
      <w:pPr>
        <w:suppressAutoHyphens/>
        <w:spacing w:after="60"/>
      </w:pPr>
      <w:r w:rsidRPr="00B637AF">
        <w:rPr>
          <w:b/>
        </w:rPr>
        <w:t>Contract Title:</w:t>
      </w:r>
      <w:r w:rsidRPr="00B637AF">
        <w:t xml:space="preserve"> </w:t>
      </w:r>
      <w:r w:rsidR="00260978" w:rsidRPr="00260978">
        <w:t>Grnčar River regulation downstream from road bridge – Gusinje</w:t>
      </w:r>
    </w:p>
    <w:p w14:paraId="5EF3F5D8" w14:textId="730C66FA" w:rsidR="00BA720A" w:rsidRPr="00B637AF" w:rsidRDefault="00BA720A" w:rsidP="00BA720A">
      <w:pPr>
        <w:suppressAutoHyphens/>
        <w:spacing w:after="60"/>
      </w:pPr>
      <w:r w:rsidRPr="00B637AF">
        <w:rPr>
          <w:b/>
        </w:rPr>
        <w:t>Loan No.</w:t>
      </w:r>
      <w:r>
        <w:rPr>
          <w:b/>
        </w:rPr>
        <w:t xml:space="preserve"> 91300-ME</w:t>
      </w:r>
    </w:p>
    <w:p w14:paraId="502B4DE0" w14:textId="4FE3D733" w:rsidR="00BA720A" w:rsidRPr="00B637AF" w:rsidRDefault="00BA720A" w:rsidP="00BA720A">
      <w:pPr>
        <w:suppressAutoHyphens/>
        <w:spacing w:after="60"/>
        <w:rPr>
          <w:spacing w:val="-2"/>
        </w:rPr>
      </w:pPr>
      <w:r w:rsidRPr="00B637AF">
        <w:rPr>
          <w:b/>
          <w:spacing w:val="-2"/>
        </w:rPr>
        <w:t xml:space="preserve">RFB </w:t>
      </w:r>
      <w:r w:rsidRPr="00E17D14">
        <w:rPr>
          <w:b/>
          <w:spacing w:val="-2"/>
        </w:rPr>
        <w:t>Reference No.:</w:t>
      </w:r>
      <w:r w:rsidRPr="00E17D14">
        <w:rPr>
          <w:spacing w:val="-2"/>
        </w:rPr>
        <w:t xml:space="preserve"> MNE-SDIP-91300-ME-RFB</w:t>
      </w:r>
      <w:r w:rsidR="00831DB0">
        <w:rPr>
          <w:spacing w:val="-2"/>
        </w:rPr>
        <w:t>I</w:t>
      </w:r>
      <w:r w:rsidRPr="00E17D14">
        <w:rPr>
          <w:spacing w:val="-2"/>
        </w:rPr>
        <w:t>-W-</w:t>
      </w:r>
      <w:r w:rsidR="00260978">
        <w:rPr>
          <w:spacing w:val="-2"/>
        </w:rPr>
        <w:t>24</w:t>
      </w:r>
      <w:r w:rsidRPr="00E17D14">
        <w:rPr>
          <w:spacing w:val="-2"/>
        </w:rPr>
        <w:t>-2.1.</w:t>
      </w:r>
      <w:r w:rsidR="00260978">
        <w:rPr>
          <w:spacing w:val="-2"/>
        </w:rPr>
        <w:t>5</w:t>
      </w:r>
      <w:r w:rsidRPr="00E17D14">
        <w:rPr>
          <w:spacing w:val="-2"/>
        </w:rPr>
        <w:t>.</w:t>
      </w:r>
      <w:r>
        <w:rPr>
          <w:i/>
          <w:spacing w:val="-2"/>
        </w:rPr>
        <w:t xml:space="preserve"> </w:t>
      </w:r>
    </w:p>
    <w:p w14:paraId="285769D6" w14:textId="77777777" w:rsidR="00BA720A" w:rsidRPr="00B637AF" w:rsidRDefault="00BA720A" w:rsidP="00BA720A">
      <w:pPr>
        <w:suppressAutoHyphens/>
        <w:rPr>
          <w:spacing w:val="-2"/>
        </w:rPr>
      </w:pPr>
    </w:p>
    <w:p w14:paraId="3C83F9F4" w14:textId="77777777" w:rsidR="00BA720A" w:rsidRPr="00A41FB5" w:rsidRDefault="00BA720A" w:rsidP="00BA720A">
      <w:pPr>
        <w:suppressAutoHyphens/>
        <w:rPr>
          <w:spacing w:val="-2"/>
        </w:rPr>
      </w:pPr>
    </w:p>
    <w:p w14:paraId="0ADDA7E3" w14:textId="253CF073" w:rsidR="00BA720A" w:rsidRPr="00A41FB5" w:rsidRDefault="00BA720A" w:rsidP="00BA720A">
      <w:pPr>
        <w:pStyle w:val="ListParagraph"/>
        <w:numPr>
          <w:ilvl w:val="0"/>
          <w:numId w:val="1"/>
        </w:numPr>
        <w:suppressAutoHyphens/>
        <w:jc w:val="both"/>
        <w:rPr>
          <w:spacing w:val="-2"/>
        </w:rPr>
      </w:pPr>
      <w:r w:rsidRPr="00A41FB5">
        <w:rPr>
          <w:spacing w:val="-2"/>
        </w:rPr>
        <w:t xml:space="preserve">The Montenegro has received financing from the World Bank toward the cost of the </w:t>
      </w:r>
      <w:r w:rsidR="0037771B" w:rsidRPr="00A41FB5">
        <w:rPr>
          <w:spacing w:val="-2"/>
        </w:rPr>
        <w:t>Sava and Drina River Corridors Integrated Development Program (SDIP)</w:t>
      </w:r>
      <w:r w:rsidRPr="00A41FB5">
        <w:rPr>
          <w:spacing w:val="-2"/>
        </w:rPr>
        <w:t xml:space="preserve">, and intends to apply part of the proceeds toward payments under the contract for </w:t>
      </w:r>
      <w:r w:rsidR="00260978" w:rsidRPr="00260978">
        <w:rPr>
          <w:spacing w:val="-2"/>
        </w:rPr>
        <w:t>Grnčar River regulation downstream from road bridge – Gusinje</w:t>
      </w:r>
      <w:r w:rsidRPr="00A41FB5">
        <w:rPr>
          <w:spacing w:val="-2"/>
        </w:rPr>
        <w:t xml:space="preserve">. </w:t>
      </w:r>
    </w:p>
    <w:p w14:paraId="3AFF4897" w14:textId="77777777" w:rsidR="0037771B" w:rsidRPr="00A41FB5" w:rsidRDefault="0037771B" w:rsidP="0037771B">
      <w:pPr>
        <w:pStyle w:val="ListParagraph"/>
        <w:suppressAutoHyphens/>
        <w:ind w:left="360"/>
        <w:jc w:val="both"/>
        <w:rPr>
          <w:spacing w:val="-2"/>
        </w:rPr>
      </w:pPr>
    </w:p>
    <w:p w14:paraId="747E5946" w14:textId="20CA8ED1" w:rsidR="00BA720A" w:rsidRPr="00A41FB5" w:rsidRDefault="00BA720A" w:rsidP="00BA720A">
      <w:pPr>
        <w:pStyle w:val="ListParagraph"/>
        <w:numPr>
          <w:ilvl w:val="0"/>
          <w:numId w:val="1"/>
        </w:numPr>
        <w:suppressAutoHyphens/>
        <w:jc w:val="both"/>
        <w:rPr>
          <w:spacing w:val="-2"/>
        </w:rPr>
      </w:pPr>
      <w:r w:rsidRPr="00A41FB5">
        <w:rPr>
          <w:spacing w:val="-2"/>
        </w:rPr>
        <w:t xml:space="preserve">The </w:t>
      </w:r>
      <w:r w:rsidR="0037771B" w:rsidRPr="00A41FB5">
        <w:rPr>
          <w:spacing w:val="-2"/>
        </w:rPr>
        <w:t xml:space="preserve">Ministry of Agriculture, Forestry and Water Management, </w:t>
      </w:r>
      <w:r w:rsidR="000A00FF" w:rsidRPr="00A41FB5">
        <w:rPr>
          <w:spacing w:val="-2"/>
        </w:rPr>
        <w:t>through</w:t>
      </w:r>
      <w:r w:rsidR="0037771B" w:rsidRPr="00A41FB5">
        <w:rPr>
          <w:spacing w:val="-2"/>
        </w:rPr>
        <w:t xml:space="preserve"> Technical Service Unit</w:t>
      </w:r>
      <w:r w:rsidR="000A00FF" w:rsidRPr="00A41FB5">
        <w:rPr>
          <w:spacing w:val="-2"/>
        </w:rPr>
        <w:t xml:space="preserve"> (TSU)</w:t>
      </w:r>
      <w:r w:rsidR="0037771B" w:rsidRPr="00A41FB5">
        <w:rPr>
          <w:spacing w:val="-2"/>
        </w:rPr>
        <w:t xml:space="preserve"> </w:t>
      </w:r>
      <w:r w:rsidRPr="00A41FB5">
        <w:rPr>
          <w:spacing w:val="-2"/>
        </w:rPr>
        <w:t xml:space="preserve">now invites sealed Bids from eligible Bidders for </w:t>
      </w:r>
      <w:r w:rsidR="00260978" w:rsidRPr="00260978">
        <w:rPr>
          <w:spacing w:val="-2"/>
        </w:rPr>
        <w:t>Grnčar River regulation downstream from road bridge – Gusinje</w:t>
      </w:r>
      <w:r w:rsidR="0037771B" w:rsidRPr="00A41FB5">
        <w:rPr>
          <w:spacing w:val="-2"/>
        </w:rPr>
        <w:t>.</w:t>
      </w:r>
      <w:r w:rsidR="00260978">
        <w:rPr>
          <w:spacing w:val="-2"/>
        </w:rPr>
        <w:t xml:space="preserve"> </w:t>
      </w:r>
    </w:p>
    <w:p w14:paraId="2E33B9E8" w14:textId="77777777" w:rsidR="00BA720A" w:rsidRPr="00A41FB5" w:rsidRDefault="00BA720A" w:rsidP="00BA720A">
      <w:pPr>
        <w:pStyle w:val="ListParagraph"/>
        <w:rPr>
          <w:spacing w:val="-2"/>
        </w:rPr>
      </w:pPr>
    </w:p>
    <w:p w14:paraId="051D388A" w14:textId="77777777" w:rsidR="0037771B" w:rsidRPr="00A41FB5" w:rsidRDefault="00BA720A" w:rsidP="0037771B">
      <w:pPr>
        <w:pStyle w:val="ListParagraph"/>
        <w:numPr>
          <w:ilvl w:val="0"/>
          <w:numId w:val="1"/>
        </w:numPr>
        <w:suppressAutoHyphens/>
        <w:jc w:val="both"/>
        <w:rPr>
          <w:spacing w:val="-2"/>
        </w:rPr>
      </w:pPr>
      <w:r w:rsidRPr="00A41FB5">
        <w:rPr>
          <w:spacing w:val="-2"/>
        </w:rPr>
        <w:t xml:space="preserve">Bidding will be conducted through </w:t>
      </w:r>
      <w:r w:rsidRPr="00A41FB5">
        <w:t xml:space="preserve">international competitive procurement using a Request for Bids (RFB) </w:t>
      </w:r>
      <w:r w:rsidRPr="00A41FB5">
        <w:rPr>
          <w:spacing w:val="-2"/>
        </w:rPr>
        <w:t xml:space="preserve">as specified in the World Bank’s </w:t>
      </w:r>
      <w:r w:rsidR="0037771B" w:rsidRPr="00A41FB5">
        <w:rPr>
          <w:color w:val="353535"/>
        </w:rPr>
        <w:t>“Procurement Regulations for IPF Borrowers” July 2016, Revised November 2017 and August 2018</w:t>
      </w:r>
      <w:r w:rsidRPr="00A41FB5">
        <w:rPr>
          <w:spacing w:val="-2"/>
        </w:rPr>
        <w:t xml:space="preserve"> (“Procurement Regulations”), and is open to all Bidders as defined in the Procurement Regulations. </w:t>
      </w:r>
    </w:p>
    <w:p w14:paraId="4D0EC2E6" w14:textId="77777777" w:rsidR="0037771B" w:rsidRPr="00A41FB5" w:rsidRDefault="0037771B" w:rsidP="0037771B">
      <w:pPr>
        <w:pStyle w:val="ListParagraph"/>
        <w:rPr>
          <w:spacing w:val="-2"/>
        </w:rPr>
      </w:pPr>
    </w:p>
    <w:p w14:paraId="6EEEFDAA" w14:textId="77777777" w:rsidR="0037771B" w:rsidRPr="00A41FB5" w:rsidRDefault="0037771B" w:rsidP="0037771B">
      <w:pPr>
        <w:pStyle w:val="ListParagraph"/>
        <w:numPr>
          <w:ilvl w:val="0"/>
          <w:numId w:val="1"/>
        </w:numPr>
        <w:suppressAutoHyphens/>
        <w:jc w:val="both"/>
        <w:rPr>
          <w:spacing w:val="-2"/>
        </w:rPr>
      </w:pPr>
      <w:r w:rsidRPr="00A41FB5">
        <w:rPr>
          <w:spacing w:val="-2"/>
        </w:rPr>
        <w:t>Interested eligible Bidders may obtain further information from at the address below from 8-14 hours, local time in Podgorica.</w:t>
      </w:r>
    </w:p>
    <w:p w14:paraId="618654DF" w14:textId="77777777" w:rsidR="0037771B" w:rsidRPr="0037771B" w:rsidRDefault="0037771B" w:rsidP="0037771B">
      <w:pPr>
        <w:pStyle w:val="ListParagraph"/>
        <w:rPr>
          <w:spacing w:val="-2"/>
        </w:rPr>
      </w:pPr>
    </w:p>
    <w:p w14:paraId="6FCA05FF" w14:textId="77777777" w:rsidR="00CF740A" w:rsidRPr="0046473A" w:rsidRDefault="00CF740A" w:rsidP="00CF740A">
      <w:pPr>
        <w:pStyle w:val="ListParagraph"/>
        <w:numPr>
          <w:ilvl w:val="0"/>
          <w:numId w:val="1"/>
        </w:numPr>
        <w:suppressAutoHyphens/>
        <w:jc w:val="both"/>
        <w:rPr>
          <w:b/>
          <w:spacing w:val="-2"/>
          <w:u w:val="single"/>
        </w:rPr>
      </w:pPr>
      <w:r w:rsidRPr="0037771B">
        <w:rPr>
          <w:spacing w:val="-2"/>
        </w:rPr>
        <w:t>T</w:t>
      </w:r>
      <w:r w:rsidRPr="004A7AE3">
        <w:t>he bidding document in English may be purchased by interested Bidders upon the submission of a written application to the address below</w:t>
      </w:r>
      <w:r>
        <w:t xml:space="preserve">. </w:t>
      </w:r>
      <w:r w:rsidRPr="0046473A">
        <w:rPr>
          <w:b/>
          <w:spacing w:val="-2"/>
          <w:u w:val="single"/>
        </w:rPr>
        <w:t>A complete Set of Bidding Documents will be sent by e-mail</w:t>
      </w:r>
      <w:r w:rsidRPr="0046473A">
        <w:rPr>
          <w:spacing w:val="-2"/>
        </w:rPr>
        <w:t>,</w:t>
      </w:r>
      <w:r>
        <w:rPr>
          <w:spacing w:val="-2"/>
        </w:rPr>
        <w:t xml:space="preserve"> free of charge,</w:t>
      </w:r>
      <w:r w:rsidRPr="0046473A">
        <w:rPr>
          <w:spacing w:val="-2"/>
        </w:rPr>
        <w:t xml:space="preserve"> after the providing the request on TSU e-mail address given below.</w:t>
      </w:r>
    </w:p>
    <w:p w14:paraId="6FD6CA13" w14:textId="77777777" w:rsidR="00BA720A" w:rsidRPr="00B637AF" w:rsidRDefault="00BA720A" w:rsidP="00BA720A">
      <w:pPr>
        <w:pStyle w:val="ListParagraph"/>
        <w:suppressAutoHyphens/>
        <w:ind w:left="360"/>
        <w:jc w:val="both"/>
        <w:rPr>
          <w:spacing w:val="-2"/>
        </w:rPr>
      </w:pPr>
    </w:p>
    <w:p w14:paraId="4F0009CE" w14:textId="095DB4FB" w:rsidR="00831DB0" w:rsidRPr="00831DB0" w:rsidRDefault="000A00FF" w:rsidP="000A00FF">
      <w:pPr>
        <w:pStyle w:val="ListParagraph"/>
        <w:numPr>
          <w:ilvl w:val="0"/>
          <w:numId w:val="1"/>
        </w:numPr>
        <w:suppressAutoHyphens/>
        <w:spacing w:after="120"/>
        <w:contextualSpacing w:val="0"/>
        <w:jc w:val="both"/>
        <w:rPr>
          <w:rFonts w:eastAsia="Cambria"/>
        </w:rPr>
      </w:pPr>
      <w:r w:rsidRPr="004A7AE3">
        <w:rPr>
          <w:rFonts w:eastAsia="Cambria"/>
        </w:rPr>
        <w:t xml:space="preserve">Bids must be delivered to the address below </w:t>
      </w:r>
      <w:r w:rsidR="00831DB0">
        <w:rPr>
          <w:rFonts w:eastAsia="Cambria"/>
        </w:rPr>
        <w:t>on</w:t>
      </w:r>
      <w:r w:rsidRPr="004A7AE3">
        <w:rPr>
          <w:rFonts w:eastAsia="Cambria"/>
        </w:rPr>
        <w:t xml:space="preserve"> or before </w:t>
      </w:r>
      <w:r w:rsidRPr="004A7AE3">
        <w:rPr>
          <w:rFonts w:eastAsia="Cambria"/>
          <w:b/>
        </w:rPr>
        <w:t>10:00</w:t>
      </w:r>
      <w:r w:rsidRPr="004A7AE3">
        <w:rPr>
          <w:rFonts w:eastAsia="Cambria"/>
          <w:b/>
          <w:bCs/>
        </w:rPr>
        <w:t>h</w:t>
      </w:r>
      <w:r w:rsidRPr="004A7AE3">
        <w:rPr>
          <w:rFonts w:eastAsia="Cambria"/>
        </w:rPr>
        <w:t xml:space="preserve">, local time on </w:t>
      </w:r>
      <w:r w:rsidR="00260978">
        <w:rPr>
          <w:rFonts w:eastAsia="Cambria"/>
          <w:b/>
        </w:rPr>
        <w:t>June 3, 2024</w:t>
      </w:r>
      <w:r w:rsidRPr="004A7AE3">
        <w:rPr>
          <w:rFonts w:eastAsia="Cambria"/>
        </w:rPr>
        <w:t xml:space="preserve">. </w:t>
      </w:r>
      <w:r w:rsidRPr="004A7AE3">
        <w:rPr>
          <w:rFonts w:eastAsia="Cambria"/>
          <w:u w:val="single"/>
        </w:rPr>
        <w:t xml:space="preserve">Electronic bidding </w:t>
      </w:r>
      <w:r w:rsidRPr="004A7AE3">
        <w:rPr>
          <w:rFonts w:eastAsia="Cambria"/>
          <w:b/>
          <w:u w:val="single"/>
        </w:rPr>
        <w:t>will not be</w:t>
      </w:r>
      <w:r w:rsidRPr="004A7AE3">
        <w:rPr>
          <w:rFonts w:eastAsia="Cambria"/>
          <w:u w:val="single"/>
        </w:rPr>
        <w:t xml:space="preserve"> permitted.</w:t>
      </w:r>
      <w:r w:rsidRPr="004A7AE3">
        <w:rPr>
          <w:rFonts w:eastAsia="Cambria"/>
        </w:rPr>
        <w:t xml:space="preserve"> Late bids will be rejected. </w:t>
      </w:r>
      <w:r w:rsidR="00831DB0" w:rsidRPr="00FF4BAD">
        <w:rPr>
          <w:spacing w:val="-2"/>
        </w:rPr>
        <w:t xml:space="preserve">The outer Bid envelopes marked “ORIGINAL BID”, and the inner envelopes marked “TECHNICAL PART” will be publicly opened in the presence of the Bidders’ designated representatives </w:t>
      </w:r>
      <w:r w:rsidR="00831DB0" w:rsidRPr="00FF4BAD">
        <w:rPr>
          <w:spacing w:val="-2"/>
        </w:rPr>
        <w:lastRenderedPageBreak/>
        <w:t xml:space="preserve">and anyone who chooses to attend, at the address below </w:t>
      </w:r>
      <w:r w:rsidR="00831DB0">
        <w:rPr>
          <w:spacing w:val="-2"/>
        </w:rPr>
        <w:t xml:space="preserve">at </w:t>
      </w:r>
      <w:r w:rsidRPr="004A7AE3">
        <w:rPr>
          <w:rFonts w:eastAsia="Cambria"/>
          <w:b/>
        </w:rPr>
        <w:t>10:05</w:t>
      </w:r>
      <w:r w:rsidRPr="004A7AE3">
        <w:rPr>
          <w:rFonts w:eastAsia="Cambria"/>
        </w:rPr>
        <w:t xml:space="preserve"> hour local time, on </w:t>
      </w:r>
      <w:r w:rsidR="00260978">
        <w:rPr>
          <w:rFonts w:eastAsia="Cambria"/>
          <w:b/>
        </w:rPr>
        <w:t>June 3, 2024</w:t>
      </w:r>
      <w:r w:rsidRPr="004A7AE3">
        <w:rPr>
          <w:rFonts w:eastAsia="Cambria"/>
          <w:b/>
        </w:rPr>
        <w:t>.</w:t>
      </w:r>
      <w:r w:rsidRPr="004A7AE3">
        <w:rPr>
          <w:spacing w:val="-2"/>
          <w:vertAlign w:val="superscript"/>
        </w:rPr>
        <w:t xml:space="preserve"> </w:t>
      </w:r>
      <w:r w:rsidR="00831DB0">
        <w:rPr>
          <w:spacing w:val="-2"/>
          <w:vertAlign w:val="superscript"/>
        </w:rPr>
        <w:t xml:space="preserve"> </w:t>
      </w:r>
    </w:p>
    <w:p w14:paraId="2798956F" w14:textId="77777777" w:rsidR="00831DB0" w:rsidRDefault="00831DB0" w:rsidP="00831DB0">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360"/>
        <w:contextualSpacing w:val="0"/>
        <w:jc w:val="both"/>
        <w:rPr>
          <w:spacing w:val="-2"/>
        </w:rPr>
      </w:pPr>
      <w:r w:rsidRPr="00FF4BAD">
        <w:rPr>
          <w:spacing w:val="-2"/>
        </w:rPr>
        <w:t xml:space="preserve">All envelopes marked “FINANCIAL PART” shall remain unopened and will be held in safe custody of the Employer until the second public Bid opening. </w:t>
      </w:r>
    </w:p>
    <w:p w14:paraId="396FEEED" w14:textId="77777777" w:rsidR="00831DB0" w:rsidRPr="00831DB0" w:rsidRDefault="00831DB0" w:rsidP="00831DB0">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831DB0">
        <w:rPr>
          <w:spacing w:val="-2"/>
        </w:rPr>
        <w:t xml:space="preserve">All Bids must be accompanied by a </w:t>
      </w:r>
      <w:r w:rsidRPr="00831DB0">
        <w:rPr>
          <w:iCs/>
          <w:spacing w:val="-2"/>
        </w:rPr>
        <w:t>Bid-Securing Declaration</w:t>
      </w:r>
      <w:r w:rsidRPr="00831DB0">
        <w:rPr>
          <w:rFonts w:eastAsia="Cambria"/>
        </w:rPr>
        <w:t xml:space="preserve">. </w:t>
      </w:r>
    </w:p>
    <w:p w14:paraId="3E843C79" w14:textId="77777777" w:rsidR="00831DB0" w:rsidRPr="00FF4BAD" w:rsidRDefault="00831DB0" w:rsidP="00831DB0">
      <w:pPr>
        <w:pStyle w:val="ListParagraph"/>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contextualSpacing w:val="0"/>
        <w:jc w:val="both"/>
        <w:rPr>
          <w:spacing w:val="-2"/>
        </w:rPr>
      </w:pPr>
      <w:r w:rsidRPr="00FF4BAD">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79409854" w14:textId="77777777" w:rsidR="000A00FF" w:rsidRPr="004A7AE3" w:rsidRDefault="000A00FF" w:rsidP="000A00FF">
      <w:pPr>
        <w:pStyle w:val="ListParagraph"/>
        <w:numPr>
          <w:ilvl w:val="0"/>
          <w:numId w:val="1"/>
        </w:numPr>
        <w:suppressAutoHyphens/>
        <w:spacing w:after="120"/>
        <w:contextualSpacing w:val="0"/>
        <w:jc w:val="both"/>
        <w:rPr>
          <w:rFonts w:eastAsia="Cambria"/>
        </w:rPr>
      </w:pPr>
      <w:r w:rsidRPr="004A7AE3">
        <w:rPr>
          <w:iCs/>
        </w:rPr>
        <w:t xml:space="preserve">The address referred to above is: </w:t>
      </w:r>
    </w:p>
    <w:p w14:paraId="3E20C8B9" w14:textId="5A6297A3" w:rsidR="000A00FF" w:rsidRPr="004A7AE3" w:rsidRDefault="000A00FF" w:rsidP="000A00FF">
      <w:pPr>
        <w:spacing w:before="32"/>
        <w:ind w:left="426"/>
      </w:pPr>
      <w:r w:rsidRPr="004A7AE3">
        <w:t>M</w:t>
      </w:r>
      <w:r w:rsidRPr="004A7AE3">
        <w:rPr>
          <w:spacing w:val="1"/>
        </w:rPr>
        <w:t>i</w:t>
      </w:r>
      <w:r w:rsidRPr="004A7AE3">
        <w:rPr>
          <w:spacing w:val="-3"/>
        </w:rPr>
        <w:t>n</w:t>
      </w:r>
      <w:r w:rsidRPr="004A7AE3">
        <w:rPr>
          <w:spacing w:val="1"/>
        </w:rPr>
        <w:t>i</w:t>
      </w:r>
      <w:r w:rsidRPr="004A7AE3">
        <w:t>s</w:t>
      </w:r>
      <w:r w:rsidRPr="004A7AE3">
        <w:rPr>
          <w:spacing w:val="-1"/>
        </w:rPr>
        <w:t>t</w:t>
      </w:r>
      <w:r w:rsidRPr="004A7AE3">
        <w:t xml:space="preserve">ry </w:t>
      </w:r>
      <w:r w:rsidRPr="004A7AE3">
        <w:rPr>
          <w:spacing w:val="-2"/>
        </w:rPr>
        <w:t>o</w:t>
      </w:r>
      <w:r w:rsidRPr="004A7AE3">
        <w:t>f</w:t>
      </w:r>
      <w:r w:rsidRPr="004A7AE3">
        <w:rPr>
          <w:spacing w:val="-2"/>
        </w:rPr>
        <w:t xml:space="preserve"> </w:t>
      </w:r>
      <w:r w:rsidRPr="004A7AE3">
        <w:rPr>
          <w:spacing w:val="2"/>
        </w:rPr>
        <w:t>F</w:t>
      </w:r>
      <w:r w:rsidRPr="004A7AE3">
        <w:rPr>
          <w:spacing w:val="1"/>
        </w:rPr>
        <w:t>i</w:t>
      </w:r>
      <w:r w:rsidRPr="004A7AE3">
        <w:t>na</w:t>
      </w:r>
      <w:r w:rsidRPr="004A7AE3">
        <w:rPr>
          <w:spacing w:val="-3"/>
        </w:rPr>
        <w:t>n</w:t>
      </w:r>
      <w:r w:rsidRPr="004A7AE3">
        <w:t xml:space="preserve">ce </w:t>
      </w:r>
    </w:p>
    <w:p w14:paraId="0AC144F1" w14:textId="77777777" w:rsidR="000A00FF" w:rsidRPr="004A7AE3" w:rsidRDefault="000A00FF" w:rsidP="000A00FF">
      <w:pPr>
        <w:spacing w:before="40"/>
        <w:ind w:left="426"/>
      </w:pPr>
      <w:r w:rsidRPr="004A7AE3">
        <w:rPr>
          <w:spacing w:val="-1"/>
        </w:rPr>
        <w:t>T</w:t>
      </w:r>
      <w:r w:rsidRPr="004A7AE3">
        <w:t>ech</w:t>
      </w:r>
      <w:r w:rsidRPr="004A7AE3">
        <w:rPr>
          <w:spacing w:val="-1"/>
        </w:rPr>
        <w:t>n</w:t>
      </w:r>
      <w:r w:rsidRPr="004A7AE3">
        <w:rPr>
          <w:spacing w:val="1"/>
        </w:rPr>
        <w:t>i</w:t>
      </w:r>
      <w:r w:rsidRPr="004A7AE3">
        <w:rPr>
          <w:spacing w:val="-2"/>
        </w:rPr>
        <w:t>c</w:t>
      </w:r>
      <w:r w:rsidRPr="004A7AE3">
        <w:t>al</w:t>
      </w:r>
      <w:r w:rsidRPr="004A7AE3">
        <w:rPr>
          <w:spacing w:val="1"/>
        </w:rPr>
        <w:t xml:space="preserve"> </w:t>
      </w:r>
      <w:r w:rsidRPr="004A7AE3">
        <w:t>S</w:t>
      </w:r>
      <w:r w:rsidRPr="004A7AE3">
        <w:rPr>
          <w:spacing w:val="-2"/>
        </w:rPr>
        <w:t>e</w:t>
      </w:r>
      <w:r w:rsidRPr="004A7AE3">
        <w:t>rv</w:t>
      </w:r>
      <w:r w:rsidRPr="004A7AE3">
        <w:rPr>
          <w:spacing w:val="-1"/>
        </w:rPr>
        <w:t>i</w:t>
      </w:r>
      <w:r w:rsidRPr="004A7AE3">
        <w:t>ce</w:t>
      </w:r>
      <w:r w:rsidRPr="004A7AE3">
        <w:rPr>
          <w:spacing w:val="1"/>
        </w:rPr>
        <w:t xml:space="preserve"> </w:t>
      </w:r>
      <w:r w:rsidRPr="004A7AE3">
        <w:rPr>
          <w:spacing w:val="-1"/>
        </w:rPr>
        <w:t>U</w:t>
      </w:r>
      <w:r w:rsidRPr="004A7AE3">
        <w:t>n</w:t>
      </w:r>
      <w:r w:rsidRPr="004A7AE3">
        <w:rPr>
          <w:spacing w:val="-2"/>
        </w:rPr>
        <w:t>i</w:t>
      </w:r>
      <w:r w:rsidRPr="004A7AE3">
        <w:t xml:space="preserve">t </w:t>
      </w:r>
      <w:r w:rsidRPr="004A7AE3">
        <w:rPr>
          <w:spacing w:val="1"/>
        </w:rPr>
        <w:t>-</w:t>
      </w:r>
      <w:r w:rsidRPr="004A7AE3">
        <w:rPr>
          <w:spacing w:val="-1"/>
        </w:rPr>
        <w:t>T</w:t>
      </w:r>
      <w:r w:rsidRPr="004A7AE3">
        <w:t>SU</w:t>
      </w:r>
    </w:p>
    <w:p w14:paraId="337E7BF6" w14:textId="77777777" w:rsidR="000A00FF" w:rsidRPr="004A7AE3" w:rsidRDefault="000A00FF" w:rsidP="000A00FF">
      <w:pPr>
        <w:spacing w:before="33"/>
        <w:ind w:left="426"/>
      </w:pPr>
      <w:r w:rsidRPr="004A7AE3">
        <w:rPr>
          <w:spacing w:val="-1"/>
        </w:rPr>
        <w:t>A</w:t>
      </w:r>
      <w:r w:rsidRPr="004A7AE3">
        <w:rPr>
          <w:spacing w:val="1"/>
        </w:rPr>
        <w:t>tt</w:t>
      </w:r>
      <w:r w:rsidRPr="004A7AE3">
        <w:rPr>
          <w:spacing w:val="-2"/>
        </w:rPr>
        <w:t>n</w:t>
      </w:r>
      <w:r w:rsidRPr="004A7AE3">
        <w:t>:</w:t>
      </w:r>
      <w:r w:rsidRPr="004A7AE3">
        <w:rPr>
          <w:spacing w:val="1"/>
        </w:rPr>
        <w:t xml:space="preserve"> </w:t>
      </w:r>
      <w:r w:rsidRPr="004A7AE3">
        <w:rPr>
          <w:spacing w:val="-3"/>
        </w:rPr>
        <w:t>Mirko Lješev</w:t>
      </w:r>
      <w:r w:rsidRPr="004A7AE3">
        <w:rPr>
          <w:spacing w:val="2"/>
        </w:rPr>
        <w:t>i</w:t>
      </w:r>
      <w:r w:rsidRPr="004A7AE3">
        <w:t xml:space="preserve">ć, Senior </w:t>
      </w:r>
      <w:r w:rsidRPr="004A7AE3">
        <w:rPr>
          <w:spacing w:val="-1"/>
        </w:rPr>
        <w:t>P</w:t>
      </w:r>
      <w:r w:rsidRPr="004A7AE3">
        <w:rPr>
          <w:spacing w:val="-2"/>
        </w:rPr>
        <w:t>ro</w:t>
      </w:r>
      <w:r w:rsidRPr="004A7AE3">
        <w:t>cu</w:t>
      </w:r>
      <w:r w:rsidRPr="004A7AE3">
        <w:rPr>
          <w:spacing w:val="1"/>
        </w:rPr>
        <w:t>r</w:t>
      </w:r>
      <w:r w:rsidRPr="004A7AE3">
        <w:t>e</w:t>
      </w:r>
      <w:r w:rsidRPr="004A7AE3">
        <w:rPr>
          <w:spacing w:val="-3"/>
        </w:rPr>
        <w:t>m</w:t>
      </w:r>
      <w:r w:rsidRPr="004A7AE3">
        <w:t>ent</w:t>
      </w:r>
      <w:r w:rsidRPr="004A7AE3">
        <w:rPr>
          <w:spacing w:val="1"/>
        </w:rPr>
        <w:t xml:space="preserve"> </w:t>
      </w:r>
      <w:r w:rsidRPr="004A7AE3">
        <w:rPr>
          <w:spacing w:val="-2"/>
        </w:rPr>
        <w:t>o</w:t>
      </w:r>
      <w:r w:rsidRPr="004A7AE3">
        <w:rPr>
          <w:spacing w:val="1"/>
        </w:rPr>
        <w:t>f</w:t>
      </w:r>
      <w:r w:rsidRPr="004A7AE3">
        <w:rPr>
          <w:spacing w:val="-2"/>
        </w:rPr>
        <w:t>f</w:t>
      </w:r>
      <w:r w:rsidRPr="004A7AE3">
        <w:rPr>
          <w:spacing w:val="1"/>
        </w:rPr>
        <w:t>i</w:t>
      </w:r>
      <w:r w:rsidRPr="004A7AE3">
        <w:t>c</w:t>
      </w:r>
      <w:r w:rsidRPr="004A7AE3">
        <w:rPr>
          <w:spacing w:val="-2"/>
        </w:rPr>
        <w:t>e</w:t>
      </w:r>
      <w:r w:rsidRPr="004A7AE3">
        <w:t>r</w:t>
      </w:r>
    </w:p>
    <w:p w14:paraId="16665EDE" w14:textId="77777777" w:rsidR="000A00FF" w:rsidRPr="004A7AE3" w:rsidRDefault="000A00FF" w:rsidP="000A00FF">
      <w:pPr>
        <w:spacing w:before="37" w:line="275" w:lineRule="auto"/>
        <w:ind w:left="426"/>
      </w:pPr>
      <w:r w:rsidRPr="004A7AE3">
        <w:rPr>
          <w:spacing w:val="-1"/>
        </w:rPr>
        <w:t>A</w:t>
      </w:r>
      <w:r w:rsidRPr="004A7AE3">
        <w:t>dd</w:t>
      </w:r>
      <w:r w:rsidRPr="004A7AE3">
        <w:rPr>
          <w:spacing w:val="1"/>
        </w:rPr>
        <w:t>r</w:t>
      </w:r>
      <w:r w:rsidRPr="004A7AE3">
        <w:t>e</w:t>
      </w:r>
      <w:r w:rsidRPr="004A7AE3">
        <w:rPr>
          <w:spacing w:val="-2"/>
        </w:rPr>
        <w:t>s</w:t>
      </w:r>
      <w:r w:rsidRPr="004A7AE3">
        <w:t>s:</w:t>
      </w:r>
      <w:r w:rsidRPr="004A7AE3">
        <w:rPr>
          <w:spacing w:val="-1"/>
        </w:rPr>
        <w:t xml:space="preserve"> </w:t>
      </w:r>
      <w:r w:rsidRPr="004A7AE3">
        <w:t>Jo</w:t>
      </w:r>
      <w:r w:rsidRPr="004A7AE3">
        <w:rPr>
          <w:spacing w:val="-2"/>
        </w:rPr>
        <w:t>v</w:t>
      </w:r>
      <w:r w:rsidRPr="004A7AE3">
        <w:t>ana</w:t>
      </w:r>
      <w:r w:rsidRPr="004A7AE3">
        <w:rPr>
          <w:spacing w:val="-2"/>
        </w:rPr>
        <w:t xml:space="preserve"> </w:t>
      </w:r>
      <w:r w:rsidRPr="004A7AE3">
        <w:rPr>
          <w:spacing w:val="2"/>
        </w:rPr>
        <w:t>T</w:t>
      </w:r>
      <w:r w:rsidRPr="004A7AE3">
        <w:t>o</w:t>
      </w:r>
      <w:r w:rsidRPr="004A7AE3">
        <w:rPr>
          <w:spacing w:val="-4"/>
        </w:rPr>
        <w:t>m</w:t>
      </w:r>
      <w:r w:rsidRPr="004A7AE3">
        <w:t>a</w:t>
      </w:r>
      <w:r w:rsidRPr="004A7AE3">
        <w:rPr>
          <w:spacing w:val="1"/>
        </w:rPr>
        <w:t>s</w:t>
      </w:r>
      <w:r w:rsidRPr="004A7AE3">
        <w:t>e</w:t>
      </w:r>
      <w:r w:rsidRPr="004A7AE3">
        <w:rPr>
          <w:spacing w:val="-2"/>
        </w:rPr>
        <w:t>v</w:t>
      </w:r>
      <w:r w:rsidRPr="004A7AE3">
        <w:rPr>
          <w:spacing w:val="1"/>
        </w:rPr>
        <w:t>i</w:t>
      </w:r>
      <w:r w:rsidRPr="004A7AE3">
        <w:t>ca</w:t>
      </w:r>
      <w:r w:rsidRPr="004A7AE3">
        <w:rPr>
          <w:spacing w:val="1"/>
        </w:rPr>
        <w:t xml:space="preserve"> </w:t>
      </w:r>
      <w:r w:rsidRPr="004A7AE3">
        <w:t xml:space="preserve">2 </w:t>
      </w:r>
      <w:r w:rsidRPr="004A7AE3">
        <w:rPr>
          <w:spacing w:val="1"/>
        </w:rPr>
        <w:t>(</w:t>
      </w:r>
      <w:r>
        <w:t>Government’s old building</w:t>
      </w:r>
      <w:r w:rsidRPr="004A7AE3">
        <w:rPr>
          <w:spacing w:val="2"/>
        </w:rPr>
        <w:t xml:space="preserve"> </w:t>
      </w:r>
      <w:r w:rsidRPr="004A7AE3">
        <w:rPr>
          <w:spacing w:val="-4"/>
        </w:rPr>
        <w:t>-</w:t>
      </w:r>
      <w:r w:rsidRPr="004A7AE3">
        <w:rPr>
          <w:spacing w:val="-1"/>
        </w:rPr>
        <w:t>O</w:t>
      </w:r>
      <w:r w:rsidRPr="004A7AE3">
        <w:rPr>
          <w:spacing w:val="1"/>
        </w:rPr>
        <w:t>ffi</w:t>
      </w:r>
      <w:r w:rsidRPr="004A7AE3">
        <w:rPr>
          <w:spacing w:val="-2"/>
        </w:rPr>
        <w:t>c</w:t>
      </w:r>
      <w:r w:rsidRPr="004A7AE3">
        <w:t>e</w:t>
      </w:r>
      <w:r w:rsidRPr="004A7AE3">
        <w:rPr>
          <w:spacing w:val="-2"/>
        </w:rPr>
        <w:t xml:space="preserve"> </w:t>
      </w:r>
      <w:r w:rsidRPr="004A7AE3">
        <w:t>48.)</w:t>
      </w:r>
    </w:p>
    <w:p w14:paraId="70521D99" w14:textId="77777777" w:rsidR="000A00FF" w:rsidRPr="004A7AE3" w:rsidRDefault="000A00FF" w:rsidP="000A00FF">
      <w:pPr>
        <w:spacing w:before="1"/>
        <w:ind w:left="426"/>
      </w:pPr>
      <w:r w:rsidRPr="004A7AE3">
        <w:t>81000 Pod</w:t>
      </w:r>
      <w:r w:rsidRPr="004A7AE3">
        <w:rPr>
          <w:spacing w:val="-3"/>
        </w:rPr>
        <w:t>g</w:t>
      </w:r>
      <w:r w:rsidRPr="004A7AE3">
        <w:t>o</w:t>
      </w:r>
      <w:r w:rsidRPr="004A7AE3">
        <w:rPr>
          <w:spacing w:val="-2"/>
        </w:rPr>
        <w:t>r</w:t>
      </w:r>
      <w:r w:rsidRPr="004A7AE3">
        <w:rPr>
          <w:spacing w:val="1"/>
        </w:rPr>
        <w:t>i</w:t>
      </w:r>
      <w:r w:rsidRPr="004A7AE3">
        <w:t>ca,</w:t>
      </w:r>
      <w:r w:rsidRPr="004A7AE3">
        <w:rPr>
          <w:spacing w:val="-2"/>
        </w:rPr>
        <w:t xml:space="preserve"> </w:t>
      </w:r>
      <w:r w:rsidRPr="004A7AE3">
        <w:t>Mo</w:t>
      </w:r>
      <w:r w:rsidRPr="004A7AE3">
        <w:rPr>
          <w:spacing w:val="-2"/>
        </w:rPr>
        <w:t>n</w:t>
      </w:r>
      <w:r w:rsidRPr="004A7AE3">
        <w:rPr>
          <w:spacing w:val="1"/>
        </w:rPr>
        <w:t>t</w:t>
      </w:r>
      <w:r w:rsidRPr="004A7AE3">
        <w:t>en</w:t>
      </w:r>
      <w:r w:rsidRPr="004A7AE3">
        <w:rPr>
          <w:spacing w:val="-2"/>
        </w:rPr>
        <w:t>eg</w:t>
      </w:r>
      <w:r w:rsidRPr="004A7AE3">
        <w:rPr>
          <w:spacing w:val="1"/>
        </w:rPr>
        <w:t>r</w:t>
      </w:r>
      <w:r w:rsidRPr="004A7AE3">
        <w:t>o</w:t>
      </w:r>
    </w:p>
    <w:p w14:paraId="19466434" w14:textId="77777777" w:rsidR="000A00FF" w:rsidRPr="004A7AE3" w:rsidRDefault="000A00FF" w:rsidP="000A00FF">
      <w:pPr>
        <w:spacing w:before="40"/>
        <w:ind w:left="426"/>
      </w:pPr>
      <w:r w:rsidRPr="004A7AE3">
        <w:rPr>
          <w:spacing w:val="2"/>
        </w:rPr>
        <w:t>T</w:t>
      </w:r>
      <w:r w:rsidRPr="004A7AE3">
        <w:rPr>
          <w:spacing w:val="-2"/>
        </w:rPr>
        <w:t>e</w:t>
      </w:r>
      <w:r w:rsidRPr="004A7AE3">
        <w:rPr>
          <w:spacing w:val="1"/>
        </w:rPr>
        <w:t>l</w:t>
      </w:r>
      <w:r w:rsidRPr="004A7AE3">
        <w:t>:</w:t>
      </w:r>
      <w:r w:rsidRPr="004A7AE3">
        <w:rPr>
          <w:spacing w:val="-1"/>
        </w:rPr>
        <w:t xml:space="preserve"> </w:t>
      </w:r>
      <w:r w:rsidRPr="004A7AE3">
        <w:t xml:space="preserve">+382 </w:t>
      </w:r>
      <w:r w:rsidRPr="004A7AE3">
        <w:rPr>
          <w:spacing w:val="-2"/>
        </w:rPr>
        <w:t>2</w:t>
      </w:r>
      <w:r w:rsidRPr="004A7AE3">
        <w:t>0 20</w:t>
      </w:r>
      <w:r w:rsidRPr="004A7AE3">
        <w:rPr>
          <w:spacing w:val="1"/>
        </w:rPr>
        <w:t>1</w:t>
      </w:r>
      <w:r w:rsidRPr="004A7AE3">
        <w:rPr>
          <w:spacing w:val="-4"/>
        </w:rPr>
        <w:t>-</w:t>
      </w:r>
      <w:r w:rsidRPr="004A7AE3">
        <w:t>695</w:t>
      </w:r>
    </w:p>
    <w:p w14:paraId="6C9D80AD" w14:textId="7E54A14D" w:rsidR="000A00FF" w:rsidRPr="004A7AE3" w:rsidRDefault="000A00FF" w:rsidP="000A00FF">
      <w:pPr>
        <w:spacing w:before="37"/>
        <w:ind w:left="426"/>
      </w:pPr>
      <w:r w:rsidRPr="004A7AE3">
        <w:rPr>
          <w:spacing w:val="2"/>
        </w:rPr>
        <w:t>E</w:t>
      </w:r>
      <w:r w:rsidRPr="004A7AE3">
        <w:rPr>
          <w:spacing w:val="-2"/>
        </w:rPr>
        <w:t>-</w:t>
      </w:r>
      <w:r w:rsidRPr="004A7AE3">
        <w:rPr>
          <w:spacing w:val="-4"/>
        </w:rPr>
        <w:t>m</w:t>
      </w:r>
      <w:r w:rsidRPr="004A7AE3">
        <w:t>a</w:t>
      </w:r>
      <w:r w:rsidRPr="004A7AE3">
        <w:rPr>
          <w:spacing w:val="1"/>
        </w:rPr>
        <w:t>il</w:t>
      </w:r>
      <w:r w:rsidRPr="004A7AE3">
        <w:t xml:space="preserve">: </w:t>
      </w:r>
      <w:r w:rsidRPr="004A7AE3">
        <w:rPr>
          <w:color w:val="0000FF"/>
          <w:spacing w:val="-53"/>
        </w:rPr>
        <w:t xml:space="preserve"> </w:t>
      </w:r>
      <w:hyperlink r:id="rId8" w:history="1">
        <w:r w:rsidR="00831DB0" w:rsidRPr="00B5644E">
          <w:rPr>
            <w:rStyle w:val="Hyperlink"/>
            <w:spacing w:val="-2"/>
          </w:rPr>
          <w:t>tsu</w:t>
        </w:r>
        <w:r w:rsidR="00831DB0" w:rsidRPr="00B5644E">
          <w:rPr>
            <w:rStyle w:val="Hyperlink"/>
            <w:spacing w:val="-1"/>
          </w:rPr>
          <w:t>@</w:t>
        </w:r>
        <w:r w:rsidR="00831DB0" w:rsidRPr="00B5644E">
          <w:rPr>
            <w:rStyle w:val="Hyperlink"/>
            <w:spacing w:val="-4"/>
          </w:rPr>
          <w:t>epa.org.me</w:t>
        </w:r>
      </w:hyperlink>
    </w:p>
    <w:p w14:paraId="405BBDA6" w14:textId="77777777" w:rsidR="00071C02" w:rsidRDefault="00071C02"/>
    <w:sectPr w:rsidR="00071C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9BBE0" w14:textId="77777777" w:rsidR="00C31652" w:rsidRDefault="00C31652" w:rsidP="00BA720A">
      <w:r>
        <w:separator/>
      </w:r>
    </w:p>
  </w:endnote>
  <w:endnote w:type="continuationSeparator" w:id="0">
    <w:p w14:paraId="4A308FEF" w14:textId="77777777" w:rsidR="00C31652" w:rsidRDefault="00C31652" w:rsidP="00BA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38AE" w14:textId="77777777" w:rsidR="00C31652" w:rsidRDefault="00C31652" w:rsidP="00BA720A">
      <w:r>
        <w:separator/>
      </w:r>
    </w:p>
  </w:footnote>
  <w:footnote w:type="continuationSeparator" w:id="0">
    <w:p w14:paraId="062491DE" w14:textId="77777777" w:rsidR="00C31652" w:rsidRDefault="00C31652" w:rsidP="00BA7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11F"/>
    <w:multiLevelType w:val="hybridMultilevel"/>
    <w:tmpl w:val="4ED48252"/>
    <w:lvl w:ilvl="0" w:tplc="1C3EC614">
      <w:start w:val="1"/>
      <w:numFmt w:val="decimal"/>
      <w:lvlText w:val="%1."/>
      <w:lvlJc w:val="left"/>
      <w:pPr>
        <w:ind w:left="360" w:hanging="360"/>
      </w:pPr>
      <w:rPr>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9303C2"/>
    <w:multiLevelType w:val="hybridMultilevel"/>
    <w:tmpl w:val="BADE7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B30745"/>
    <w:multiLevelType w:val="hybridMultilevel"/>
    <w:tmpl w:val="28F2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289455">
    <w:abstractNumId w:val="0"/>
  </w:num>
  <w:num w:numId="2" w16cid:durableId="399132328">
    <w:abstractNumId w:val="1"/>
  </w:num>
  <w:num w:numId="3" w16cid:durableId="541140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0A"/>
    <w:rsid w:val="00071C02"/>
    <w:rsid w:val="000A00FF"/>
    <w:rsid w:val="00244D90"/>
    <w:rsid w:val="00260978"/>
    <w:rsid w:val="0037771B"/>
    <w:rsid w:val="0065550F"/>
    <w:rsid w:val="00831DB0"/>
    <w:rsid w:val="00857C6A"/>
    <w:rsid w:val="00981895"/>
    <w:rsid w:val="00A41FB5"/>
    <w:rsid w:val="00BA720A"/>
    <w:rsid w:val="00BF2D0C"/>
    <w:rsid w:val="00C31652"/>
    <w:rsid w:val="00CF740A"/>
    <w:rsid w:val="00E17D14"/>
    <w:rsid w:val="00E60337"/>
    <w:rsid w:val="00F3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6FF5"/>
  <w15:chartTrackingRefBased/>
  <w15:docId w15:val="{2F385F84-38FF-4EFE-8180-2523FEF8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BA720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A720A"/>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A720A"/>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A720A"/>
    <w:rPr>
      <w:rFonts w:ascii="Times New Roman" w:eastAsia="Times New Roman" w:hAnsi="Times New Roman" w:cs="Times New Roman"/>
      <w:sz w:val="20"/>
      <w:szCs w:val="20"/>
      <w:lang w:val="en-US"/>
    </w:rPr>
  </w:style>
  <w:style w:type="paragraph" w:customStyle="1" w:styleId="ChapterNumber">
    <w:name w:val="ChapterNumber"/>
    <w:rsid w:val="00BA720A"/>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BA720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EndnoteText">
    <w:name w:val="endnote text"/>
    <w:basedOn w:val="Normal"/>
    <w:link w:val="EndnoteTextChar"/>
    <w:rsid w:val="00BA720A"/>
    <w:pPr>
      <w:tabs>
        <w:tab w:val="left" w:pos="-720"/>
      </w:tabs>
      <w:suppressAutoHyphens/>
    </w:pPr>
    <w:rPr>
      <w:sz w:val="20"/>
      <w:szCs w:val="20"/>
    </w:rPr>
  </w:style>
  <w:style w:type="character" w:customStyle="1" w:styleId="EndnoteTextChar">
    <w:name w:val="Endnote Text Char"/>
    <w:basedOn w:val="DefaultParagraphFont"/>
    <w:link w:val="EndnoteText"/>
    <w:rsid w:val="00BA720A"/>
    <w:rPr>
      <w:rFonts w:ascii="Times New Roman" w:eastAsia="Times New Roman" w:hAnsi="Times New Roman" w:cs="Times New Roman"/>
      <w:sz w:val="20"/>
      <w:szCs w:val="20"/>
      <w:lang w:val="en-US"/>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BA720A"/>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BA720A"/>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31DB0"/>
    <w:rPr>
      <w:color w:val="0563C1" w:themeColor="hyperlink"/>
      <w:u w:val="single"/>
    </w:rPr>
  </w:style>
  <w:style w:type="character" w:styleId="UnresolvedMention">
    <w:name w:val="Unresolved Mention"/>
    <w:basedOn w:val="DefaultParagraphFont"/>
    <w:uiPriority w:val="99"/>
    <w:semiHidden/>
    <w:unhideWhenUsed/>
    <w:rsid w:val="0083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epa.org.m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Ljesevic</dc:creator>
  <cp:keywords/>
  <dc:description/>
  <cp:lastModifiedBy>Mirko Ljesevic</cp:lastModifiedBy>
  <cp:revision>7</cp:revision>
  <dcterms:created xsi:type="dcterms:W3CDTF">2022-06-27T11:21:00Z</dcterms:created>
  <dcterms:modified xsi:type="dcterms:W3CDTF">2024-04-12T08:29:00Z</dcterms:modified>
</cp:coreProperties>
</file>