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80039"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r w:rsidRPr="00F96844">
        <w:rPr>
          <w:rFonts w:eastAsia="Times New Roman" w:cs="Arial"/>
          <w:b/>
          <w:iCs/>
          <w:color w:val="000000" w:themeColor="text1"/>
          <w:sz w:val="24"/>
          <w:szCs w:val="24"/>
          <w:lang w:val="sr-Latn-ME"/>
        </w:rPr>
        <w:t>Vlada Crne Gore</w:t>
      </w:r>
    </w:p>
    <w:p w14:paraId="55BD4E71" w14:textId="4BBFD1D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r w:rsidRPr="00F96844">
        <w:rPr>
          <w:rFonts w:eastAsia="Times New Roman" w:cs="Arial"/>
          <w:b/>
          <w:iCs/>
          <w:color w:val="000000" w:themeColor="text1"/>
          <w:sz w:val="24"/>
          <w:szCs w:val="24"/>
          <w:lang w:val="sr-Latn-ME"/>
        </w:rPr>
        <w:t xml:space="preserve">Ministarstvo </w:t>
      </w:r>
      <w:r w:rsidR="002927B1">
        <w:rPr>
          <w:rFonts w:eastAsia="Times New Roman" w:cs="Arial"/>
          <w:b/>
          <w:iCs/>
          <w:color w:val="000000" w:themeColor="text1"/>
          <w:sz w:val="24"/>
          <w:szCs w:val="24"/>
          <w:lang w:val="sr-Latn-ME"/>
        </w:rPr>
        <w:t>socijalnog staranja, brige o porodici i demografije</w:t>
      </w:r>
    </w:p>
    <w:p w14:paraId="5A7726AE"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2813D50D"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1BE12685"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278F8B25"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48D9C137"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64D62C5A"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07705C94"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7C9C521C"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1406ECCB"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68B6DB85"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4A106ADC"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72E06930" w14:textId="75928F6E" w:rsidR="00D614D1" w:rsidRPr="005B7D8D" w:rsidRDefault="00D614D1" w:rsidP="005114FD">
      <w:pPr>
        <w:widowControl w:val="0"/>
        <w:autoSpaceDE w:val="0"/>
        <w:autoSpaceDN w:val="0"/>
        <w:adjustRightInd w:val="0"/>
        <w:jc w:val="center"/>
        <w:rPr>
          <w:rFonts w:eastAsia="Times New Roman" w:cs="Arial"/>
          <w:b/>
          <w:iCs/>
          <w:color w:val="FF0000"/>
          <w:sz w:val="24"/>
          <w:szCs w:val="24"/>
          <w:lang w:val="sr-Latn-ME"/>
        </w:rPr>
      </w:pPr>
      <w:r w:rsidRPr="00F96844">
        <w:rPr>
          <w:rFonts w:eastAsia="Times New Roman" w:cs="Arial"/>
          <w:b/>
          <w:iCs/>
          <w:color w:val="000000" w:themeColor="text1"/>
          <w:sz w:val="24"/>
          <w:szCs w:val="24"/>
          <w:lang w:val="sr-Latn-ME"/>
        </w:rPr>
        <w:t xml:space="preserve">Strategija razvoja sistema socijalne i dječje zaštite za period </w:t>
      </w:r>
      <w:r w:rsidRPr="005B7D8D">
        <w:rPr>
          <w:rFonts w:eastAsia="Times New Roman" w:cs="Arial"/>
          <w:b/>
          <w:iCs/>
          <w:color w:val="000000" w:themeColor="text1"/>
          <w:sz w:val="24"/>
          <w:szCs w:val="24"/>
          <w:lang w:val="sr-Latn-ME"/>
        </w:rPr>
        <w:t>od 202</w:t>
      </w:r>
      <w:r w:rsidR="002927B1" w:rsidRPr="005B7D8D">
        <w:rPr>
          <w:rFonts w:eastAsia="Times New Roman" w:cs="Arial"/>
          <w:b/>
          <w:iCs/>
          <w:color w:val="000000" w:themeColor="text1"/>
          <w:sz w:val="24"/>
          <w:szCs w:val="24"/>
          <w:lang w:val="sr-Latn-ME"/>
        </w:rPr>
        <w:t>5</w:t>
      </w:r>
      <w:r w:rsidRPr="005B7D8D">
        <w:rPr>
          <w:rFonts w:eastAsia="Times New Roman" w:cs="Arial"/>
          <w:b/>
          <w:iCs/>
          <w:color w:val="000000" w:themeColor="text1"/>
          <w:sz w:val="24"/>
          <w:szCs w:val="24"/>
          <w:lang w:val="sr-Latn-ME"/>
        </w:rPr>
        <w:t>. do 202</w:t>
      </w:r>
      <w:r w:rsidR="00011906" w:rsidRPr="005B7D8D">
        <w:rPr>
          <w:rFonts w:eastAsia="Times New Roman" w:cs="Arial"/>
          <w:b/>
          <w:iCs/>
          <w:color w:val="000000" w:themeColor="text1"/>
          <w:sz w:val="24"/>
          <w:szCs w:val="24"/>
          <w:lang w:val="sr-Latn-ME"/>
        </w:rPr>
        <w:t>8</w:t>
      </w:r>
      <w:r w:rsidRPr="005B7D8D">
        <w:rPr>
          <w:rFonts w:eastAsia="Times New Roman" w:cs="Arial"/>
          <w:b/>
          <w:iCs/>
          <w:color w:val="000000" w:themeColor="text1"/>
          <w:sz w:val="24"/>
          <w:szCs w:val="24"/>
          <w:lang w:val="sr-Latn-ME"/>
        </w:rPr>
        <w:t>. godine s Akcionim planom za 202</w:t>
      </w:r>
      <w:r w:rsidR="002927B1" w:rsidRPr="005B7D8D">
        <w:rPr>
          <w:rFonts w:eastAsia="Times New Roman" w:cs="Arial"/>
          <w:b/>
          <w:iCs/>
          <w:color w:val="000000" w:themeColor="text1"/>
          <w:sz w:val="24"/>
          <w:szCs w:val="24"/>
          <w:lang w:val="sr-Latn-ME"/>
        </w:rPr>
        <w:t>5</w:t>
      </w:r>
      <w:r w:rsidR="00867803" w:rsidRPr="005B7D8D">
        <w:rPr>
          <w:rFonts w:eastAsia="Times New Roman" w:cs="Arial"/>
          <w:b/>
          <w:iCs/>
          <w:color w:val="000000" w:themeColor="text1"/>
          <w:sz w:val="24"/>
          <w:szCs w:val="24"/>
          <w:lang w:val="sr-Latn-ME"/>
        </w:rPr>
        <w:t>.</w:t>
      </w:r>
      <w:r w:rsidRPr="005B7D8D">
        <w:rPr>
          <w:rFonts w:eastAsia="Times New Roman" w:cs="Arial"/>
          <w:b/>
          <w:iCs/>
          <w:color w:val="000000" w:themeColor="text1"/>
          <w:sz w:val="24"/>
          <w:szCs w:val="24"/>
          <w:lang w:val="sr-Latn-ME"/>
        </w:rPr>
        <w:t xml:space="preserve"> godinu</w:t>
      </w:r>
    </w:p>
    <w:p w14:paraId="26304C87"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34BCC16E"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bookmarkStart w:id="0" w:name="_GoBack"/>
      <w:bookmarkEnd w:id="0"/>
    </w:p>
    <w:p w14:paraId="485573C6" w14:textId="77777777" w:rsidR="00DC2B4F" w:rsidRPr="00F96844" w:rsidRDefault="00DC2B4F" w:rsidP="005114FD">
      <w:pPr>
        <w:widowControl w:val="0"/>
        <w:autoSpaceDE w:val="0"/>
        <w:autoSpaceDN w:val="0"/>
        <w:adjustRightInd w:val="0"/>
        <w:jc w:val="center"/>
        <w:rPr>
          <w:rFonts w:eastAsia="Times New Roman" w:cs="Arial"/>
          <w:b/>
          <w:iCs/>
          <w:color w:val="000000" w:themeColor="text1"/>
          <w:sz w:val="24"/>
          <w:szCs w:val="24"/>
          <w:lang w:val="sr-Latn-ME"/>
        </w:rPr>
      </w:pPr>
    </w:p>
    <w:p w14:paraId="11475277" w14:textId="77777777" w:rsidR="00DC2B4F" w:rsidRPr="00F96844" w:rsidRDefault="00DC2B4F" w:rsidP="005114FD">
      <w:pPr>
        <w:widowControl w:val="0"/>
        <w:autoSpaceDE w:val="0"/>
        <w:autoSpaceDN w:val="0"/>
        <w:adjustRightInd w:val="0"/>
        <w:jc w:val="center"/>
        <w:rPr>
          <w:rFonts w:eastAsia="Times New Roman" w:cs="Arial"/>
          <w:b/>
          <w:iCs/>
          <w:color w:val="000000" w:themeColor="text1"/>
          <w:sz w:val="24"/>
          <w:szCs w:val="24"/>
          <w:lang w:val="sr-Latn-ME"/>
        </w:rPr>
      </w:pPr>
    </w:p>
    <w:p w14:paraId="78336968" w14:textId="77777777" w:rsidR="00DC2B4F" w:rsidRPr="00F96844" w:rsidRDefault="00DC2B4F" w:rsidP="005114FD">
      <w:pPr>
        <w:widowControl w:val="0"/>
        <w:autoSpaceDE w:val="0"/>
        <w:autoSpaceDN w:val="0"/>
        <w:adjustRightInd w:val="0"/>
        <w:jc w:val="center"/>
        <w:rPr>
          <w:rFonts w:eastAsia="Times New Roman" w:cs="Arial"/>
          <w:b/>
          <w:iCs/>
          <w:color w:val="000000" w:themeColor="text1"/>
          <w:sz w:val="24"/>
          <w:szCs w:val="24"/>
          <w:lang w:val="sr-Latn-ME"/>
        </w:rPr>
      </w:pPr>
    </w:p>
    <w:p w14:paraId="675FB43D"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5D9272EE"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56500E71"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5846FA2A"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35F7F36D"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04427218"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041FBFDD"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51103D27"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7706E006"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5DCD44BB" w14:textId="68FEDCF4" w:rsidR="00D614D1"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146F7966" w14:textId="58B12347"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1EA3323D" w14:textId="5EB4B3DE"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556522D4" w14:textId="71E9F96C"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38128DE2" w14:textId="75FF5A6E"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603D3402" w14:textId="7E7CBD8E"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1280E0FB" w14:textId="1839CF4F"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7CD2C93C" w14:textId="3AAA96E3" w:rsidR="006C4AD5"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3D6B5569" w14:textId="77777777" w:rsidR="006C4AD5" w:rsidRPr="00F96844" w:rsidRDefault="006C4AD5" w:rsidP="005114FD">
      <w:pPr>
        <w:widowControl w:val="0"/>
        <w:autoSpaceDE w:val="0"/>
        <w:autoSpaceDN w:val="0"/>
        <w:adjustRightInd w:val="0"/>
        <w:jc w:val="center"/>
        <w:rPr>
          <w:rFonts w:eastAsia="Times New Roman" w:cs="Arial"/>
          <w:b/>
          <w:iCs/>
          <w:color w:val="000000" w:themeColor="text1"/>
          <w:sz w:val="24"/>
          <w:szCs w:val="24"/>
          <w:lang w:val="sr-Latn-ME"/>
        </w:rPr>
      </w:pPr>
    </w:p>
    <w:p w14:paraId="26D2B232" w14:textId="45573A08" w:rsidR="00D614D1" w:rsidRPr="007D2D21" w:rsidRDefault="007D2D21" w:rsidP="005114FD">
      <w:pPr>
        <w:widowControl w:val="0"/>
        <w:autoSpaceDE w:val="0"/>
        <w:autoSpaceDN w:val="0"/>
        <w:adjustRightInd w:val="0"/>
        <w:jc w:val="center"/>
        <w:rPr>
          <w:rFonts w:eastAsia="Times New Roman" w:cs="Arial"/>
          <w:b/>
          <w:iCs/>
          <w:sz w:val="24"/>
          <w:szCs w:val="24"/>
          <w:lang w:val="sr-Latn-ME"/>
        </w:rPr>
      </w:pPr>
      <w:r w:rsidRPr="007D2D21">
        <w:rPr>
          <w:rFonts w:eastAsia="Times New Roman" w:cs="Arial"/>
          <w:b/>
          <w:iCs/>
          <w:sz w:val="24"/>
          <w:szCs w:val="24"/>
          <w:lang w:val="sr-Latn-ME"/>
        </w:rPr>
        <w:t>decembar</w:t>
      </w:r>
      <w:r w:rsidR="00D614D1" w:rsidRPr="007D2D21">
        <w:rPr>
          <w:rFonts w:eastAsia="Times New Roman" w:cs="Arial"/>
          <w:b/>
          <w:iCs/>
          <w:sz w:val="24"/>
          <w:szCs w:val="24"/>
          <w:lang w:val="sr-Latn-ME"/>
        </w:rPr>
        <w:t xml:space="preserve"> 2024. godine</w:t>
      </w:r>
    </w:p>
    <w:p w14:paraId="7C0AF018" w14:textId="77777777" w:rsidR="00262D6A" w:rsidRPr="00F96844" w:rsidRDefault="00262D6A">
      <w:pPr>
        <w:rPr>
          <w:rFonts w:eastAsia="Times New Roman" w:cs="Arial"/>
          <w:b/>
          <w:bCs/>
          <w:color w:val="000000" w:themeColor="text1"/>
          <w:sz w:val="24"/>
          <w:szCs w:val="24"/>
          <w:lang w:val="sr-Latn-ME"/>
        </w:rPr>
      </w:pPr>
      <w:bookmarkStart w:id="1" w:name="_Toc134402934"/>
      <w:r w:rsidRPr="00F96844">
        <w:rPr>
          <w:rFonts w:eastAsia="Times New Roman" w:cs="Arial"/>
          <w:b/>
          <w:bCs/>
          <w:color w:val="000000" w:themeColor="text1"/>
          <w:sz w:val="24"/>
          <w:szCs w:val="24"/>
          <w:lang w:val="sr-Latn-ME"/>
        </w:rPr>
        <w:br w:type="page"/>
      </w:r>
    </w:p>
    <w:bookmarkEnd w:id="1" w:displacedByCustomXml="next"/>
    <w:bookmarkStart w:id="2" w:name="_Toc167102871" w:displacedByCustomXml="next"/>
    <w:bookmarkStart w:id="3" w:name="_Toc167103274" w:displacedByCustomXml="next"/>
    <w:sdt>
      <w:sdtPr>
        <w:rPr>
          <w:sz w:val="24"/>
          <w:szCs w:val="24"/>
          <w:lang w:val="sr-Latn-ME"/>
        </w:rPr>
        <w:id w:val="359322052"/>
        <w:docPartObj>
          <w:docPartGallery w:val="Table of Contents"/>
          <w:docPartUnique/>
        </w:docPartObj>
      </w:sdtPr>
      <w:sdtEndPr>
        <w:rPr>
          <w:b/>
          <w:bCs/>
          <w:noProof/>
        </w:rPr>
      </w:sdtEndPr>
      <w:sdtContent>
        <w:bookmarkEnd w:id="3" w:displacedByCustomXml="prev"/>
        <w:bookmarkEnd w:id="2" w:displacedByCustomXml="prev"/>
        <w:p w14:paraId="4AA9B0F2" w14:textId="77777777" w:rsidR="009215E1" w:rsidRPr="00F96844" w:rsidRDefault="009215E1" w:rsidP="000D1E6B">
          <w:pPr>
            <w:pStyle w:val="TOC1"/>
            <w:rPr>
              <w:sz w:val="24"/>
              <w:szCs w:val="24"/>
              <w:lang w:val="sr-Latn-ME"/>
            </w:rPr>
          </w:pPr>
          <w:r w:rsidRPr="00F96844">
            <w:rPr>
              <w:sz w:val="24"/>
              <w:szCs w:val="24"/>
              <w:lang w:val="sr-Latn-ME"/>
            </w:rPr>
            <w:t>SADRŽAJ:</w:t>
          </w:r>
        </w:p>
        <w:p w14:paraId="6AF600DD" w14:textId="77777777" w:rsidR="00AA4672" w:rsidRDefault="00E75345">
          <w:pPr>
            <w:pStyle w:val="TOC1"/>
            <w:rPr>
              <w:rFonts w:asciiTheme="minorHAnsi" w:eastAsiaTheme="minorEastAsia" w:hAnsiTheme="minorHAnsi"/>
              <w:noProof/>
            </w:rPr>
          </w:pPr>
          <w:r w:rsidRPr="00F96844">
            <w:rPr>
              <w:sz w:val="24"/>
              <w:szCs w:val="24"/>
              <w:lang w:val="sr-Latn-ME"/>
            </w:rPr>
            <w:fldChar w:fldCharType="begin"/>
          </w:r>
          <w:r w:rsidRPr="00F96844">
            <w:rPr>
              <w:sz w:val="24"/>
              <w:szCs w:val="24"/>
              <w:lang w:val="sr-Latn-ME"/>
            </w:rPr>
            <w:instrText xml:space="preserve"> TOC \o "1-3" \h \z \u </w:instrText>
          </w:r>
          <w:r w:rsidRPr="00F96844">
            <w:rPr>
              <w:sz w:val="24"/>
              <w:szCs w:val="24"/>
              <w:lang w:val="sr-Latn-ME"/>
            </w:rPr>
            <w:fldChar w:fldCharType="separate"/>
          </w:r>
          <w:hyperlink w:anchor="_Toc172541301" w:history="1">
            <w:r w:rsidR="00AA4672" w:rsidRPr="00D47DD3">
              <w:rPr>
                <w:rStyle w:val="Hyperlink"/>
                <w:rFonts w:eastAsia="Times New Roman" w:cs="Arial"/>
                <w:noProof/>
                <w:lang w:val="sr-Latn-ME"/>
              </w:rPr>
              <w:t>1.</w:t>
            </w:r>
            <w:r w:rsidR="00AA4672">
              <w:rPr>
                <w:rFonts w:asciiTheme="minorHAnsi" w:eastAsiaTheme="minorEastAsia" w:hAnsiTheme="minorHAnsi"/>
                <w:noProof/>
              </w:rPr>
              <w:tab/>
            </w:r>
            <w:r w:rsidR="00AA4672" w:rsidRPr="00D47DD3">
              <w:rPr>
                <w:rStyle w:val="Hyperlink"/>
                <w:rFonts w:eastAsia="Times New Roman"/>
                <w:noProof/>
                <w:lang w:val="sr-Latn-ME"/>
              </w:rPr>
              <w:t>UVOD</w:t>
            </w:r>
            <w:r w:rsidR="00AA4672">
              <w:rPr>
                <w:noProof/>
                <w:webHidden/>
              </w:rPr>
              <w:tab/>
            </w:r>
            <w:r w:rsidR="00AA4672">
              <w:rPr>
                <w:noProof/>
                <w:webHidden/>
              </w:rPr>
              <w:fldChar w:fldCharType="begin"/>
            </w:r>
            <w:r w:rsidR="00AA4672">
              <w:rPr>
                <w:noProof/>
                <w:webHidden/>
              </w:rPr>
              <w:instrText xml:space="preserve"> PAGEREF _Toc172541301 \h </w:instrText>
            </w:r>
            <w:r w:rsidR="00AA4672">
              <w:rPr>
                <w:noProof/>
                <w:webHidden/>
              </w:rPr>
            </w:r>
            <w:r w:rsidR="00AA4672">
              <w:rPr>
                <w:noProof/>
                <w:webHidden/>
              </w:rPr>
              <w:fldChar w:fldCharType="separate"/>
            </w:r>
            <w:r w:rsidR="00AA4672">
              <w:rPr>
                <w:noProof/>
                <w:webHidden/>
              </w:rPr>
              <w:t>3</w:t>
            </w:r>
            <w:r w:rsidR="00AA4672">
              <w:rPr>
                <w:noProof/>
                <w:webHidden/>
              </w:rPr>
              <w:fldChar w:fldCharType="end"/>
            </w:r>
          </w:hyperlink>
        </w:p>
        <w:p w14:paraId="7A8C0D07" w14:textId="77777777" w:rsidR="00AA4672" w:rsidRDefault="00C3701E">
          <w:pPr>
            <w:pStyle w:val="TOC1"/>
            <w:rPr>
              <w:rFonts w:asciiTheme="minorHAnsi" w:eastAsiaTheme="minorEastAsia" w:hAnsiTheme="minorHAnsi"/>
              <w:noProof/>
            </w:rPr>
          </w:pPr>
          <w:hyperlink w:anchor="_Toc172541302" w:history="1">
            <w:r w:rsidR="00AA4672" w:rsidRPr="00D47DD3">
              <w:rPr>
                <w:rStyle w:val="Hyperlink"/>
                <w:rFonts w:eastAsia="Times New Roman" w:cs="Arial"/>
                <w:noProof/>
                <w:lang w:val="sr-Latn-ME"/>
              </w:rPr>
              <w:t>2.</w:t>
            </w:r>
            <w:r w:rsidR="00AA4672">
              <w:rPr>
                <w:rFonts w:asciiTheme="minorHAnsi" w:eastAsiaTheme="minorEastAsia" w:hAnsiTheme="minorHAnsi"/>
                <w:noProof/>
              </w:rPr>
              <w:tab/>
            </w:r>
            <w:r w:rsidR="00AA4672" w:rsidRPr="00D47DD3">
              <w:rPr>
                <w:rStyle w:val="Hyperlink"/>
                <w:noProof/>
                <w:lang w:val="sr-Latn-ME"/>
              </w:rPr>
              <w:t>ANALIZA</w:t>
            </w:r>
            <w:r w:rsidR="00AA4672">
              <w:rPr>
                <w:noProof/>
                <w:webHidden/>
              </w:rPr>
              <w:tab/>
            </w:r>
            <w:r w:rsidR="00AA4672">
              <w:rPr>
                <w:noProof/>
                <w:webHidden/>
              </w:rPr>
              <w:fldChar w:fldCharType="begin"/>
            </w:r>
            <w:r w:rsidR="00AA4672">
              <w:rPr>
                <w:noProof/>
                <w:webHidden/>
              </w:rPr>
              <w:instrText xml:space="preserve"> PAGEREF _Toc172541302 \h </w:instrText>
            </w:r>
            <w:r w:rsidR="00AA4672">
              <w:rPr>
                <w:noProof/>
                <w:webHidden/>
              </w:rPr>
            </w:r>
            <w:r w:rsidR="00AA4672">
              <w:rPr>
                <w:noProof/>
                <w:webHidden/>
              </w:rPr>
              <w:fldChar w:fldCharType="separate"/>
            </w:r>
            <w:r w:rsidR="00AA4672">
              <w:rPr>
                <w:noProof/>
                <w:webHidden/>
              </w:rPr>
              <w:t>22</w:t>
            </w:r>
            <w:r w:rsidR="00AA4672">
              <w:rPr>
                <w:noProof/>
                <w:webHidden/>
              </w:rPr>
              <w:fldChar w:fldCharType="end"/>
            </w:r>
          </w:hyperlink>
        </w:p>
        <w:p w14:paraId="69DCB15D" w14:textId="77777777" w:rsidR="00AA4672" w:rsidRDefault="00C3701E">
          <w:pPr>
            <w:pStyle w:val="TOC2"/>
            <w:rPr>
              <w:rFonts w:asciiTheme="minorHAnsi" w:eastAsiaTheme="minorEastAsia" w:hAnsiTheme="minorHAnsi"/>
              <w:noProof/>
            </w:rPr>
          </w:pPr>
          <w:hyperlink w:anchor="_Toc172541303" w:history="1">
            <w:r w:rsidR="00AA4672" w:rsidRPr="00D47DD3">
              <w:rPr>
                <w:rStyle w:val="Hyperlink"/>
                <w:noProof/>
                <w:lang w:val="sr-Latn-ME"/>
              </w:rPr>
              <w:t>2.1.</w:t>
            </w:r>
            <w:r w:rsidR="00AA4672">
              <w:rPr>
                <w:rFonts w:asciiTheme="minorHAnsi" w:eastAsiaTheme="minorEastAsia" w:hAnsiTheme="minorHAnsi"/>
                <w:noProof/>
              </w:rPr>
              <w:tab/>
            </w:r>
            <w:r w:rsidR="00AA4672" w:rsidRPr="00D47DD3">
              <w:rPr>
                <w:rStyle w:val="Hyperlink"/>
                <w:noProof/>
                <w:lang w:val="sr-Latn-ME"/>
              </w:rPr>
              <w:t>Pregled sprovođenja Strategije razvoja sistema socijalne i dječje zaštite za period od 2018. do 2022. godine</w:t>
            </w:r>
            <w:r w:rsidR="00AA4672">
              <w:rPr>
                <w:noProof/>
                <w:webHidden/>
              </w:rPr>
              <w:tab/>
            </w:r>
            <w:r w:rsidR="00AA4672">
              <w:rPr>
                <w:noProof/>
                <w:webHidden/>
              </w:rPr>
              <w:fldChar w:fldCharType="begin"/>
            </w:r>
            <w:r w:rsidR="00AA4672">
              <w:rPr>
                <w:noProof/>
                <w:webHidden/>
              </w:rPr>
              <w:instrText xml:space="preserve"> PAGEREF _Toc172541303 \h </w:instrText>
            </w:r>
            <w:r w:rsidR="00AA4672">
              <w:rPr>
                <w:noProof/>
                <w:webHidden/>
              </w:rPr>
            </w:r>
            <w:r w:rsidR="00AA4672">
              <w:rPr>
                <w:noProof/>
                <w:webHidden/>
              </w:rPr>
              <w:fldChar w:fldCharType="separate"/>
            </w:r>
            <w:r w:rsidR="00AA4672">
              <w:rPr>
                <w:noProof/>
                <w:webHidden/>
              </w:rPr>
              <w:t>23</w:t>
            </w:r>
            <w:r w:rsidR="00AA4672">
              <w:rPr>
                <w:noProof/>
                <w:webHidden/>
              </w:rPr>
              <w:fldChar w:fldCharType="end"/>
            </w:r>
          </w:hyperlink>
        </w:p>
        <w:p w14:paraId="528D254F" w14:textId="77777777" w:rsidR="00AA4672" w:rsidRDefault="00C3701E">
          <w:pPr>
            <w:pStyle w:val="TOC2"/>
            <w:rPr>
              <w:rFonts w:asciiTheme="minorHAnsi" w:eastAsiaTheme="minorEastAsia" w:hAnsiTheme="minorHAnsi"/>
              <w:noProof/>
            </w:rPr>
          </w:pPr>
          <w:hyperlink w:anchor="_Toc172541304" w:history="1">
            <w:r w:rsidR="00AA4672" w:rsidRPr="00D47DD3">
              <w:rPr>
                <w:rStyle w:val="Hyperlink"/>
                <w:noProof/>
                <w:lang w:val="sr-Latn-ME"/>
              </w:rPr>
              <w:t>2.2.</w:t>
            </w:r>
            <w:r w:rsidR="00AA4672">
              <w:rPr>
                <w:rFonts w:asciiTheme="minorHAnsi" w:eastAsiaTheme="minorEastAsia" w:hAnsiTheme="minorHAnsi"/>
                <w:noProof/>
              </w:rPr>
              <w:tab/>
            </w:r>
            <w:r w:rsidR="00AA4672" w:rsidRPr="00D47DD3">
              <w:rPr>
                <w:rStyle w:val="Hyperlink"/>
                <w:noProof/>
                <w:lang w:val="sr-Latn-ME" w:bidi="en-US"/>
              </w:rPr>
              <w:t>Grupe koje žive u izraženom riziku od siromaštva i isključenosti</w:t>
            </w:r>
            <w:r w:rsidR="00AA4672">
              <w:rPr>
                <w:noProof/>
                <w:webHidden/>
              </w:rPr>
              <w:tab/>
            </w:r>
            <w:r w:rsidR="00AA4672">
              <w:rPr>
                <w:noProof/>
                <w:webHidden/>
              </w:rPr>
              <w:fldChar w:fldCharType="begin"/>
            </w:r>
            <w:r w:rsidR="00AA4672">
              <w:rPr>
                <w:noProof/>
                <w:webHidden/>
              </w:rPr>
              <w:instrText xml:space="preserve"> PAGEREF _Toc172541304 \h </w:instrText>
            </w:r>
            <w:r w:rsidR="00AA4672">
              <w:rPr>
                <w:noProof/>
                <w:webHidden/>
              </w:rPr>
            </w:r>
            <w:r w:rsidR="00AA4672">
              <w:rPr>
                <w:noProof/>
                <w:webHidden/>
              </w:rPr>
              <w:fldChar w:fldCharType="separate"/>
            </w:r>
            <w:r w:rsidR="00AA4672">
              <w:rPr>
                <w:noProof/>
                <w:webHidden/>
              </w:rPr>
              <w:t>25</w:t>
            </w:r>
            <w:r w:rsidR="00AA4672">
              <w:rPr>
                <w:noProof/>
                <w:webHidden/>
              </w:rPr>
              <w:fldChar w:fldCharType="end"/>
            </w:r>
          </w:hyperlink>
        </w:p>
        <w:p w14:paraId="0BDD3074" w14:textId="77777777" w:rsidR="00AA4672" w:rsidRDefault="00C3701E">
          <w:pPr>
            <w:pStyle w:val="TOC2"/>
            <w:rPr>
              <w:rFonts w:asciiTheme="minorHAnsi" w:eastAsiaTheme="minorEastAsia" w:hAnsiTheme="minorHAnsi"/>
              <w:noProof/>
            </w:rPr>
          </w:pPr>
          <w:hyperlink w:anchor="_Toc172541305" w:history="1">
            <w:r w:rsidR="00AA4672" w:rsidRPr="00D47DD3">
              <w:rPr>
                <w:rStyle w:val="Hyperlink"/>
                <w:rFonts w:eastAsia="Times New Roman"/>
                <w:noProof/>
                <w:lang w:val="sr-Latn-ME" w:eastAsia="sr-Latn-CS"/>
              </w:rPr>
              <w:t>2.3.</w:t>
            </w:r>
            <w:r w:rsidR="00AA4672">
              <w:rPr>
                <w:rFonts w:asciiTheme="minorHAnsi" w:eastAsiaTheme="minorEastAsia" w:hAnsiTheme="minorHAnsi"/>
                <w:noProof/>
              </w:rPr>
              <w:tab/>
            </w:r>
            <w:r w:rsidR="00AA4672" w:rsidRPr="00D47DD3">
              <w:rPr>
                <w:rStyle w:val="Hyperlink"/>
                <w:rFonts w:eastAsia="Times New Roman"/>
                <w:noProof/>
                <w:lang w:val="sr-Latn-ME" w:eastAsia="sr-Latn-CS"/>
              </w:rPr>
              <w:t>Osnovna prava na materijalna davanja iz socijalne i dječje zaštite</w:t>
            </w:r>
            <w:r w:rsidR="00AA4672">
              <w:rPr>
                <w:noProof/>
                <w:webHidden/>
              </w:rPr>
              <w:tab/>
            </w:r>
            <w:r w:rsidR="00AA4672">
              <w:rPr>
                <w:noProof/>
                <w:webHidden/>
              </w:rPr>
              <w:fldChar w:fldCharType="begin"/>
            </w:r>
            <w:r w:rsidR="00AA4672">
              <w:rPr>
                <w:noProof/>
                <w:webHidden/>
              </w:rPr>
              <w:instrText xml:space="preserve"> PAGEREF _Toc172541305 \h </w:instrText>
            </w:r>
            <w:r w:rsidR="00AA4672">
              <w:rPr>
                <w:noProof/>
                <w:webHidden/>
              </w:rPr>
            </w:r>
            <w:r w:rsidR="00AA4672">
              <w:rPr>
                <w:noProof/>
                <w:webHidden/>
              </w:rPr>
              <w:fldChar w:fldCharType="separate"/>
            </w:r>
            <w:r w:rsidR="00AA4672">
              <w:rPr>
                <w:noProof/>
                <w:webHidden/>
              </w:rPr>
              <w:t>36</w:t>
            </w:r>
            <w:r w:rsidR="00AA4672">
              <w:rPr>
                <w:noProof/>
                <w:webHidden/>
              </w:rPr>
              <w:fldChar w:fldCharType="end"/>
            </w:r>
          </w:hyperlink>
        </w:p>
        <w:p w14:paraId="3F988312" w14:textId="77777777" w:rsidR="00AA4672" w:rsidRDefault="00C3701E">
          <w:pPr>
            <w:pStyle w:val="TOC3"/>
            <w:tabs>
              <w:tab w:val="right" w:leader="dot" w:pos="9350"/>
            </w:tabs>
            <w:rPr>
              <w:rFonts w:asciiTheme="minorHAnsi" w:eastAsiaTheme="minorEastAsia" w:hAnsiTheme="minorHAnsi"/>
              <w:noProof/>
            </w:rPr>
          </w:pPr>
          <w:hyperlink w:anchor="_Toc172541306" w:history="1">
            <w:r w:rsidR="00AA4672" w:rsidRPr="00D47DD3">
              <w:rPr>
                <w:rStyle w:val="Hyperlink"/>
                <w:noProof/>
                <w:lang w:val="sr-Latn-ME"/>
              </w:rPr>
              <w:t>2.3.1. Osnovna materijalna davanja u socijalnoj zaštiti</w:t>
            </w:r>
            <w:r w:rsidR="00AA4672">
              <w:rPr>
                <w:noProof/>
                <w:webHidden/>
              </w:rPr>
              <w:tab/>
            </w:r>
            <w:r w:rsidR="00AA4672">
              <w:rPr>
                <w:noProof/>
                <w:webHidden/>
              </w:rPr>
              <w:fldChar w:fldCharType="begin"/>
            </w:r>
            <w:r w:rsidR="00AA4672">
              <w:rPr>
                <w:noProof/>
                <w:webHidden/>
              </w:rPr>
              <w:instrText xml:space="preserve"> PAGEREF _Toc172541306 \h </w:instrText>
            </w:r>
            <w:r w:rsidR="00AA4672">
              <w:rPr>
                <w:noProof/>
                <w:webHidden/>
              </w:rPr>
            </w:r>
            <w:r w:rsidR="00AA4672">
              <w:rPr>
                <w:noProof/>
                <w:webHidden/>
              </w:rPr>
              <w:fldChar w:fldCharType="separate"/>
            </w:r>
            <w:r w:rsidR="00AA4672">
              <w:rPr>
                <w:noProof/>
                <w:webHidden/>
              </w:rPr>
              <w:t>36</w:t>
            </w:r>
            <w:r w:rsidR="00AA4672">
              <w:rPr>
                <w:noProof/>
                <w:webHidden/>
              </w:rPr>
              <w:fldChar w:fldCharType="end"/>
            </w:r>
          </w:hyperlink>
        </w:p>
        <w:p w14:paraId="58E91477" w14:textId="77777777" w:rsidR="00AA4672" w:rsidRDefault="00C3701E">
          <w:pPr>
            <w:pStyle w:val="TOC3"/>
            <w:tabs>
              <w:tab w:val="right" w:leader="dot" w:pos="9350"/>
            </w:tabs>
            <w:rPr>
              <w:rFonts w:asciiTheme="minorHAnsi" w:eastAsiaTheme="minorEastAsia" w:hAnsiTheme="minorHAnsi"/>
              <w:noProof/>
            </w:rPr>
          </w:pPr>
          <w:hyperlink w:anchor="_Toc172541307" w:history="1">
            <w:r w:rsidR="00AA4672" w:rsidRPr="00D47DD3">
              <w:rPr>
                <w:rStyle w:val="Hyperlink"/>
                <w:noProof/>
                <w:lang w:val="sr-Latn-ME"/>
              </w:rPr>
              <w:t>2.3.2. Osnovna materijalna davanja u dječjoj zaštiti</w:t>
            </w:r>
            <w:r w:rsidR="00AA4672">
              <w:rPr>
                <w:noProof/>
                <w:webHidden/>
              </w:rPr>
              <w:tab/>
            </w:r>
            <w:r w:rsidR="00AA4672">
              <w:rPr>
                <w:noProof/>
                <w:webHidden/>
              </w:rPr>
              <w:fldChar w:fldCharType="begin"/>
            </w:r>
            <w:r w:rsidR="00AA4672">
              <w:rPr>
                <w:noProof/>
                <w:webHidden/>
              </w:rPr>
              <w:instrText xml:space="preserve"> PAGEREF _Toc172541307 \h </w:instrText>
            </w:r>
            <w:r w:rsidR="00AA4672">
              <w:rPr>
                <w:noProof/>
                <w:webHidden/>
              </w:rPr>
            </w:r>
            <w:r w:rsidR="00AA4672">
              <w:rPr>
                <w:noProof/>
                <w:webHidden/>
              </w:rPr>
              <w:fldChar w:fldCharType="separate"/>
            </w:r>
            <w:r w:rsidR="00AA4672">
              <w:rPr>
                <w:noProof/>
                <w:webHidden/>
              </w:rPr>
              <w:t>40</w:t>
            </w:r>
            <w:r w:rsidR="00AA4672">
              <w:rPr>
                <w:noProof/>
                <w:webHidden/>
              </w:rPr>
              <w:fldChar w:fldCharType="end"/>
            </w:r>
          </w:hyperlink>
        </w:p>
        <w:p w14:paraId="00C30BA6" w14:textId="77777777" w:rsidR="00AA4672" w:rsidRDefault="00C3701E">
          <w:pPr>
            <w:pStyle w:val="TOC2"/>
            <w:rPr>
              <w:rFonts w:asciiTheme="minorHAnsi" w:eastAsiaTheme="minorEastAsia" w:hAnsiTheme="minorHAnsi"/>
              <w:noProof/>
            </w:rPr>
          </w:pPr>
          <w:hyperlink w:anchor="_Toc172541308" w:history="1">
            <w:r w:rsidR="00AA4672" w:rsidRPr="00D47DD3">
              <w:rPr>
                <w:rStyle w:val="Hyperlink"/>
                <w:noProof/>
                <w:lang w:val="sr-Latn-ME" w:bidi="en-US"/>
              </w:rPr>
              <w:t>2.4.</w:t>
            </w:r>
            <w:r w:rsidR="00AA4672">
              <w:rPr>
                <w:rFonts w:asciiTheme="minorHAnsi" w:eastAsiaTheme="minorEastAsia" w:hAnsiTheme="minorHAnsi"/>
                <w:noProof/>
              </w:rPr>
              <w:tab/>
            </w:r>
            <w:r w:rsidR="00AA4672" w:rsidRPr="00D47DD3">
              <w:rPr>
                <w:rStyle w:val="Hyperlink"/>
                <w:noProof/>
                <w:lang w:val="sr-Latn-ME" w:bidi="en-US"/>
              </w:rPr>
              <w:t>Usluge socijalne i dječje zaštite</w:t>
            </w:r>
            <w:r w:rsidR="00AA4672">
              <w:rPr>
                <w:noProof/>
                <w:webHidden/>
              </w:rPr>
              <w:tab/>
            </w:r>
            <w:r w:rsidR="00AA4672">
              <w:rPr>
                <w:noProof/>
                <w:webHidden/>
              </w:rPr>
              <w:fldChar w:fldCharType="begin"/>
            </w:r>
            <w:r w:rsidR="00AA4672">
              <w:rPr>
                <w:noProof/>
                <w:webHidden/>
              </w:rPr>
              <w:instrText xml:space="preserve"> PAGEREF _Toc172541308 \h </w:instrText>
            </w:r>
            <w:r w:rsidR="00AA4672">
              <w:rPr>
                <w:noProof/>
                <w:webHidden/>
              </w:rPr>
            </w:r>
            <w:r w:rsidR="00AA4672">
              <w:rPr>
                <w:noProof/>
                <w:webHidden/>
              </w:rPr>
              <w:fldChar w:fldCharType="separate"/>
            </w:r>
            <w:r w:rsidR="00AA4672">
              <w:rPr>
                <w:noProof/>
                <w:webHidden/>
              </w:rPr>
              <w:t>42</w:t>
            </w:r>
            <w:r w:rsidR="00AA4672">
              <w:rPr>
                <w:noProof/>
                <w:webHidden/>
              </w:rPr>
              <w:fldChar w:fldCharType="end"/>
            </w:r>
          </w:hyperlink>
        </w:p>
        <w:p w14:paraId="55A2A0CB" w14:textId="77777777" w:rsidR="00AA4672" w:rsidRDefault="00C3701E">
          <w:pPr>
            <w:pStyle w:val="TOC2"/>
            <w:rPr>
              <w:rFonts w:asciiTheme="minorHAnsi" w:eastAsiaTheme="minorEastAsia" w:hAnsiTheme="minorHAnsi"/>
              <w:noProof/>
            </w:rPr>
          </w:pPr>
          <w:hyperlink w:anchor="_Toc172541309" w:history="1">
            <w:r w:rsidR="00AA4672" w:rsidRPr="00D47DD3">
              <w:rPr>
                <w:rStyle w:val="Hyperlink"/>
                <w:rFonts w:ascii="Calibri" w:eastAsia="Calibri" w:hAnsi="Calibri" w:cs="Calibri"/>
                <w:noProof/>
                <w:lang w:val="sr-Latn-ME"/>
              </w:rPr>
              <w:t>Unapređenje usluga socijalne i dječje zaštite kroz povećanje broja korisnika/korisnica koji/koje imaju pristup uslugama</w:t>
            </w:r>
            <w:r w:rsidR="00AA4672">
              <w:rPr>
                <w:noProof/>
                <w:webHidden/>
              </w:rPr>
              <w:tab/>
            </w:r>
            <w:r w:rsidR="00AA4672">
              <w:rPr>
                <w:noProof/>
                <w:webHidden/>
              </w:rPr>
              <w:fldChar w:fldCharType="begin"/>
            </w:r>
            <w:r w:rsidR="00AA4672">
              <w:rPr>
                <w:noProof/>
                <w:webHidden/>
              </w:rPr>
              <w:instrText xml:space="preserve"> PAGEREF _Toc172541309 \h </w:instrText>
            </w:r>
            <w:r w:rsidR="00AA4672">
              <w:rPr>
                <w:noProof/>
                <w:webHidden/>
              </w:rPr>
            </w:r>
            <w:r w:rsidR="00AA4672">
              <w:rPr>
                <w:noProof/>
                <w:webHidden/>
              </w:rPr>
              <w:fldChar w:fldCharType="separate"/>
            </w:r>
            <w:r w:rsidR="00AA4672">
              <w:rPr>
                <w:noProof/>
                <w:webHidden/>
              </w:rPr>
              <w:t>56</w:t>
            </w:r>
            <w:r w:rsidR="00AA4672">
              <w:rPr>
                <w:noProof/>
                <w:webHidden/>
              </w:rPr>
              <w:fldChar w:fldCharType="end"/>
            </w:r>
          </w:hyperlink>
        </w:p>
        <w:p w14:paraId="5AFF5C25" w14:textId="77777777" w:rsidR="00AA4672" w:rsidRDefault="00C3701E">
          <w:pPr>
            <w:pStyle w:val="TOC2"/>
            <w:rPr>
              <w:rFonts w:asciiTheme="minorHAnsi" w:eastAsiaTheme="minorEastAsia" w:hAnsiTheme="minorHAnsi"/>
              <w:noProof/>
            </w:rPr>
          </w:pPr>
          <w:hyperlink w:anchor="_Toc172541310" w:history="1">
            <w:r w:rsidR="00AA4672" w:rsidRPr="00D47DD3">
              <w:rPr>
                <w:rStyle w:val="Hyperlink"/>
                <w:noProof/>
                <w:lang w:val="sr-Latn-ME"/>
              </w:rPr>
              <w:t>2.5.</w:t>
            </w:r>
            <w:r w:rsidR="00AA4672">
              <w:rPr>
                <w:rFonts w:asciiTheme="minorHAnsi" w:eastAsiaTheme="minorEastAsia" w:hAnsiTheme="minorHAnsi"/>
                <w:noProof/>
              </w:rPr>
              <w:tab/>
            </w:r>
            <w:r w:rsidR="00AA4672" w:rsidRPr="00D47DD3">
              <w:rPr>
                <w:rStyle w:val="Hyperlink"/>
                <w:noProof/>
                <w:lang w:val="sr-Latn-ME"/>
              </w:rPr>
              <w:t>Unapređenje kvaliteta upravljanja u sistemu socijalne i dječje zaštite na svim nivoima</w:t>
            </w:r>
            <w:r w:rsidR="00AA4672">
              <w:rPr>
                <w:noProof/>
                <w:webHidden/>
              </w:rPr>
              <w:tab/>
            </w:r>
            <w:r w:rsidR="00AA4672">
              <w:rPr>
                <w:noProof/>
                <w:webHidden/>
              </w:rPr>
              <w:fldChar w:fldCharType="begin"/>
            </w:r>
            <w:r w:rsidR="00AA4672">
              <w:rPr>
                <w:noProof/>
                <w:webHidden/>
              </w:rPr>
              <w:instrText xml:space="preserve"> PAGEREF _Toc172541310 \h </w:instrText>
            </w:r>
            <w:r w:rsidR="00AA4672">
              <w:rPr>
                <w:noProof/>
                <w:webHidden/>
              </w:rPr>
            </w:r>
            <w:r w:rsidR="00AA4672">
              <w:rPr>
                <w:noProof/>
                <w:webHidden/>
              </w:rPr>
              <w:fldChar w:fldCharType="separate"/>
            </w:r>
            <w:r w:rsidR="00AA4672">
              <w:rPr>
                <w:noProof/>
                <w:webHidden/>
              </w:rPr>
              <w:t>57</w:t>
            </w:r>
            <w:r w:rsidR="00AA4672">
              <w:rPr>
                <w:noProof/>
                <w:webHidden/>
              </w:rPr>
              <w:fldChar w:fldCharType="end"/>
            </w:r>
          </w:hyperlink>
        </w:p>
        <w:p w14:paraId="117ED8ED" w14:textId="77777777" w:rsidR="00AA4672" w:rsidRDefault="00C3701E">
          <w:pPr>
            <w:pStyle w:val="TOC1"/>
            <w:rPr>
              <w:rFonts w:asciiTheme="minorHAnsi" w:eastAsiaTheme="minorEastAsia" w:hAnsiTheme="minorHAnsi"/>
              <w:noProof/>
            </w:rPr>
          </w:pPr>
          <w:hyperlink w:anchor="_Toc172541311" w:history="1">
            <w:r w:rsidR="00AA4672" w:rsidRPr="00D47DD3">
              <w:rPr>
                <w:rStyle w:val="Hyperlink"/>
                <w:noProof/>
                <w:lang w:val="sr-Latn-ME"/>
              </w:rPr>
              <w:t>2.6 Informacioni sistem socijalnog staranja (e-Socijala)</w:t>
            </w:r>
            <w:r w:rsidR="00AA4672">
              <w:rPr>
                <w:noProof/>
                <w:webHidden/>
              </w:rPr>
              <w:tab/>
            </w:r>
            <w:r w:rsidR="00AA4672">
              <w:rPr>
                <w:noProof/>
                <w:webHidden/>
              </w:rPr>
              <w:fldChar w:fldCharType="begin"/>
            </w:r>
            <w:r w:rsidR="00AA4672">
              <w:rPr>
                <w:noProof/>
                <w:webHidden/>
              </w:rPr>
              <w:instrText xml:space="preserve"> PAGEREF _Toc172541311 \h </w:instrText>
            </w:r>
            <w:r w:rsidR="00AA4672">
              <w:rPr>
                <w:noProof/>
                <w:webHidden/>
              </w:rPr>
            </w:r>
            <w:r w:rsidR="00AA4672">
              <w:rPr>
                <w:noProof/>
                <w:webHidden/>
              </w:rPr>
              <w:fldChar w:fldCharType="separate"/>
            </w:r>
            <w:r w:rsidR="00AA4672">
              <w:rPr>
                <w:noProof/>
                <w:webHidden/>
              </w:rPr>
              <w:t>67</w:t>
            </w:r>
            <w:r w:rsidR="00AA4672">
              <w:rPr>
                <w:noProof/>
                <w:webHidden/>
              </w:rPr>
              <w:fldChar w:fldCharType="end"/>
            </w:r>
          </w:hyperlink>
        </w:p>
        <w:p w14:paraId="4A54BBA3" w14:textId="77777777" w:rsidR="00AA4672" w:rsidRDefault="00C3701E">
          <w:pPr>
            <w:pStyle w:val="TOC1"/>
            <w:rPr>
              <w:rFonts w:asciiTheme="minorHAnsi" w:eastAsiaTheme="minorEastAsia" w:hAnsiTheme="minorHAnsi"/>
              <w:noProof/>
            </w:rPr>
          </w:pPr>
          <w:hyperlink w:anchor="_Toc172541312" w:history="1">
            <w:r w:rsidR="00AA4672" w:rsidRPr="00D47DD3">
              <w:rPr>
                <w:rStyle w:val="Hyperlink"/>
                <w:rFonts w:cs="Arial"/>
                <w:noProof/>
                <w:lang w:val="sr-Latn-ME"/>
              </w:rPr>
              <w:t>3.</w:t>
            </w:r>
            <w:r w:rsidR="00AA4672">
              <w:rPr>
                <w:rFonts w:asciiTheme="minorHAnsi" w:eastAsiaTheme="minorEastAsia" w:hAnsiTheme="minorHAnsi"/>
                <w:noProof/>
              </w:rPr>
              <w:tab/>
            </w:r>
            <w:r w:rsidR="00AA4672" w:rsidRPr="00D47DD3">
              <w:rPr>
                <w:rStyle w:val="Hyperlink"/>
                <w:rFonts w:eastAsia="Times New Roman" w:cs="Arial"/>
                <w:bCs/>
                <w:noProof/>
                <w:lang w:val="sr-Latn-ME"/>
              </w:rPr>
              <w:t>FINANSIJSKI OKVIR ZA SPROVOĐENJE STRATEGIJE</w:t>
            </w:r>
            <w:r w:rsidR="00AA4672">
              <w:rPr>
                <w:noProof/>
                <w:webHidden/>
              </w:rPr>
              <w:tab/>
            </w:r>
            <w:r w:rsidR="00AA4672">
              <w:rPr>
                <w:noProof/>
                <w:webHidden/>
              </w:rPr>
              <w:fldChar w:fldCharType="begin"/>
            </w:r>
            <w:r w:rsidR="00AA4672">
              <w:rPr>
                <w:noProof/>
                <w:webHidden/>
              </w:rPr>
              <w:instrText xml:space="preserve"> PAGEREF _Toc172541312 \h </w:instrText>
            </w:r>
            <w:r w:rsidR="00AA4672">
              <w:rPr>
                <w:noProof/>
                <w:webHidden/>
              </w:rPr>
            </w:r>
            <w:r w:rsidR="00AA4672">
              <w:rPr>
                <w:noProof/>
                <w:webHidden/>
              </w:rPr>
              <w:fldChar w:fldCharType="separate"/>
            </w:r>
            <w:r w:rsidR="00AA4672">
              <w:rPr>
                <w:noProof/>
                <w:webHidden/>
              </w:rPr>
              <w:t>70</w:t>
            </w:r>
            <w:r w:rsidR="00AA4672">
              <w:rPr>
                <w:noProof/>
                <w:webHidden/>
              </w:rPr>
              <w:fldChar w:fldCharType="end"/>
            </w:r>
          </w:hyperlink>
        </w:p>
        <w:p w14:paraId="2FAF3741" w14:textId="77777777" w:rsidR="00AA4672" w:rsidRDefault="00C3701E">
          <w:pPr>
            <w:pStyle w:val="TOC1"/>
            <w:rPr>
              <w:rFonts w:asciiTheme="minorHAnsi" w:eastAsiaTheme="minorEastAsia" w:hAnsiTheme="minorHAnsi"/>
              <w:noProof/>
            </w:rPr>
          </w:pPr>
          <w:hyperlink w:anchor="_Toc172541313" w:history="1">
            <w:r w:rsidR="00AA4672" w:rsidRPr="00D47DD3">
              <w:rPr>
                <w:rStyle w:val="Hyperlink"/>
                <w:rFonts w:eastAsia="Times New Roman" w:cs="Arial"/>
                <w:noProof/>
                <w:lang w:val="sr-Latn-ME"/>
              </w:rPr>
              <w:t>4.</w:t>
            </w:r>
            <w:r w:rsidR="00AA4672">
              <w:rPr>
                <w:rFonts w:asciiTheme="minorHAnsi" w:eastAsiaTheme="minorEastAsia" w:hAnsiTheme="minorHAnsi"/>
                <w:noProof/>
              </w:rPr>
              <w:tab/>
            </w:r>
            <w:r w:rsidR="00AA4672" w:rsidRPr="00D47DD3">
              <w:rPr>
                <w:rStyle w:val="Hyperlink"/>
                <w:rFonts w:eastAsia="Times New Roman" w:cs="Arial"/>
                <w:bCs/>
                <w:noProof/>
                <w:lang w:val="sr-Latn-ME"/>
              </w:rPr>
              <w:t>OPIS AKTIVNOSTI NADLEŽNIH ORGANA I TIJELA ZA PRAĆENJE SPROVOĐENJA STRATEGIJE</w:t>
            </w:r>
            <w:r w:rsidR="00AA4672">
              <w:rPr>
                <w:noProof/>
                <w:webHidden/>
              </w:rPr>
              <w:tab/>
            </w:r>
            <w:r w:rsidR="00AA4672">
              <w:rPr>
                <w:noProof/>
                <w:webHidden/>
              </w:rPr>
              <w:fldChar w:fldCharType="begin"/>
            </w:r>
            <w:r w:rsidR="00AA4672">
              <w:rPr>
                <w:noProof/>
                <w:webHidden/>
              </w:rPr>
              <w:instrText xml:space="preserve"> PAGEREF _Toc172541313 \h </w:instrText>
            </w:r>
            <w:r w:rsidR="00AA4672">
              <w:rPr>
                <w:noProof/>
                <w:webHidden/>
              </w:rPr>
            </w:r>
            <w:r w:rsidR="00AA4672">
              <w:rPr>
                <w:noProof/>
                <w:webHidden/>
              </w:rPr>
              <w:fldChar w:fldCharType="separate"/>
            </w:r>
            <w:r w:rsidR="00AA4672">
              <w:rPr>
                <w:noProof/>
                <w:webHidden/>
              </w:rPr>
              <w:t>71</w:t>
            </w:r>
            <w:r w:rsidR="00AA4672">
              <w:rPr>
                <w:noProof/>
                <w:webHidden/>
              </w:rPr>
              <w:fldChar w:fldCharType="end"/>
            </w:r>
          </w:hyperlink>
        </w:p>
        <w:p w14:paraId="6FE786B0" w14:textId="77777777" w:rsidR="00AA4672" w:rsidRDefault="00C3701E">
          <w:pPr>
            <w:pStyle w:val="TOC1"/>
            <w:rPr>
              <w:rFonts w:asciiTheme="minorHAnsi" w:eastAsiaTheme="minorEastAsia" w:hAnsiTheme="minorHAnsi"/>
              <w:noProof/>
            </w:rPr>
          </w:pPr>
          <w:hyperlink w:anchor="_Toc172541314" w:history="1">
            <w:r w:rsidR="00AA4672" w:rsidRPr="00D47DD3">
              <w:rPr>
                <w:rStyle w:val="Hyperlink"/>
                <w:rFonts w:eastAsia="Times New Roman" w:cs="Arial"/>
                <w:noProof/>
                <w:lang w:val="sr-Latn-ME"/>
              </w:rPr>
              <w:t>5.</w:t>
            </w:r>
            <w:r w:rsidR="00AA4672">
              <w:rPr>
                <w:rFonts w:asciiTheme="minorHAnsi" w:eastAsiaTheme="minorEastAsia" w:hAnsiTheme="minorHAnsi"/>
                <w:noProof/>
              </w:rPr>
              <w:tab/>
            </w:r>
            <w:r w:rsidR="00AA4672" w:rsidRPr="00D47DD3">
              <w:rPr>
                <w:rStyle w:val="Hyperlink"/>
                <w:rFonts w:eastAsia="Times New Roman" w:cs="Arial"/>
                <w:bCs/>
                <w:noProof/>
                <w:lang w:val="sr-Latn-ME"/>
              </w:rPr>
              <w:t>NAČIN IZVJEŠTAVANJA I EVALUACIJE</w:t>
            </w:r>
            <w:r w:rsidR="00AA4672">
              <w:rPr>
                <w:noProof/>
                <w:webHidden/>
              </w:rPr>
              <w:tab/>
            </w:r>
            <w:r w:rsidR="00AA4672">
              <w:rPr>
                <w:noProof/>
                <w:webHidden/>
              </w:rPr>
              <w:fldChar w:fldCharType="begin"/>
            </w:r>
            <w:r w:rsidR="00AA4672">
              <w:rPr>
                <w:noProof/>
                <w:webHidden/>
              </w:rPr>
              <w:instrText xml:space="preserve"> PAGEREF _Toc172541314 \h </w:instrText>
            </w:r>
            <w:r w:rsidR="00AA4672">
              <w:rPr>
                <w:noProof/>
                <w:webHidden/>
              </w:rPr>
            </w:r>
            <w:r w:rsidR="00AA4672">
              <w:rPr>
                <w:noProof/>
                <w:webHidden/>
              </w:rPr>
              <w:fldChar w:fldCharType="separate"/>
            </w:r>
            <w:r w:rsidR="00AA4672">
              <w:rPr>
                <w:noProof/>
                <w:webHidden/>
              </w:rPr>
              <w:t>72</w:t>
            </w:r>
            <w:r w:rsidR="00AA4672">
              <w:rPr>
                <w:noProof/>
                <w:webHidden/>
              </w:rPr>
              <w:fldChar w:fldCharType="end"/>
            </w:r>
          </w:hyperlink>
        </w:p>
        <w:p w14:paraId="2026F21E" w14:textId="77777777" w:rsidR="00E75345" w:rsidRPr="00F96844" w:rsidRDefault="00E75345">
          <w:pPr>
            <w:rPr>
              <w:sz w:val="24"/>
              <w:szCs w:val="24"/>
              <w:lang w:val="sr-Latn-ME"/>
            </w:rPr>
          </w:pPr>
          <w:r w:rsidRPr="00F96844">
            <w:rPr>
              <w:b/>
              <w:bCs/>
              <w:noProof/>
              <w:sz w:val="24"/>
              <w:szCs w:val="24"/>
              <w:lang w:val="sr-Latn-ME"/>
            </w:rPr>
            <w:fldChar w:fldCharType="end"/>
          </w:r>
        </w:p>
      </w:sdtContent>
    </w:sdt>
    <w:p w14:paraId="11233D32" w14:textId="77777777" w:rsidR="00E75345" w:rsidRPr="00F96844" w:rsidRDefault="00E75345" w:rsidP="00E75345">
      <w:pPr>
        <w:rPr>
          <w:sz w:val="24"/>
          <w:szCs w:val="24"/>
          <w:lang w:val="sr-Latn-ME"/>
        </w:rPr>
      </w:pPr>
    </w:p>
    <w:p w14:paraId="0FEF67E8"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6E71E05B"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21B9024A"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519994D8"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0BEFF2A5"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0F3C650F"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1AFD9E02"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0EA376FD"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30188D98"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38FCD736" w14:textId="7777777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56D90809"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5F161DCE"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6E824E2F"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17FE65ED"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1598EA86"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2669DDB7"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466B7073" w14:textId="77777777" w:rsidR="00D614D1" w:rsidRPr="00F96844" w:rsidRDefault="00D614D1" w:rsidP="005114FD">
      <w:pPr>
        <w:rPr>
          <w:rFonts w:cs="Arial"/>
          <w:sz w:val="24"/>
          <w:szCs w:val="24"/>
          <w:lang w:val="sr-Latn-ME"/>
        </w:rPr>
      </w:pPr>
    </w:p>
    <w:p w14:paraId="22C5C3BF" w14:textId="77777777" w:rsidR="002C7204" w:rsidRPr="00F96844" w:rsidRDefault="002C7204" w:rsidP="005114FD">
      <w:pPr>
        <w:rPr>
          <w:rFonts w:cs="Arial"/>
          <w:sz w:val="24"/>
          <w:szCs w:val="24"/>
          <w:lang w:val="sr-Latn-ME"/>
        </w:rPr>
      </w:pPr>
    </w:p>
    <w:p w14:paraId="17F3334E" w14:textId="77777777" w:rsidR="002C7204" w:rsidRPr="00F96844" w:rsidRDefault="002C7204" w:rsidP="005114FD">
      <w:pPr>
        <w:rPr>
          <w:rFonts w:cs="Arial"/>
          <w:sz w:val="24"/>
          <w:szCs w:val="24"/>
          <w:lang w:val="sr-Latn-ME"/>
        </w:rPr>
      </w:pPr>
    </w:p>
    <w:p w14:paraId="680404A9" w14:textId="77777777" w:rsidR="00BD4E0D" w:rsidRPr="00F96844" w:rsidRDefault="00BD4E0D" w:rsidP="005114FD">
      <w:pPr>
        <w:rPr>
          <w:rFonts w:cs="Arial"/>
          <w:sz w:val="24"/>
          <w:szCs w:val="24"/>
          <w:lang w:val="sr-Latn-ME"/>
        </w:rPr>
      </w:pPr>
    </w:p>
    <w:p w14:paraId="7D33B29D" w14:textId="77777777" w:rsidR="00BD4E0D" w:rsidRPr="00F96844" w:rsidRDefault="00BD4E0D" w:rsidP="005114FD">
      <w:pPr>
        <w:rPr>
          <w:rFonts w:cs="Arial"/>
          <w:sz w:val="24"/>
          <w:szCs w:val="24"/>
          <w:lang w:val="sr-Latn-ME"/>
        </w:rPr>
      </w:pPr>
    </w:p>
    <w:p w14:paraId="43582E77" w14:textId="77777777" w:rsidR="00796EB2" w:rsidRPr="00F96844" w:rsidRDefault="00796EB2" w:rsidP="005114FD">
      <w:pPr>
        <w:rPr>
          <w:rFonts w:cs="Arial"/>
          <w:b/>
          <w:bCs/>
          <w:sz w:val="24"/>
          <w:szCs w:val="24"/>
          <w:lang w:val="sr-Latn-ME"/>
        </w:rPr>
      </w:pPr>
      <w:bookmarkStart w:id="4" w:name="_Toc134402935"/>
    </w:p>
    <w:p w14:paraId="28FB67C5" w14:textId="77777777" w:rsidR="00796EB2" w:rsidRPr="00F96844" w:rsidRDefault="00796EB2" w:rsidP="005114FD">
      <w:pPr>
        <w:rPr>
          <w:rFonts w:cs="Arial"/>
          <w:b/>
          <w:bCs/>
          <w:sz w:val="24"/>
          <w:szCs w:val="24"/>
          <w:lang w:val="sr-Latn-ME"/>
        </w:rPr>
      </w:pPr>
    </w:p>
    <w:p w14:paraId="4FC8B08E" w14:textId="77777777" w:rsidR="00D614D1" w:rsidRPr="00F96844" w:rsidRDefault="00D614D1" w:rsidP="005114FD">
      <w:pPr>
        <w:rPr>
          <w:rFonts w:cs="Arial"/>
          <w:b/>
          <w:bCs/>
          <w:sz w:val="24"/>
          <w:szCs w:val="24"/>
          <w:lang w:val="sr-Latn-ME"/>
        </w:rPr>
      </w:pPr>
      <w:r w:rsidRPr="00F96844">
        <w:rPr>
          <w:rFonts w:cs="Arial"/>
          <w:b/>
          <w:bCs/>
          <w:sz w:val="24"/>
          <w:szCs w:val="24"/>
          <w:lang w:val="sr-Latn-ME"/>
        </w:rPr>
        <w:t>Lista skraćenica</w:t>
      </w:r>
      <w:bookmarkEnd w:id="4"/>
    </w:p>
    <w:p w14:paraId="612A1612" w14:textId="77777777" w:rsidR="009073CB" w:rsidRPr="00F96844" w:rsidRDefault="009073CB" w:rsidP="005114FD">
      <w:pPr>
        <w:rPr>
          <w:rFonts w:cs="Arial"/>
          <w:sz w:val="24"/>
          <w:szCs w:val="24"/>
          <w:lang w:val="sr-Latn-ME"/>
        </w:rPr>
      </w:pPr>
    </w:p>
    <w:p w14:paraId="269D8C41" w14:textId="77777777" w:rsidR="00541769" w:rsidRPr="00F96844" w:rsidRDefault="00541769" w:rsidP="00541769">
      <w:pPr>
        <w:rPr>
          <w:rFonts w:cs="Arial"/>
          <w:sz w:val="24"/>
          <w:szCs w:val="24"/>
          <w:lang w:val="sr-Latn-ME"/>
        </w:rPr>
      </w:pPr>
      <w:r w:rsidRPr="00F96844">
        <w:rPr>
          <w:rFonts w:cs="Arial"/>
          <w:sz w:val="24"/>
          <w:szCs w:val="24"/>
          <w:lang w:val="sr-Latn-ME"/>
        </w:rPr>
        <w:t xml:space="preserve">AROPE </w:t>
      </w:r>
      <w:r w:rsidR="00EB2F1D" w:rsidRPr="00EB2F1D">
        <w:rPr>
          <w:rFonts w:cs="Arial"/>
          <w:sz w:val="24"/>
          <w:szCs w:val="24"/>
          <w:lang w:val="sr-Latn-ME"/>
        </w:rPr>
        <w:t xml:space="preserve">– </w:t>
      </w:r>
      <w:r w:rsidRPr="00F96844">
        <w:rPr>
          <w:rFonts w:cs="Arial"/>
          <w:sz w:val="24"/>
          <w:szCs w:val="24"/>
          <w:lang w:val="sr-Latn-ME"/>
        </w:rPr>
        <w:t>Stopa rizika od siromaštva ili socijalne isključenosti</w:t>
      </w:r>
    </w:p>
    <w:p w14:paraId="051A59AE" w14:textId="77777777" w:rsidR="00541769" w:rsidRPr="00F96844" w:rsidRDefault="00541769" w:rsidP="00541769">
      <w:pPr>
        <w:rPr>
          <w:rFonts w:cs="Arial"/>
          <w:sz w:val="24"/>
          <w:szCs w:val="24"/>
          <w:lang w:val="sr-Latn-ME"/>
        </w:rPr>
      </w:pPr>
      <w:r w:rsidRPr="00F96844">
        <w:rPr>
          <w:rFonts w:cs="Arial"/>
          <w:sz w:val="24"/>
          <w:szCs w:val="24"/>
          <w:lang w:val="sr-Latn-ME"/>
        </w:rPr>
        <w:t xml:space="preserve">BDP – Bruto </w:t>
      </w:r>
      <w:r w:rsidR="002F1D60">
        <w:rPr>
          <w:rFonts w:cs="Arial"/>
          <w:sz w:val="24"/>
          <w:szCs w:val="24"/>
          <w:lang w:val="sr-Latn-ME"/>
        </w:rPr>
        <w:t>domaći</w:t>
      </w:r>
      <w:r w:rsidRPr="00F96844">
        <w:rPr>
          <w:rFonts w:cs="Arial"/>
          <w:sz w:val="24"/>
          <w:szCs w:val="24"/>
          <w:lang w:val="sr-Latn-ME"/>
        </w:rPr>
        <w:t xml:space="preserve"> proizvod</w:t>
      </w:r>
    </w:p>
    <w:p w14:paraId="5EEF274D" w14:textId="77777777" w:rsidR="00541769" w:rsidRPr="00F96844" w:rsidRDefault="00541769" w:rsidP="00541769">
      <w:pPr>
        <w:rPr>
          <w:rFonts w:cs="Arial"/>
          <w:sz w:val="24"/>
          <w:szCs w:val="24"/>
          <w:lang w:val="sr-Latn-ME"/>
        </w:rPr>
      </w:pPr>
      <w:r w:rsidRPr="00F96844">
        <w:rPr>
          <w:rFonts w:cs="Arial"/>
          <w:sz w:val="24"/>
          <w:szCs w:val="24"/>
          <w:lang w:val="sr-Latn-ME"/>
        </w:rPr>
        <w:t>CEDAW – Konvencija o eliminaciji svih oblika diskriminacije žena</w:t>
      </w:r>
    </w:p>
    <w:p w14:paraId="17C38C91" w14:textId="77777777" w:rsidR="00541769" w:rsidRPr="00F96844" w:rsidRDefault="00541769" w:rsidP="00541769">
      <w:pPr>
        <w:rPr>
          <w:rFonts w:cs="Arial"/>
          <w:sz w:val="24"/>
          <w:szCs w:val="24"/>
          <w:lang w:val="sr-Latn-ME"/>
        </w:rPr>
      </w:pPr>
      <w:r w:rsidRPr="00F96844">
        <w:rPr>
          <w:rFonts w:cs="Arial"/>
          <w:sz w:val="24"/>
          <w:szCs w:val="24"/>
          <w:lang w:val="sr-Latn-ME"/>
        </w:rPr>
        <w:t xml:space="preserve">CEDEM </w:t>
      </w:r>
      <w:r w:rsidR="00EB2F1D" w:rsidRPr="00EB2F1D">
        <w:rPr>
          <w:rFonts w:cs="Arial"/>
          <w:sz w:val="24"/>
          <w:szCs w:val="24"/>
          <w:lang w:val="sr-Latn-ME"/>
        </w:rPr>
        <w:t xml:space="preserve">– </w:t>
      </w:r>
      <w:r w:rsidRPr="00F96844">
        <w:rPr>
          <w:rFonts w:cs="Arial"/>
          <w:sz w:val="24"/>
          <w:szCs w:val="24"/>
          <w:lang w:val="sr-Latn-ME"/>
        </w:rPr>
        <w:t>Centar za demokratiju i ljudska prava</w:t>
      </w:r>
    </w:p>
    <w:p w14:paraId="43F4571D" w14:textId="77777777" w:rsidR="00541769" w:rsidRPr="00F96844" w:rsidRDefault="00541769" w:rsidP="00541769">
      <w:pPr>
        <w:rPr>
          <w:rFonts w:cs="Arial"/>
          <w:sz w:val="24"/>
          <w:szCs w:val="24"/>
          <w:lang w:val="sr-Latn-ME"/>
        </w:rPr>
      </w:pPr>
      <w:r w:rsidRPr="00F96844">
        <w:rPr>
          <w:rFonts w:cs="Arial"/>
          <w:sz w:val="24"/>
          <w:szCs w:val="24"/>
          <w:lang w:val="sr-Latn-ME"/>
        </w:rPr>
        <w:t>COR – Cilj održivog razvoja</w:t>
      </w:r>
    </w:p>
    <w:p w14:paraId="0FBED578" w14:textId="77777777" w:rsidR="00541769" w:rsidRPr="00F96844" w:rsidRDefault="00541769" w:rsidP="00541769">
      <w:pPr>
        <w:rPr>
          <w:rFonts w:cs="Arial"/>
          <w:sz w:val="24"/>
          <w:szCs w:val="24"/>
          <w:lang w:val="sr-Latn-ME"/>
        </w:rPr>
      </w:pPr>
      <w:r w:rsidRPr="00F96844">
        <w:rPr>
          <w:rFonts w:cs="Arial"/>
          <w:sz w:val="24"/>
          <w:szCs w:val="24"/>
          <w:lang w:val="sr-Latn-ME"/>
        </w:rPr>
        <w:t xml:space="preserve">CZSR – Centar za socijalni rad </w:t>
      </w:r>
    </w:p>
    <w:p w14:paraId="27101F95" w14:textId="77777777" w:rsidR="00541769" w:rsidRPr="00F96844" w:rsidRDefault="00541769" w:rsidP="00541769">
      <w:pPr>
        <w:rPr>
          <w:rFonts w:cs="Arial"/>
          <w:sz w:val="24"/>
          <w:szCs w:val="24"/>
          <w:lang w:val="sr-Latn-ME"/>
        </w:rPr>
      </w:pPr>
      <w:r w:rsidRPr="00F96844">
        <w:rPr>
          <w:rFonts w:cs="Arial"/>
          <w:sz w:val="24"/>
          <w:szCs w:val="24"/>
          <w:lang w:val="sr-Latn-ME"/>
        </w:rPr>
        <w:t>DNjP – Dodatak za njegu i pomoć</w:t>
      </w:r>
    </w:p>
    <w:p w14:paraId="30985971" w14:textId="77777777" w:rsidR="00541769" w:rsidRPr="00F96844" w:rsidRDefault="00541769" w:rsidP="00541769">
      <w:pPr>
        <w:rPr>
          <w:rFonts w:cs="Arial"/>
          <w:sz w:val="24"/>
          <w:szCs w:val="24"/>
          <w:lang w:val="sr-Latn-ME"/>
        </w:rPr>
      </w:pPr>
      <w:r w:rsidRPr="00F96844">
        <w:rPr>
          <w:rFonts w:cs="Arial"/>
          <w:sz w:val="24"/>
          <w:szCs w:val="24"/>
          <w:lang w:val="sr-Latn-ME"/>
        </w:rPr>
        <w:t xml:space="preserve">ECP </w:t>
      </w:r>
      <w:r w:rsidR="00EB2F1D" w:rsidRPr="00EB2F1D">
        <w:rPr>
          <w:rFonts w:cs="Arial"/>
          <w:sz w:val="24"/>
          <w:szCs w:val="24"/>
          <w:lang w:val="sr-Latn-ME"/>
        </w:rPr>
        <w:t xml:space="preserve">– </w:t>
      </w:r>
      <w:r w:rsidRPr="00F96844">
        <w:rPr>
          <w:rFonts w:cs="Arial"/>
          <w:sz w:val="24"/>
          <w:szCs w:val="24"/>
          <w:lang w:val="sr-Latn-ME"/>
        </w:rPr>
        <w:t>Evropska socijalna povelja</w:t>
      </w:r>
    </w:p>
    <w:p w14:paraId="5FAC145F" w14:textId="77777777" w:rsidR="00541769" w:rsidRPr="00F96844" w:rsidRDefault="00541769" w:rsidP="00541769">
      <w:pPr>
        <w:rPr>
          <w:rFonts w:cs="Arial"/>
          <w:sz w:val="24"/>
          <w:szCs w:val="24"/>
          <w:lang w:val="sr-Latn-ME"/>
        </w:rPr>
      </w:pPr>
      <w:r w:rsidRPr="00F96844">
        <w:rPr>
          <w:rFonts w:cs="Arial"/>
          <w:sz w:val="24"/>
          <w:szCs w:val="24"/>
          <w:lang w:val="sr-Latn-ME"/>
        </w:rPr>
        <w:t>EK – Evropska komisija</w:t>
      </w:r>
    </w:p>
    <w:p w14:paraId="679675EC" w14:textId="77777777" w:rsidR="00541769" w:rsidRPr="00F96844" w:rsidRDefault="00541769" w:rsidP="00541769">
      <w:pPr>
        <w:rPr>
          <w:rFonts w:cs="Arial"/>
          <w:sz w:val="24"/>
          <w:szCs w:val="24"/>
          <w:lang w:val="sr-Latn-ME"/>
        </w:rPr>
      </w:pPr>
      <w:r w:rsidRPr="00F96844">
        <w:rPr>
          <w:rFonts w:cs="Arial"/>
          <w:sz w:val="24"/>
          <w:szCs w:val="24"/>
          <w:lang w:val="sr-Latn-ME"/>
        </w:rPr>
        <w:t>ESF – Evropski socijalni fond</w:t>
      </w:r>
    </w:p>
    <w:p w14:paraId="1236D0C7" w14:textId="77777777" w:rsidR="00541769" w:rsidRPr="00F96844" w:rsidRDefault="00541769" w:rsidP="00541769">
      <w:pPr>
        <w:rPr>
          <w:rFonts w:cs="Arial"/>
          <w:sz w:val="24"/>
          <w:szCs w:val="24"/>
          <w:lang w:val="sr-Latn-ME"/>
        </w:rPr>
      </w:pPr>
      <w:r w:rsidRPr="00F96844">
        <w:rPr>
          <w:rFonts w:cs="Arial"/>
          <w:sz w:val="24"/>
          <w:szCs w:val="24"/>
          <w:lang w:val="sr-Latn-ME"/>
        </w:rPr>
        <w:t>EU – Evropska unija</w:t>
      </w:r>
    </w:p>
    <w:p w14:paraId="5BF4274D" w14:textId="77777777" w:rsidR="00541769" w:rsidRPr="00F96844" w:rsidRDefault="00541769" w:rsidP="00541769">
      <w:pPr>
        <w:rPr>
          <w:rFonts w:cs="Arial"/>
          <w:sz w:val="24"/>
          <w:szCs w:val="24"/>
          <w:lang w:val="sr-Latn-ME"/>
        </w:rPr>
      </w:pPr>
      <w:r w:rsidRPr="00F96844">
        <w:rPr>
          <w:rFonts w:cs="Arial"/>
          <w:sz w:val="24"/>
          <w:szCs w:val="24"/>
          <w:lang w:val="sr-Latn-ME"/>
        </w:rPr>
        <w:t xml:space="preserve">IPA – Instrument za pretpristupnu pomoć (eng. </w:t>
      </w:r>
      <w:r w:rsidRPr="00F96844">
        <w:rPr>
          <w:rFonts w:cs="Arial"/>
          <w:i/>
          <w:iCs/>
          <w:sz w:val="24"/>
          <w:szCs w:val="24"/>
          <w:lang w:val="sr-Latn-ME"/>
        </w:rPr>
        <w:t>Instrument for Pre-accession Assistance</w:t>
      </w:r>
      <w:r w:rsidRPr="00F96844">
        <w:rPr>
          <w:rFonts w:cs="Arial"/>
          <w:sz w:val="24"/>
          <w:szCs w:val="24"/>
          <w:lang w:val="sr-Latn-ME"/>
        </w:rPr>
        <w:t>)</w:t>
      </w:r>
    </w:p>
    <w:p w14:paraId="409499FA" w14:textId="77777777" w:rsidR="00541769" w:rsidRPr="00F96844" w:rsidRDefault="00541769" w:rsidP="00541769">
      <w:pPr>
        <w:rPr>
          <w:rFonts w:cs="Arial"/>
          <w:sz w:val="24"/>
          <w:szCs w:val="24"/>
          <w:lang w:val="sr-Latn-ME"/>
        </w:rPr>
      </w:pPr>
      <w:r w:rsidRPr="00F96844">
        <w:rPr>
          <w:rFonts w:cs="Arial"/>
          <w:sz w:val="24"/>
          <w:szCs w:val="24"/>
          <w:lang w:val="sr-Latn-ME"/>
        </w:rPr>
        <w:t>ISSS – Informacioni sistem socijalnog staranja</w:t>
      </w:r>
    </w:p>
    <w:p w14:paraId="1FE3DFF8" w14:textId="77777777" w:rsidR="00541769" w:rsidRPr="00F96844" w:rsidRDefault="00541769" w:rsidP="00541769">
      <w:pPr>
        <w:rPr>
          <w:rFonts w:cs="Arial"/>
          <w:sz w:val="24"/>
          <w:szCs w:val="24"/>
          <w:lang w:val="sr-Latn-ME"/>
        </w:rPr>
      </w:pPr>
      <w:r w:rsidRPr="00F96844">
        <w:rPr>
          <w:rFonts w:cs="Arial"/>
          <w:sz w:val="24"/>
          <w:szCs w:val="24"/>
          <w:lang w:val="sr-Latn-ME"/>
        </w:rPr>
        <w:t>JLS – Jedinica lokalne samouprave</w:t>
      </w:r>
    </w:p>
    <w:p w14:paraId="0413DFE6" w14:textId="77777777" w:rsidR="00541769" w:rsidRPr="00F96844" w:rsidRDefault="00541769" w:rsidP="00541769">
      <w:pPr>
        <w:rPr>
          <w:rFonts w:cs="Arial"/>
          <w:sz w:val="24"/>
          <w:szCs w:val="24"/>
          <w:lang w:val="sr-Latn-ME"/>
        </w:rPr>
      </w:pPr>
      <w:r w:rsidRPr="00F96844">
        <w:rPr>
          <w:rFonts w:cs="Arial"/>
          <w:sz w:val="24"/>
          <w:szCs w:val="24"/>
          <w:lang w:val="sr-Latn-ME"/>
        </w:rPr>
        <w:t>JU – Javna ustanova</w:t>
      </w:r>
    </w:p>
    <w:p w14:paraId="098133E1" w14:textId="77777777" w:rsidR="00541769" w:rsidRPr="00F96844" w:rsidRDefault="00541769" w:rsidP="00541769">
      <w:pPr>
        <w:rPr>
          <w:rFonts w:cs="Arial"/>
          <w:sz w:val="24"/>
          <w:szCs w:val="24"/>
          <w:lang w:val="sr-Latn-ME"/>
        </w:rPr>
      </w:pPr>
      <w:r w:rsidRPr="00F96844">
        <w:rPr>
          <w:rFonts w:cs="Arial"/>
          <w:sz w:val="24"/>
          <w:szCs w:val="24"/>
          <w:lang w:val="sr-Latn-ME"/>
        </w:rPr>
        <w:t>LI – Lična invalidnina</w:t>
      </w:r>
    </w:p>
    <w:p w14:paraId="3CAFF07E" w14:textId="77777777" w:rsidR="00541769" w:rsidRPr="00F96844" w:rsidRDefault="00541769" w:rsidP="00541769">
      <w:pPr>
        <w:rPr>
          <w:rFonts w:cs="Arial"/>
          <w:sz w:val="24"/>
          <w:szCs w:val="24"/>
          <w:lang w:val="sr-Latn-ME"/>
        </w:rPr>
      </w:pPr>
      <w:r w:rsidRPr="00F96844">
        <w:rPr>
          <w:rFonts w:cs="Arial"/>
          <w:sz w:val="24"/>
          <w:szCs w:val="24"/>
          <w:lang w:val="sr-Latn-ME"/>
        </w:rPr>
        <w:t>MICS – Istraživanje višestrukih indikatora</w:t>
      </w:r>
    </w:p>
    <w:p w14:paraId="44A9DCA0" w14:textId="77777777" w:rsidR="00541769" w:rsidRPr="00F96844" w:rsidRDefault="00541769" w:rsidP="00541769">
      <w:pPr>
        <w:rPr>
          <w:rFonts w:cs="Arial"/>
          <w:sz w:val="24"/>
          <w:szCs w:val="24"/>
          <w:lang w:val="sr-Latn-ME"/>
        </w:rPr>
      </w:pPr>
      <w:r w:rsidRPr="00F96844">
        <w:rPr>
          <w:rFonts w:cs="Arial"/>
          <w:sz w:val="24"/>
          <w:szCs w:val="24"/>
          <w:lang w:val="sr-Latn-ME"/>
        </w:rPr>
        <w:t>MO – Materijalno obezbjeđenje</w:t>
      </w:r>
    </w:p>
    <w:p w14:paraId="4381D193" w14:textId="77777777" w:rsidR="00541769" w:rsidRPr="00F96844" w:rsidRDefault="00541769" w:rsidP="00541769">
      <w:pPr>
        <w:rPr>
          <w:rFonts w:cs="Arial"/>
          <w:sz w:val="24"/>
          <w:szCs w:val="24"/>
          <w:lang w:val="sr-Latn-ME"/>
        </w:rPr>
      </w:pPr>
      <w:r w:rsidRPr="00F96844">
        <w:rPr>
          <w:rFonts w:cs="Arial"/>
          <w:sz w:val="24"/>
          <w:szCs w:val="24"/>
          <w:lang w:val="sr-Latn-ME"/>
        </w:rPr>
        <w:t>MONSTAT – Zavod za statistiku Crne Gore</w:t>
      </w:r>
    </w:p>
    <w:p w14:paraId="6651BA02" w14:textId="308F6043" w:rsidR="00541769" w:rsidRPr="005B7D8D" w:rsidRDefault="002927B1" w:rsidP="00541769">
      <w:pPr>
        <w:rPr>
          <w:rFonts w:cs="Arial"/>
          <w:sz w:val="24"/>
          <w:szCs w:val="24"/>
          <w:lang w:val="sr-Latn-ME"/>
        </w:rPr>
      </w:pPr>
      <w:r w:rsidRPr="005B7D8D">
        <w:rPr>
          <w:rFonts w:cs="Arial"/>
          <w:sz w:val="24"/>
          <w:szCs w:val="24"/>
          <w:lang w:val="sr-Latn-ME"/>
        </w:rPr>
        <w:t>MSSD</w:t>
      </w:r>
      <w:r w:rsidR="00541769" w:rsidRPr="005B7D8D">
        <w:rPr>
          <w:rFonts w:cs="Arial"/>
          <w:sz w:val="24"/>
          <w:szCs w:val="24"/>
          <w:lang w:val="sr-Latn-ME"/>
        </w:rPr>
        <w:t xml:space="preserve"> – Ministarstvo </w:t>
      </w:r>
      <w:r w:rsidRPr="005B7D8D">
        <w:rPr>
          <w:rFonts w:cs="Arial"/>
          <w:sz w:val="24"/>
          <w:szCs w:val="24"/>
          <w:lang w:val="sr-Latn-ME"/>
        </w:rPr>
        <w:t>socijalnog staranja, brige o porodici i demografije</w:t>
      </w:r>
    </w:p>
    <w:p w14:paraId="6859D51C" w14:textId="77777777" w:rsidR="00541769" w:rsidRPr="00F96844" w:rsidRDefault="00541769" w:rsidP="00541769">
      <w:pPr>
        <w:rPr>
          <w:rFonts w:cs="Arial"/>
          <w:sz w:val="24"/>
          <w:szCs w:val="24"/>
          <w:lang w:val="sr-Latn-ME"/>
        </w:rPr>
      </w:pPr>
      <w:r w:rsidRPr="005B7D8D">
        <w:rPr>
          <w:rFonts w:cs="Arial"/>
          <w:sz w:val="24"/>
          <w:szCs w:val="24"/>
          <w:lang w:val="sr-Latn-ME"/>
        </w:rPr>
        <w:t>NSOR – Nacionalna strategija održiv</w:t>
      </w:r>
      <w:r w:rsidRPr="00F96844">
        <w:rPr>
          <w:rFonts w:cs="Arial"/>
          <w:sz w:val="24"/>
          <w:szCs w:val="24"/>
          <w:lang w:val="sr-Latn-ME"/>
        </w:rPr>
        <w:t>og razvoja do 2030. godine</w:t>
      </w:r>
    </w:p>
    <w:p w14:paraId="59519313" w14:textId="77777777" w:rsidR="00541769" w:rsidRPr="00F96844" w:rsidRDefault="00541769" w:rsidP="00541769">
      <w:pPr>
        <w:rPr>
          <w:rFonts w:cs="Arial"/>
          <w:sz w:val="24"/>
          <w:szCs w:val="24"/>
          <w:lang w:val="sr-Latn-ME"/>
        </w:rPr>
      </w:pPr>
      <w:r w:rsidRPr="00F96844">
        <w:rPr>
          <w:rFonts w:cs="Arial"/>
          <w:sz w:val="24"/>
          <w:szCs w:val="24"/>
          <w:lang w:val="sr-Latn-ME"/>
        </w:rPr>
        <w:t>NVO – Nevladina organizacija</w:t>
      </w:r>
    </w:p>
    <w:p w14:paraId="29841C11" w14:textId="77777777" w:rsidR="00541769" w:rsidRPr="00F96844" w:rsidRDefault="00541769" w:rsidP="00541769">
      <w:pPr>
        <w:rPr>
          <w:rFonts w:cs="Arial"/>
          <w:sz w:val="24"/>
          <w:szCs w:val="24"/>
          <w:lang w:val="sr-Latn-ME"/>
        </w:rPr>
      </w:pPr>
      <w:r w:rsidRPr="00F96844">
        <w:rPr>
          <w:rFonts w:cs="Arial"/>
          <w:sz w:val="24"/>
          <w:szCs w:val="24"/>
          <w:lang w:val="sr-Latn-ME"/>
        </w:rPr>
        <w:t>OCD – Organizacija civilnog društva</w:t>
      </w:r>
    </w:p>
    <w:p w14:paraId="4C357BB0" w14:textId="77777777" w:rsidR="00541769" w:rsidRPr="00F96844" w:rsidRDefault="00541769" w:rsidP="00541769">
      <w:pPr>
        <w:rPr>
          <w:rFonts w:cs="Arial"/>
          <w:sz w:val="24"/>
          <w:szCs w:val="24"/>
          <w:lang w:val="sr-Latn-ME"/>
        </w:rPr>
      </w:pPr>
      <w:r w:rsidRPr="00F96844">
        <w:rPr>
          <w:rFonts w:cs="Arial"/>
          <w:sz w:val="24"/>
          <w:szCs w:val="24"/>
          <w:lang w:val="sr-Latn-ME"/>
        </w:rPr>
        <w:t xml:space="preserve">OECD – Organizacija za ekonomsku saradnju i razvoj (eng. </w:t>
      </w:r>
      <w:r w:rsidRPr="00F96844">
        <w:rPr>
          <w:rFonts w:cs="Arial"/>
          <w:i/>
          <w:iCs/>
          <w:sz w:val="24"/>
          <w:szCs w:val="24"/>
          <w:lang w:val="sr-Latn-ME"/>
        </w:rPr>
        <w:t>Organization for Economic Cooperation and Development</w:t>
      </w:r>
      <w:r w:rsidRPr="00F96844">
        <w:rPr>
          <w:rFonts w:cs="Arial"/>
          <w:sz w:val="24"/>
          <w:szCs w:val="24"/>
          <w:lang w:val="sr-Latn-ME"/>
        </w:rPr>
        <w:t>)</w:t>
      </w:r>
    </w:p>
    <w:p w14:paraId="3AD6DBAA" w14:textId="77777777" w:rsidR="00541769" w:rsidRPr="00F96844" w:rsidRDefault="00541769" w:rsidP="00541769">
      <w:pPr>
        <w:rPr>
          <w:rFonts w:cs="Arial"/>
          <w:sz w:val="24"/>
          <w:szCs w:val="24"/>
          <w:lang w:val="sr-Latn-ME"/>
        </w:rPr>
      </w:pPr>
      <w:r w:rsidRPr="00F96844">
        <w:rPr>
          <w:rFonts w:cs="Arial"/>
          <w:sz w:val="24"/>
          <w:szCs w:val="24"/>
          <w:lang w:val="sr-Latn-ME"/>
        </w:rPr>
        <w:t>PA – Personalna asistencija</w:t>
      </w:r>
    </w:p>
    <w:p w14:paraId="5FB5E298" w14:textId="77777777" w:rsidR="00541769" w:rsidRPr="00F96844" w:rsidRDefault="00541769" w:rsidP="00541769">
      <w:pPr>
        <w:rPr>
          <w:rFonts w:cs="Arial"/>
          <w:sz w:val="24"/>
          <w:szCs w:val="24"/>
          <w:lang w:val="sr-Latn-ME"/>
        </w:rPr>
      </w:pPr>
      <w:r w:rsidRPr="00F96844">
        <w:rPr>
          <w:rFonts w:cs="Arial"/>
          <w:sz w:val="24"/>
          <w:szCs w:val="24"/>
          <w:lang w:val="sr-Latn-ME"/>
        </w:rPr>
        <w:t xml:space="preserve">PER – Program ekonomskih reformi </w:t>
      </w:r>
    </w:p>
    <w:p w14:paraId="5FC2D941" w14:textId="77777777" w:rsidR="00541769" w:rsidRPr="00F96844" w:rsidRDefault="00541769" w:rsidP="00541769">
      <w:pPr>
        <w:rPr>
          <w:rFonts w:cs="Arial"/>
          <w:sz w:val="24"/>
          <w:szCs w:val="24"/>
          <w:lang w:val="sr-Latn-ME"/>
        </w:rPr>
      </w:pPr>
      <w:r w:rsidRPr="00F96844">
        <w:rPr>
          <w:rFonts w:cs="Arial"/>
          <w:sz w:val="24"/>
          <w:szCs w:val="24"/>
          <w:lang w:val="sr-Latn-ME"/>
        </w:rPr>
        <w:t>SDZ – Socijalna i dječja zaštita</w:t>
      </w:r>
    </w:p>
    <w:p w14:paraId="51156C01" w14:textId="77777777" w:rsidR="00541769" w:rsidRPr="00F96844" w:rsidRDefault="00541769" w:rsidP="00541769">
      <w:pPr>
        <w:rPr>
          <w:rFonts w:cs="Arial"/>
          <w:sz w:val="24"/>
          <w:szCs w:val="24"/>
          <w:lang w:val="sr-Latn-ME"/>
        </w:rPr>
      </w:pPr>
      <w:r w:rsidRPr="00F96844">
        <w:rPr>
          <w:rFonts w:cs="Arial"/>
          <w:sz w:val="24"/>
          <w:szCs w:val="24"/>
          <w:lang w:val="sr-Latn-ME"/>
        </w:rPr>
        <w:t>SOPEES – Operativni program za zapošljavanje, obrazovanje i socijalnu zaštitu</w:t>
      </w:r>
    </w:p>
    <w:p w14:paraId="3DDD3097" w14:textId="77777777" w:rsidR="00541769" w:rsidRPr="00F96844" w:rsidRDefault="00541769" w:rsidP="00541769">
      <w:pPr>
        <w:rPr>
          <w:rFonts w:cs="Arial"/>
          <w:sz w:val="24"/>
          <w:szCs w:val="24"/>
          <w:lang w:val="sr-Latn-ME"/>
        </w:rPr>
      </w:pPr>
      <w:r w:rsidRPr="00F96844">
        <w:rPr>
          <w:rFonts w:cs="Arial"/>
          <w:sz w:val="24"/>
          <w:szCs w:val="24"/>
          <w:lang w:val="sr-Latn-ME"/>
        </w:rPr>
        <w:t>SPRV – Srednjoročni program rada Vlade</w:t>
      </w:r>
    </w:p>
    <w:p w14:paraId="699DDC9B" w14:textId="77777777" w:rsidR="00541769" w:rsidRPr="00F96844" w:rsidRDefault="00541769" w:rsidP="00541769">
      <w:pPr>
        <w:rPr>
          <w:rFonts w:cs="Arial"/>
          <w:sz w:val="24"/>
          <w:szCs w:val="24"/>
          <w:lang w:val="sr-Latn-ME"/>
        </w:rPr>
      </w:pPr>
      <w:r w:rsidRPr="00F96844">
        <w:rPr>
          <w:rFonts w:cs="Arial"/>
          <w:sz w:val="24"/>
          <w:szCs w:val="24"/>
          <w:lang w:val="sr-Latn-ME"/>
        </w:rPr>
        <w:t>SRSSI – Stopa rizika</w:t>
      </w:r>
      <w:r w:rsidR="008C4DEF">
        <w:rPr>
          <w:rFonts w:cs="Arial"/>
          <w:sz w:val="24"/>
          <w:szCs w:val="24"/>
          <w:lang w:val="sr-Latn-ME"/>
        </w:rPr>
        <w:t xml:space="preserve"> od</w:t>
      </w:r>
      <w:r w:rsidRPr="00F96844">
        <w:rPr>
          <w:rFonts w:cs="Arial"/>
          <w:sz w:val="24"/>
          <w:szCs w:val="24"/>
          <w:lang w:val="sr-Latn-ME"/>
        </w:rPr>
        <w:t xml:space="preserve"> siromaštva ili socijalne isključenosti</w:t>
      </w:r>
    </w:p>
    <w:p w14:paraId="682518A6" w14:textId="77777777" w:rsidR="00541769" w:rsidRPr="00F96844" w:rsidRDefault="00541769" w:rsidP="00541769">
      <w:pPr>
        <w:rPr>
          <w:rFonts w:cs="Arial"/>
          <w:sz w:val="24"/>
          <w:szCs w:val="24"/>
          <w:lang w:val="sr-Latn-ME"/>
        </w:rPr>
      </w:pPr>
      <w:r w:rsidRPr="00F96844">
        <w:rPr>
          <w:rFonts w:cs="Arial"/>
          <w:sz w:val="24"/>
          <w:szCs w:val="24"/>
          <w:lang w:val="sr-Latn-ME"/>
        </w:rPr>
        <w:t xml:space="preserve">SRS – Stopa rizika </w:t>
      </w:r>
      <w:r w:rsidR="008C4DEF">
        <w:rPr>
          <w:rFonts w:cs="Arial"/>
          <w:sz w:val="24"/>
          <w:szCs w:val="24"/>
          <w:lang w:val="sr-Latn-ME"/>
        </w:rPr>
        <w:t xml:space="preserve">od </w:t>
      </w:r>
      <w:r w:rsidRPr="00F96844">
        <w:rPr>
          <w:rFonts w:cs="Arial"/>
          <w:sz w:val="24"/>
          <w:szCs w:val="24"/>
          <w:lang w:val="sr-Latn-ME"/>
        </w:rPr>
        <w:t>siromaštva</w:t>
      </w:r>
    </w:p>
    <w:p w14:paraId="722F792F" w14:textId="77777777" w:rsidR="00541769" w:rsidRPr="00F96844" w:rsidRDefault="00541769" w:rsidP="00541769">
      <w:pPr>
        <w:rPr>
          <w:rFonts w:cs="Arial"/>
          <w:sz w:val="24"/>
          <w:szCs w:val="24"/>
          <w:lang w:val="sr-Latn-ME"/>
        </w:rPr>
      </w:pPr>
      <w:r w:rsidRPr="00F96844">
        <w:rPr>
          <w:rFonts w:cs="Arial"/>
          <w:sz w:val="24"/>
          <w:szCs w:val="24"/>
          <w:lang w:val="sr-Latn-ME"/>
        </w:rPr>
        <w:t>SIMD – Stopa izrazite materijalne deprivacije</w:t>
      </w:r>
    </w:p>
    <w:p w14:paraId="2248FAF5" w14:textId="77777777" w:rsidR="00541769" w:rsidRPr="00F96844" w:rsidRDefault="00541769" w:rsidP="00541769">
      <w:pPr>
        <w:rPr>
          <w:rFonts w:cs="Arial"/>
          <w:sz w:val="24"/>
          <w:szCs w:val="24"/>
          <w:lang w:val="sr-Latn-ME"/>
        </w:rPr>
      </w:pPr>
      <w:r w:rsidRPr="00F96844">
        <w:rPr>
          <w:rFonts w:cs="Arial"/>
          <w:sz w:val="24"/>
          <w:szCs w:val="24"/>
          <w:lang w:val="sr-Latn-ME"/>
        </w:rPr>
        <w:t>UN – Ujedinjene nacije</w:t>
      </w:r>
    </w:p>
    <w:p w14:paraId="64D05EA5" w14:textId="77777777" w:rsidR="00541769" w:rsidRPr="00F96844" w:rsidRDefault="00541769" w:rsidP="00541769">
      <w:pPr>
        <w:rPr>
          <w:rFonts w:cs="Arial"/>
          <w:sz w:val="24"/>
          <w:szCs w:val="24"/>
          <w:lang w:val="sr-Latn-ME"/>
        </w:rPr>
      </w:pPr>
      <w:r w:rsidRPr="00F96844">
        <w:rPr>
          <w:rFonts w:cs="Arial"/>
          <w:sz w:val="24"/>
          <w:szCs w:val="24"/>
          <w:lang w:val="sr-Latn-ME"/>
        </w:rPr>
        <w:t xml:space="preserve">UNDP – Program Ujedinjenih nacija za razvoj </w:t>
      </w:r>
    </w:p>
    <w:p w14:paraId="28CBD162" w14:textId="77777777" w:rsidR="00541769" w:rsidRPr="00F96844" w:rsidRDefault="00541769" w:rsidP="00541769">
      <w:pPr>
        <w:rPr>
          <w:rFonts w:cs="Arial"/>
          <w:sz w:val="24"/>
          <w:szCs w:val="24"/>
          <w:lang w:val="sr-Latn-ME"/>
        </w:rPr>
      </w:pPr>
      <w:r w:rsidRPr="00F96844">
        <w:rPr>
          <w:rFonts w:cs="Arial"/>
          <w:sz w:val="24"/>
          <w:szCs w:val="24"/>
          <w:lang w:val="sr-Latn-ME"/>
        </w:rPr>
        <w:t>UNICEF – Dječji fond Ujedinjenih nacija</w:t>
      </w:r>
    </w:p>
    <w:p w14:paraId="2E2C7698" w14:textId="77777777" w:rsidR="00541769" w:rsidRPr="00F96844" w:rsidRDefault="00541769" w:rsidP="00541769">
      <w:pPr>
        <w:rPr>
          <w:rFonts w:cs="Arial"/>
          <w:sz w:val="24"/>
          <w:szCs w:val="24"/>
          <w:lang w:val="sr-Latn-ME"/>
        </w:rPr>
      </w:pPr>
      <w:r w:rsidRPr="00F96844">
        <w:rPr>
          <w:rFonts w:cs="Arial"/>
          <w:sz w:val="24"/>
          <w:szCs w:val="24"/>
          <w:lang w:val="sr-Latn-ME"/>
        </w:rPr>
        <w:t>VCG – Vlada Crne Gore</w:t>
      </w:r>
    </w:p>
    <w:p w14:paraId="7ACE5E76" w14:textId="77777777" w:rsidR="00541769" w:rsidRPr="00F96844" w:rsidRDefault="00541769" w:rsidP="00541769">
      <w:pPr>
        <w:rPr>
          <w:rFonts w:cs="Arial"/>
          <w:sz w:val="24"/>
          <w:szCs w:val="24"/>
          <w:lang w:val="sr-Latn-ME"/>
        </w:rPr>
      </w:pPr>
      <w:r w:rsidRPr="00F96844">
        <w:rPr>
          <w:rFonts w:cs="Arial"/>
          <w:sz w:val="24"/>
          <w:szCs w:val="24"/>
          <w:lang w:val="sr-Latn-ME"/>
        </w:rPr>
        <w:t>ZSDZ – Zavod za socijalnu i dječju zaštitu</w:t>
      </w:r>
    </w:p>
    <w:p w14:paraId="5A0ACC60" w14:textId="77777777" w:rsidR="009215E1" w:rsidRPr="00F96844" w:rsidRDefault="00541769" w:rsidP="00541769">
      <w:pPr>
        <w:rPr>
          <w:rFonts w:cs="Arial"/>
          <w:sz w:val="24"/>
          <w:szCs w:val="24"/>
          <w:lang w:val="sr-Latn-ME"/>
        </w:rPr>
        <w:sectPr w:rsidR="009215E1" w:rsidRPr="00F96844" w:rsidSect="009215E1">
          <w:footerReference w:type="even" r:id="rId8"/>
          <w:footerReference w:type="default" r:id="rId9"/>
          <w:footerReference w:type="first" r:id="rId10"/>
          <w:pgSz w:w="12240" w:h="15840"/>
          <w:pgMar w:top="1440" w:right="1440" w:bottom="1440" w:left="1440" w:header="720" w:footer="720" w:gutter="0"/>
          <w:pgNumType w:start="0"/>
          <w:cols w:space="720"/>
          <w:docGrid w:linePitch="360"/>
        </w:sectPr>
      </w:pPr>
      <w:r w:rsidRPr="00F96844">
        <w:rPr>
          <w:rFonts w:cs="Arial"/>
          <w:sz w:val="24"/>
          <w:szCs w:val="24"/>
          <w:lang w:val="sr-Latn-ME"/>
        </w:rPr>
        <w:t>ZZZCG – Zavod za zapošljavanje Crne Gor</w:t>
      </w:r>
      <w:r w:rsidR="000D6A4A">
        <w:rPr>
          <w:rFonts w:cs="Arial"/>
          <w:sz w:val="24"/>
          <w:szCs w:val="24"/>
          <w:lang w:val="sr-Latn-ME"/>
        </w:rPr>
        <w:t>e</w:t>
      </w:r>
    </w:p>
    <w:p w14:paraId="6B4F7449" w14:textId="77777777" w:rsidR="009E4EC0" w:rsidRPr="00F96844" w:rsidRDefault="009E4EC0" w:rsidP="001A2457">
      <w:pPr>
        <w:pStyle w:val="Heading1"/>
        <w:numPr>
          <w:ilvl w:val="0"/>
          <w:numId w:val="5"/>
        </w:numPr>
        <w:ind w:left="360"/>
        <w:rPr>
          <w:rFonts w:eastAsia="Times New Roman"/>
          <w:sz w:val="24"/>
          <w:szCs w:val="24"/>
          <w:lang w:val="sr-Latn-ME"/>
        </w:rPr>
      </w:pPr>
      <w:bookmarkStart w:id="5" w:name="_Toc167106465"/>
      <w:bookmarkStart w:id="6" w:name="_Toc167106522"/>
      <w:bookmarkStart w:id="7" w:name="_Toc167106573"/>
      <w:bookmarkStart w:id="8" w:name="_Toc167106839"/>
      <w:bookmarkStart w:id="9" w:name="_Toc167106890"/>
      <w:bookmarkStart w:id="10" w:name="_Toc167106466"/>
      <w:bookmarkStart w:id="11" w:name="_Toc167106523"/>
      <w:bookmarkStart w:id="12" w:name="_Toc167106574"/>
      <w:bookmarkStart w:id="13" w:name="_Toc167106840"/>
      <w:bookmarkStart w:id="14" w:name="_Toc167106891"/>
      <w:bookmarkStart w:id="15" w:name="_Toc167106467"/>
      <w:bookmarkStart w:id="16" w:name="_Toc167106524"/>
      <w:bookmarkStart w:id="17" w:name="_Toc167106575"/>
      <w:bookmarkStart w:id="18" w:name="_Toc167106841"/>
      <w:bookmarkStart w:id="19" w:name="_Toc167106892"/>
      <w:bookmarkStart w:id="20" w:name="_Toc167106468"/>
      <w:bookmarkStart w:id="21" w:name="_Toc167106525"/>
      <w:bookmarkStart w:id="22" w:name="_Toc167106576"/>
      <w:bookmarkStart w:id="23" w:name="_Toc167106842"/>
      <w:bookmarkStart w:id="24" w:name="_Toc167106893"/>
      <w:bookmarkStart w:id="25" w:name="_Toc167106469"/>
      <w:bookmarkStart w:id="26" w:name="_Toc167106526"/>
      <w:bookmarkStart w:id="27" w:name="_Toc167106577"/>
      <w:bookmarkStart w:id="28" w:name="_Toc167106843"/>
      <w:bookmarkStart w:id="29" w:name="_Toc167106894"/>
      <w:bookmarkStart w:id="30" w:name="_Toc167106470"/>
      <w:bookmarkStart w:id="31" w:name="_Toc167106527"/>
      <w:bookmarkStart w:id="32" w:name="_Toc167106578"/>
      <w:bookmarkStart w:id="33" w:name="_Toc167106844"/>
      <w:bookmarkStart w:id="34" w:name="_Toc167106895"/>
      <w:bookmarkStart w:id="35" w:name="_Toc167106471"/>
      <w:bookmarkStart w:id="36" w:name="_Toc167106528"/>
      <w:bookmarkStart w:id="37" w:name="_Toc167106579"/>
      <w:bookmarkStart w:id="38" w:name="_Toc167106845"/>
      <w:bookmarkStart w:id="39" w:name="_Toc167106896"/>
      <w:bookmarkStart w:id="40" w:name="_Toc17254130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96844">
        <w:rPr>
          <w:rFonts w:eastAsia="Times New Roman"/>
          <w:sz w:val="24"/>
          <w:szCs w:val="24"/>
          <w:lang w:val="sr-Latn-ME"/>
        </w:rPr>
        <w:lastRenderedPageBreak/>
        <w:t>UVOD</w:t>
      </w:r>
      <w:bookmarkEnd w:id="40"/>
    </w:p>
    <w:p w14:paraId="622D068F" w14:textId="77777777" w:rsidR="009073CB" w:rsidRPr="00F96844" w:rsidRDefault="009073CB" w:rsidP="005114FD">
      <w:pPr>
        <w:jc w:val="both"/>
        <w:rPr>
          <w:rFonts w:cs="Arial"/>
          <w:b/>
          <w:sz w:val="24"/>
          <w:szCs w:val="24"/>
          <w:lang w:val="sr-Latn-ME"/>
        </w:rPr>
      </w:pPr>
    </w:p>
    <w:p w14:paraId="74618778" w14:textId="77777777" w:rsidR="00E25B9C" w:rsidRPr="00F96844" w:rsidRDefault="00D614D1" w:rsidP="00E25B9C">
      <w:pPr>
        <w:jc w:val="both"/>
        <w:rPr>
          <w:rFonts w:cs="Arial"/>
          <w:b/>
          <w:i/>
          <w:sz w:val="24"/>
          <w:szCs w:val="24"/>
          <w:lang w:val="sr-Latn-ME"/>
        </w:rPr>
      </w:pPr>
      <w:r w:rsidRPr="00F96844">
        <w:rPr>
          <w:rFonts w:cs="Arial"/>
          <w:b/>
          <w:i/>
          <w:sz w:val="24"/>
          <w:szCs w:val="24"/>
          <w:lang w:val="sr-Latn-ME"/>
        </w:rPr>
        <w:t>Svrha donošenja strateškog dokumenta</w:t>
      </w:r>
      <w:bookmarkStart w:id="41" w:name="_Hlk164321759"/>
    </w:p>
    <w:p w14:paraId="5C96F988" w14:textId="77777777" w:rsidR="00A64A0A" w:rsidRPr="00F96844" w:rsidRDefault="00A64A0A" w:rsidP="00E25B9C">
      <w:pPr>
        <w:jc w:val="both"/>
        <w:rPr>
          <w:rFonts w:cs="Arial"/>
          <w:b/>
          <w:i/>
          <w:sz w:val="24"/>
          <w:szCs w:val="24"/>
          <w:lang w:val="sr-Latn-ME"/>
        </w:rPr>
      </w:pPr>
    </w:p>
    <w:p w14:paraId="26EFC8D3" w14:textId="059EDA36" w:rsidR="009073CB" w:rsidRPr="00F96844" w:rsidRDefault="00D614D1" w:rsidP="00780738">
      <w:pPr>
        <w:jc w:val="both"/>
        <w:rPr>
          <w:rFonts w:cs="Arial"/>
          <w:b/>
          <w:i/>
          <w:sz w:val="24"/>
          <w:szCs w:val="24"/>
          <w:lang w:val="sr-Latn-ME"/>
        </w:rPr>
      </w:pPr>
      <w:r w:rsidRPr="00F96844">
        <w:rPr>
          <w:rFonts w:cs="Arial"/>
          <w:sz w:val="24"/>
          <w:szCs w:val="24"/>
          <w:lang w:val="sr-Latn-ME"/>
        </w:rPr>
        <w:t>Strategija razvoja sistema socijalne i dječje zaštite za period od 202</w:t>
      </w:r>
      <w:r w:rsidR="00C142C5">
        <w:rPr>
          <w:rFonts w:cs="Arial"/>
          <w:sz w:val="24"/>
          <w:szCs w:val="24"/>
          <w:lang w:val="sr-Latn-ME"/>
        </w:rPr>
        <w:t>5</w:t>
      </w:r>
      <w:r w:rsidRPr="00F96844">
        <w:rPr>
          <w:rFonts w:cs="Arial"/>
          <w:sz w:val="24"/>
          <w:szCs w:val="24"/>
          <w:lang w:val="sr-Latn-ME"/>
        </w:rPr>
        <w:t>. do 202</w:t>
      </w:r>
      <w:r w:rsidR="0063199C">
        <w:rPr>
          <w:rFonts w:cs="Arial"/>
          <w:sz w:val="24"/>
          <w:szCs w:val="24"/>
          <w:lang w:val="sr-Latn-ME"/>
        </w:rPr>
        <w:t>8</w:t>
      </w:r>
      <w:r w:rsidRPr="00F96844">
        <w:rPr>
          <w:rFonts w:cs="Arial"/>
          <w:sz w:val="24"/>
          <w:szCs w:val="24"/>
          <w:lang w:val="sr-Latn-ME"/>
        </w:rPr>
        <w:t xml:space="preserve">. godine </w:t>
      </w:r>
      <w:bookmarkEnd w:id="41"/>
      <w:r w:rsidRPr="00F96844">
        <w:rPr>
          <w:rFonts w:cs="Arial"/>
          <w:sz w:val="24"/>
          <w:szCs w:val="24"/>
          <w:lang w:val="sr-Latn-ME"/>
        </w:rPr>
        <w:t>(u daljem tekstu: Strategija) sa Akcionim planom za 202</w:t>
      </w:r>
      <w:r w:rsidR="00C142C5">
        <w:rPr>
          <w:rFonts w:cs="Arial"/>
          <w:sz w:val="24"/>
          <w:szCs w:val="24"/>
          <w:lang w:val="sr-Latn-ME"/>
        </w:rPr>
        <w:t>5</w:t>
      </w:r>
      <w:r w:rsidRPr="00F96844">
        <w:rPr>
          <w:rFonts w:cs="Arial"/>
          <w:sz w:val="24"/>
          <w:szCs w:val="24"/>
          <w:lang w:val="sr-Latn-ME"/>
        </w:rPr>
        <w:t xml:space="preserve">. godinu za sprovođenje Strategije donosi se u cilju obezbjeđenja i ostvarivanja mjera i programa namijenjenih </w:t>
      </w:r>
      <w:r w:rsidR="00EB2F1D">
        <w:rPr>
          <w:rFonts w:cs="Arial"/>
          <w:sz w:val="24"/>
          <w:szCs w:val="24"/>
          <w:lang w:val="sr-Latn-ME"/>
        </w:rPr>
        <w:t>pojedincu/pojedinki</w:t>
      </w:r>
      <w:r w:rsidRPr="00F96844">
        <w:rPr>
          <w:rFonts w:cs="Arial"/>
          <w:sz w:val="24"/>
          <w:szCs w:val="24"/>
          <w:lang w:val="sr-Latn-ME"/>
        </w:rPr>
        <w:t xml:space="preserve"> i porodici kojima je usl</w:t>
      </w:r>
      <w:r w:rsidR="009073CB" w:rsidRPr="00F96844">
        <w:rPr>
          <w:rFonts w:cs="Arial"/>
          <w:sz w:val="24"/>
          <w:szCs w:val="24"/>
          <w:lang w:val="sr-Latn-ME"/>
        </w:rPr>
        <w:t>i</w:t>
      </w:r>
      <w:r w:rsidRPr="00F96844">
        <w:rPr>
          <w:rFonts w:cs="Arial"/>
          <w:sz w:val="24"/>
          <w:szCs w:val="24"/>
          <w:lang w:val="sr-Latn-ME"/>
        </w:rPr>
        <w:t>jed posebnih okolnosti i socijalnog rizika potreban odgovarajući oblik socijalne i d</w:t>
      </w:r>
      <w:r w:rsidR="00EB2F1D">
        <w:rPr>
          <w:rFonts w:cs="Arial"/>
          <w:sz w:val="24"/>
          <w:szCs w:val="24"/>
          <w:lang w:val="sr-Latn-ME"/>
        </w:rPr>
        <w:t>ječj</w:t>
      </w:r>
      <w:r w:rsidRPr="00F96844">
        <w:rPr>
          <w:rFonts w:cs="Arial"/>
          <w:sz w:val="24"/>
          <w:szCs w:val="24"/>
          <w:lang w:val="sr-Latn-ME"/>
        </w:rPr>
        <w:t xml:space="preserve">e zaštite. </w:t>
      </w:r>
    </w:p>
    <w:p w14:paraId="57F80823" w14:textId="77777777" w:rsidR="009073CB" w:rsidRPr="00F96844" w:rsidRDefault="009073CB" w:rsidP="00780738">
      <w:pPr>
        <w:jc w:val="both"/>
        <w:rPr>
          <w:rFonts w:cs="Arial"/>
          <w:sz w:val="24"/>
          <w:szCs w:val="24"/>
          <w:lang w:val="sr-Latn-ME"/>
        </w:rPr>
      </w:pPr>
    </w:p>
    <w:p w14:paraId="615D1D79" w14:textId="77777777" w:rsidR="00D614D1" w:rsidRPr="00F96844" w:rsidRDefault="00D614D1" w:rsidP="00780738">
      <w:pPr>
        <w:jc w:val="both"/>
        <w:rPr>
          <w:rFonts w:cs="Arial"/>
          <w:sz w:val="24"/>
          <w:szCs w:val="24"/>
          <w:lang w:val="sr-Latn-ME"/>
        </w:rPr>
      </w:pPr>
      <w:r w:rsidRPr="00F96844">
        <w:rPr>
          <w:rFonts w:cs="Arial"/>
          <w:sz w:val="24"/>
          <w:szCs w:val="24"/>
          <w:lang w:val="sr-Latn-ME"/>
        </w:rPr>
        <w:t>Strategija predstavlja</w:t>
      </w:r>
      <w:r w:rsidR="004A1ACC" w:rsidRPr="00F96844">
        <w:rPr>
          <w:rFonts w:cs="Arial"/>
          <w:sz w:val="24"/>
          <w:szCs w:val="24"/>
          <w:lang w:val="sr-Latn-ME"/>
        </w:rPr>
        <w:t xml:space="preserve"> </w:t>
      </w:r>
      <w:r w:rsidR="007E74F2">
        <w:rPr>
          <w:rFonts w:cs="Arial"/>
          <w:sz w:val="24"/>
          <w:szCs w:val="24"/>
          <w:lang w:val="sr-Latn-ME"/>
        </w:rPr>
        <w:t>četvrti</w:t>
      </w:r>
      <w:r w:rsidR="004A1ACC" w:rsidRPr="00F96844">
        <w:rPr>
          <w:rFonts w:cs="Arial"/>
          <w:sz w:val="24"/>
          <w:szCs w:val="24"/>
          <w:lang w:val="sr-Latn-ME"/>
        </w:rPr>
        <w:t xml:space="preserve"> nacionalni</w:t>
      </w:r>
      <w:r w:rsidRPr="00F96844">
        <w:rPr>
          <w:rFonts w:cs="Arial"/>
          <w:sz w:val="24"/>
          <w:szCs w:val="24"/>
          <w:lang w:val="sr-Latn-ME"/>
        </w:rPr>
        <w:t xml:space="preserve"> strateški dokument koji utvrđuje ciljeve i prioritete za dalji razvoj sistema socijalne i d</w:t>
      </w:r>
      <w:r w:rsidR="00EB2F1D">
        <w:rPr>
          <w:rFonts w:cs="Arial"/>
          <w:sz w:val="24"/>
          <w:szCs w:val="24"/>
          <w:lang w:val="sr-Latn-ME"/>
        </w:rPr>
        <w:t>ječj</w:t>
      </w:r>
      <w:r w:rsidRPr="00F96844">
        <w:rPr>
          <w:rFonts w:cs="Arial"/>
          <w:sz w:val="24"/>
          <w:szCs w:val="24"/>
          <w:lang w:val="sr-Latn-ME"/>
        </w:rPr>
        <w:t xml:space="preserve">e zaštite, način postizanja tih ciljeva, vremenski okvir, finansijska sredstva neophodna za njihovo postizanje, kao i međusektorsku saradnju organa državne uprave uključenih u sprovođenje Strategije. </w:t>
      </w:r>
    </w:p>
    <w:p w14:paraId="4C40A756" w14:textId="77777777" w:rsidR="009073CB" w:rsidRPr="00F96844" w:rsidRDefault="009073CB" w:rsidP="00780738">
      <w:pPr>
        <w:jc w:val="both"/>
        <w:rPr>
          <w:rFonts w:cs="Arial"/>
          <w:sz w:val="24"/>
          <w:szCs w:val="24"/>
          <w:lang w:val="sr-Latn-ME"/>
        </w:rPr>
      </w:pPr>
    </w:p>
    <w:p w14:paraId="67607C29" w14:textId="77777777" w:rsidR="00D614D1" w:rsidRPr="00F96844" w:rsidRDefault="00D614D1" w:rsidP="00780738">
      <w:pPr>
        <w:jc w:val="both"/>
        <w:rPr>
          <w:rFonts w:cs="Arial"/>
          <w:sz w:val="24"/>
          <w:szCs w:val="24"/>
          <w:lang w:val="sr-Latn-ME"/>
        </w:rPr>
      </w:pPr>
      <w:r w:rsidRPr="00F96844">
        <w:rPr>
          <w:rFonts w:cs="Arial"/>
          <w:sz w:val="24"/>
          <w:szCs w:val="24"/>
          <w:lang w:val="sr-Latn-ME"/>
        </w:rPr>
        <w:t xml:space="preserve">Vlada Crne Gore je usmjerena na stvaranje humanog i ekonomski stabilnog društva, koje obezbjeđuje razvoj i kontinuitet kvalitetne socijalne i dječje zaštite, zasnovane na potrebama i u najboljem interesu </w:t>
      </w:r>
      <w:r w:rsidR="00EB2F1D">
        <w:rPr>
          <w:rFonts w:cs="Arial"/>
          <w:sz w:val="24"/>
          <w:szCs w:val="24"/>
          <w:lang w:val="sr-Latn-ME"/>
        </w:rPr>
        <w:t>korisnika/korisnica</w:t>
      </w:r>
      <w:r w:rsidRPr="00F96844">
        <w:rPr>
          <w:rFonts w:cs="Arial"/>
          <w:sz w:val="24"/>
          <w:szCs w:val="24"/>
          <w:lang w:val="sr-Latn-ME"/>
        </w:rPr>
        <w:t>.</w:t>
      </w:r>
      <w:r w:rsidR="00E25B9C" w:rsidRPr="00F96844">
        <w:rPr>
          <w:rFonts w:cs="Arial"/>
          <w:sz w:val="24"/>
          <w:szCs w:val="24"/>
          <w:lang w:val="sr-Latn-ME"/>
        </w:rPr>
        <w:t xml:space="preserve"> </w:t>
      </w:r>
      <w:r w:rsidRPr="00F96844">
        <w:rPr>
          <w:rFonts w:cs="Arial"/>
          <w:sz w:val="24"/>
          <w:szCs w:val="24"/>
          <w:lang w:val="sr-Latn-ME"/>
        </w:rPr>
        <w:t>U tom cilju usvoj</w:t>
      </w:r>
      <w:r w:rsidR="004A1ACC" w:rsidRPr="00F96844">
        <w:rPr>
          <w:rFonts w:cs="Arial"/>
          <w:sz w:val="24"/>
          <w:szCs w:val="24"/>
          <w:lang w:val="sr-Latn-ME"/>
        </w:rPr>
        <w:t>e</w:t>
      </w:r>
      <w:r w:rsidRPr="00F96844">
        <w:rPr>
          <w:rFonts w:cs="Arial"/>
          <w:sz w:val="24"/>
          <w:szCs w:val="24"/>
          <w:lang w:val="sr-Latn-ME"/>
        </w:rPr>
        <w:t>na je Strategija razvoja sistema socijalne i dječje zaštite za period 2008‒2012. godine, a po isteku perioda na koji se ova Strategija odnosila, Vlada Crne Gore usvojila je Strategiju razvoja sistema</w:t>
      </w:r>
      <w:r w:rsidR="00E25B9C" w:rsidRPr="00F96844">
        <w:rPr>
          <w:rFonts w:cs="Arial"/>
          <w:sz w:val="24"/>
          <w:szCs w:val="24"/>
          <w:lang w:val="sr-Latn-ME"/>
        </w:rPr>
        <w:t xml:space="preserve"> </w:t>
      </w:r>
      <w:r w:rsidRPr="00F96844">
        <w:rPr>
          <w:rFonts w:cs="Arial"/>
          <w:sz w:val="24"/>
          <w:szCs w:val="24"/>
          <w:lang w:val="sr-Latn-ME"/>
        </w:rPr>
        <w:t>socijalne i dječje zašitite za period 2013‒2017. godine, zatim i Strategiju razvoja sistema socijalne i dječje zaštite za period 2018</w:t>
      </w:r>
      <w:r w:rsidR="009073CB" w:rsidRPr="00F96844">
        <w:rPr>
          <w:rFonts w:cs="Arial"/>
          <w:sz w:val="24"/>
          <w:szCs w:val="24"/>
          <w:lang w:val="sr-Latn-ME"/>
        </w:rPr>
        <w:t>‒</w:t>
      </w:r>
      <w:r w:rsidRPr="00F96844">
        <w:rPr>
          <w:rFonts w:cs="Arial"/>
          <w:sz w:val="24"/>
          <w:szCs w:val="24"/>
          <w:lang w:val="sr-Latn-ME"/>
        </w:rPr>
        <w:t>2022. godine. Osnov za donošenje strateških dokumenata jeste Zakon o socijalnoj i dječjoj zaštiti</w:t>
      </w:r>
      <w:r w:rsidR="004A1ACC" w:rsidRPr="00F96844">
        <w:rPr>
          <w:rStyle w:val="FootnoteReference"/>
          <w:rFonts w:cs="Arial"/>
          <w:sz w:val="24"/>
          <w:szCs w:val="24"/>
          <w:lang w:val="sr-Latn-ME"/>
        </w:rPr>
        <w:footnoteReference w:id="1"/>
      </w:r>
      <w:r w:rsidRPr="00F96844">
        <w:rPr>
          <w:rFonts w:cs="Arial"/>
          <w:sz w:val="24"/>
          <w:szCs w:val="24"/>
          <w:lang w:val="sr-Latn-ME"/>
        </w:rPr>
        <w:t xml:space="preserve"> </w:t>
      </w:r>
    </w:p>
    <w:p w14:paraId="7B881CA3" w14:textId="77777777" w:rsidR="003D6500" w:rsidRPr="00F96844" w:rsidRDefault="003D6500" w:rsidP="00780738">
      <w:pPr>
        <w:jc w:val="both"/>
        <w:rPr>
          <w:rFonts w:cs="Arial"/>
          <w:color w:val="000000"/>
          <w:sz w:val="24"/>
          <w:szCs w:val="24"/>
          <w:lang w:val="sr-Latn-ME"/>
        </w:rPr>
      </w:pPr>
    </w:p>
    <w:p w14:paraId="2FBFA110" w14:textId="77777777" w:rsidR="00580974" w:rsidRDefault="00D614D1" w:rsidP="00580974">
      <w:pPr>
        <w:pStyle w:val="CommentText"/>
        <w:jc w:val="both"/>
        <w:rPr>
          <w:rFonts w:cs="Arial"/>
          <w:sz w:val="24"/>
          <w:szCs w:val="24"/>
          <w:lang w:val="sr-Latn-ME"/>
        </w:rPr>
      </w:pPr>
      <w:r w:rsidRPr="00F96844">
        <w:rPr>
          <w:rFonts w:cs="Arial"/>
          <w:color w:val="000000"/>
          <w:sz w:val="24"/>
          <w:szCs w:val="24"/>
          <w:lang w:val="sr-Latn-ME"/>
        </w:rPr>
        <w:t>Efikasan i efektivan sistem socijalne i d</w:t>
      </w:r>
      <w:r w:rsidR="00EB2F1D">
        <w:rPr>
          <w:rFonts w:cs="Arial"/>
          <w:color w:val="000000"/>
          <w:sz w:val="24"/>
          <w:szCs w:val="24"/>
          <w:lang w:val="sr-Latn-ME"/>
        </w:rPr>
        <w:t>ječj</w:t>
      </w:r>
      <w:r w:rsidRPr="00F96844">
        <w:rPr>
          <w:rFonts w:cs="Arial"/>
          <w:color w:val="000000"/>
          <w:sz w:val="24"/>
          <w:szCs w:val="24"/>
          <w:lang w:val="sr-Latn-ME"/>
        </w:rPr>
        <w:t>e zaštite, kojem teži Crna Gora, treba da obezbijedi mjere i programe koji prvenstv</w:t>
      </w:r>
      <w:r w:rsidR="00BD0E86" w:rsidRPr="00F96844">
        <w:rPr>
          <w:rFonts w:cs="Arial"/>
          <w:color w:val="000000"/>
          <w:sz w:val="24"/>
          <w:szCs w:val="24"/>
          <w:lang w:val="sr-Latn-ME"/>
        </w:rPr>
        <w:t>en</w:t>
      </w:r>
      <w:r w:rsidRPr="00F96844">
        <w:rPr>
          <w:rFonts w:cs="Arial"/>
          <w:color w:val="000000"/>
          <w:sz w:val="24"/>
          <w:szCs w:val="24"/>
          <w:lang w:val="sr-Latn-ME"/>
        </w:rPr>
        <w:t xml:space="preserve">o imaju najveći pozitivni uticaj za </w:t>
      </w:r>
      <w:r w:rsidR="00EB2F1D">
        <w:rPr>
          <w:rFonts w:cs="Arial"/>
          <w:color w:val="000000"/>
          <w:sz w:val="24"/>
          <w:szCs w:val="24"/>
          <w:lang w:val="sr-Latn-ME"/>
        </w:rPr>
        <w:t>korisnike/</w:t>
      </w:r>
      <w:r w:rsidR="00EB2F1D" w:rsidRPr="00580974">
        <w:rPr>
          <w:rFonts w:cs="Arial"/>
          <w:color w:val="000000"/>
          <w:sz w:val="24"/>
          <w:szCs w:val="24"/>
          <w:lang w:val="sr-Latn-ME"/>
        </w:rPr>
        <w:t>korisnice</w:t>
      </w:r>
      <w:r w:rsidRPr="00580974">
        <w:rPr>
          <w:rFonts w:cs="Arial"/>
          <w:color w:val="000000"/>
          <w:sz w:val="24"/>
          <w:szCs w:val="24"/>
          <w:lang w:val="sr-Latn-ME"/>
        </w:rPr>
        <w:t xml:space="preserve">, uz jasnije definisanje mehanizama i plana finansiranja, </w:t>
      </w:r>
      <w:r w:rsidR="0078748C" w:rsidRPr="00580974">
        <w:rPr>
          <w:rFonts w:cs="Arial"/>
          <w:color w:val="000000"/>
          <w:sz w:val="24"/>
          <w:szCs w:val="24"/>
          <w:lang w:val="sr-Latn-ME"/>
        </w:rPr>
        <w:t>uz</w:t>
      </w:r>
      <w:r w:rsidRPr="00580974">
        <w:rPr>
          <w:rFonts w:cs="Arial"/>
          <w:color w:val="000000"/>
          <w:sz w:val="24"/>
          <w:szCs w:val="24"/>
          <w:lang w:val="sr-Latn-ME"/>
        </w:rPr>
        <w:t xml:space="preserve"> finansijsk</w:t>
      </w:r>
      <w:r w:rsidR="0078748C" w:rsidRPr="00580974">
        <w:rPr>
          <w:rFonts w:cs="Arial"/>
          <w:color w:val="000000"/>
          <w:sz w:val="24"/>
          <w:szCs w:val="24"/>
          <w:lang w:val="sr-Latn-ME"/>
        </w:rPr>
        <w:t>u</w:t>
      </w:r>
      <w:r w:rsidRPr="00580974">
        <w:rPr>
          <w:rFonts w:cs="Arial"/>
          <w:color w:val="000000"/>
          <w:sz w:val="24"/>
          <w:szCs w:val="24"/>
          <w:lang w:val="sr-Latn-ME"/>
        </w:rPr>
        <w:t xml:space="preserve"> održivost.</w:t>
      </w:r>
      <w:r w:rsidR="00D14808" w:rsidRPr="00580974">
        <w:rPr>
          <w:rFonts w:cs="Arial"/>
          <w:color w:val="000000"/>
          <w:sz w:val="24"/>
          <w:szCs w:val="24"/>
          <w:lang w:val="sr-Latn-ME"/>
        </w:rPr>
        <w:t xml:space="preserve"> U krajnjem, jačanje sistema će u narednom periodu doprinijeti kontinuiranom smanjenju siromaštva i ranjivosti populacije kroz jačanje preventivne funkcije</w:t>
      </w:r>
      <w:r w:rsidR="00D14808" w:rsidRPr="00580974">
        <w:rPr>
          <w:rFonts w:cs="Arial"/>
          <w:sz w:val="24"/>
          <w:szCs w:val="24"/>
          <w:lang w:val="sr-Latn-ME"/>
        </w:rPr>
        <w:t xml:space="preserve"> i </w:t>
      </w:r>
      <w:bookmarkStart w:id="42" w:name="_Hlk170268230"/>
      <w:r w:rsidR="00D14808" w:rsidRPr="00580974">
        <w:rPr>
          <w:rFonts w:cs="Arial"/>
          <w:sz w:val="24"/>
          <w:szCs w:val="24"/>
          <w:lang w:val="sr-Latn-ME"/>
        </w:rPr>
        <w:t>pružanja podrške pojedincima/pojedinkama da prevaziđu nepovoljne okolnosti sa kojima se  mogu suočiti u određenom vremenskom periodu</w:t>
      </w:r>
      <w:bookmarkEnd w:id="42"/>
      <w:r w:rsidR="00D14808" w:rsidRPr="00580974">
        <w:rPr>
          <w:rFonts w:cs="Arial"/>
          <w:sz w:val="24"/>
          <w:szCs w:val="24"/>
          <w:lang w:val="sr-Latn-ME"/>
        </w:rPr>
        <w:t>.</w:t>
      </w:r>
    </w:p>
    <w:p w14:paraId="6592A26D" w14:textId="77777777" w:rsidR="00684233" w:rsidRPr="00580974" w:rsidRDefault="00D614D1" w:rsidP="00580974">
      <w:pPr>
        <w:pStyle w:val="CommentText"/>
        <w:jc w:val="both"/>
        <w:rPr>
          <w:rFonts w:ascii="Times New Roman" w:hAnsi="Times New Roman" w:cs="Times New Roman"/>
          <w:sz w:val="24"/>
          <w:szCs w:val="24"/>
        </w:rPr>
      </w:pPr>
      <w:r w:rsidRPr="00F96844">
        <w:rPr>
          <w:rFonts w:cs="Arial"/>
          <w:color w:val="000000"/>
          <w:sz w:val="24"/>
          <w:szCs w:val="24"/>
          <w:lang w:val="sr-Latn-ME"/>
        </w:rPr>
        <w:t xml:space="preserve"> U skladu s navedenim, </w:t>
      </w:r>
      <w:r w:rsidRPr="00F96844">
        <w:rPr>
          <w:rFonts w:cs="Arial"/>
          <w:sz w:val="24"/>
          <w:szCs w:val="24"/>
          <w:lang w:val="sr-Latn-ME"/>
        </w:rPr>
        <w:t>svrha donošenja ove Strategije ogleda se u potrebi za unapređenjem normativnog okvira,</w:t>
      </w:r>
      <w:r w:rsidR="002A3F3D">
        <w:rPr>
          <w:rFonts w:cs="Arial"/>
          <w:sz w:val="24"/>
          <w:szCs w:val="24"/>
          <w:lang w:val="sr-Latn-ME"/>
        </w:rPr>
        <w:t xml:space="preserve"> adekvatnosti</w:t>
      </w:r>
      <w:r w:rsidRPr="00F96844">
        <w:rPr>
          <w:rFonts w:cs="Arial"/>
          <w:sz w:val="24"/>
          <w:szCs w:val="24"/>
          <w:lang w:val="sr-Latn-ME"/>
        </w:rPr>
        <w:t xml:space="preserve"> materijalnih davanja,</w:t>
      </w:r>
      <w:r w:rsidR="002A3F3D">
        <w:rPr>
          <w:rFonts w:cs="Arial"/>
          <w:sz w:val="24"/>
          <w:szCs w:val="24"/>
          <w:lang w:val="sr-Latn-ME"/>
        </w:rPr>
        <w:t xml:space="preserve"> dostupnosti i kvaliteta</w:t>
      </w:r>
      <w:r w:rsidRPr="00F96844">
        <w:rPr>
          <w:rFonts w:cs="Arial"/>
          <w:sz w:val="24"/>
          <w:szCs w:val="24"/>
          <w:lang w:val="sr-Latn-ME"/>
        </w:rPr>
        <w:t xml:space="preserve"> usluga socijalne i dječje zaštite, </w:t>
      </w:r>
      <w:r w:rsidR="00385A8E">
        <w:rPr>
          <w:rFonts w:cs="Arial"/>
          <w:sz w:val="24"/>
          <w:szCs w:val="24"/>
          <w:lang w:val="sr-Latn-ME"/>
        </w:rPr>
        <w:t xml:space="preserve">unapređenja </w:t>
      </w:r>
      <w:r w:rsidRPr="00F96844">
        <w:rPr>
          <w:rFonts w:cs="Arial"/>
          <w:sz w:val="24"/>
          <w:szCs w:val="24"/>
          <w:lang w:val="sr-Latn-ME"/>
        </w:rPr>
        <w:t xml:space="preserve">sistema licenciranja pružalaca usluga, sistema licenciranja stručnih </w:t>
      </w:r>
      <w:r w:rsidR="009F661D">
        <w:rPr>
          <w:rFonts w:cs="Arial"/>
          <w:sz w:val="24"/>
          <w:szCs w:val="24"/>
          <w:lang w:val="sr-Latn-ME"/>
        </w:rPr>
        <w:t>radnika/radnica</w:t>
      </w:r>
      <w:r w:rsidRPr="00F96844">
        <w:rPr>
          <w:rFonts w:cs="Arial"/>
          <w:sz w:val="24"/>
          <w:szCs w:val="24"/>
          <w:lang w:val="sr-Latn-ME"/>
        </w:rPr>
        <w:t>, sistema akreditacije programa obuke, organizacije, normativima, standardima i načinu rada u centrima za socijalni rad i supervizijske podrške i vršenje nadzora u socijalnoj i dječjoj zaštiti.</w:t>
      </w:r>
    </w:p>
    <w:p w14:paraId="456E119B" w14:textId="77777777" w:rsidR="00EA320B" w:rsidRPr="00F96844" w:rsidRDefault="00EA320B" w:rsidP="00780738">
      <w:pPr>
        <w:jc w:val="both"/>
        <w:rPr>
          <w:rFonts w:cs="Arial"/>
          <w:sz w:val="24"/>
          <w:szCs w:val="24"/>
          <w:lang w:val="sr-Latn-ME"/>
        </w:rPr>
      </w:pPr>
    </w:p>
    <w:p w14:paraId="2AA63144" w14:textId="77777777" w:rsidR="00684233" w:rsidRPr="00F96844" w:rsidRDefault="00684233" w:rsidP="00780738">
      <w:pPr>
        <w:jc w:val="both"/>
        <w:rPr>
          <w:rFonts w:cs="Arial"/>
          <w:sz w:val="24"/>
          <w:szCs w:val="24"/>
          <w:lang w:val="sr-Latn-ME"/>
        </w:rPr>
      </w:pPr>
      <w:r w:rsidRPr="00F96844">
        <w:rPr>
          <w:rFonts w:cs="Arial"/>
          <w:sz w:val="24"/>
          <w:szCs w:val="24"/>
          <w:lang w:val="sr-Latn-ME"/>
        </w:rPr>
        <w:t>Važno je ukazati na cjelokupnu strukturu svih zainteresovanih strana čiji će doprinos realizaciji ciljeva i aktivnosti zastupljenih u ovom strateškom dokumentu omogućiti izgradnju funkcion</w:t>
      </w:r>
      <w:r w:rsidR="005A0AFB" w:rsidRPr="00F96844">
        <w:rPr>
          <w:rFonts w:cs="Arial"/>
          <w:sz w:val="24"/>
          <w:szCs w:val="24"/>
          <w:lang w:val="sr-Latn-ME"/>
        </w:rPr>
        <w:t>a</w:t>
      </w:r>
      <w:r w:rsidRPr="00F96844">
        <w:rPr>
          <w:rFonts w:cs="Arial"/>
          <w:sz w:val="24"/>
          <w:szCs w:val="24"/>
          <w:lang w:val="sr-Latn-ME"/>
        </w:rPr>
        <w:t>lnog, održivog i kvalitetnog sistema socijalne i dječje zaštite, sa građaninom Crne Gore kao krajnjim korisnikom</w:t>
      </w:r>
      <w:r w:rsidRPr="00F96844">
        <w:rPr>
          <w:rFonts w:cs="Arial"/>
          <w:color w:val="000000" w:themeColor="text1"/>
          <w:sz w:val="24"/>
          <w:szCs w:val="24"/>
          <w:lang w:val="sr-Latn-ME"/>
        </w:rPr>
        <w:t xml:space="preserve">. </w:t>
      </w:r>
      <w:r w:rsidR="004A1ACC" w:rsidRPr="00F96844">
        <w:rPr>
          <w:rFonts w:cs="Arial"/>
          <w:color w:val="000000" w:themeColor="text1"/>
          <w:sz w:val="24"/>
          <w:szCs w:val="24"/>
          <w:lang w:val="sr-Latn-ME"/>
        </w:rPr>
        <w:t xml:space="preserve">Pored </w:t>
      </w:r>
      <w:r w:rsidR="009F661D">
        <w:rPr>
          <w:rFonts w:cs="Arial"/>
          <w:color w:val="000000" w:themeColor="text1"/>
          <w:sz w:val="24"/>
          <w:szCs w:val="24"/>
          <w:lang w:val="sr-Latn-ME"/>
        </w:rPr>
        <w:t>predstavnika/predstavnica</w:t>
      </w:r>
      <w:r w:rsidR="004A1ACC" w:rsidRPr="00F96844">
        <w:rPr>
          <w:rFonts w:cs="Arial"/>
          <w:color w:val="000000" w:themeColor="text1"/>
          <w:sz w:val="24"/>
          <w:szCs w:val="24"/>
          <w:lang w:val="sr-Latn-ME"/>
        </w:rPr>
        <w:t xml:space="preserve"> </w:t>
      </w:r>
      <w:r w:rsidR="004A1ACC" w:rsidRPr="00F96844">
        <w:rPr>
          <w:rFonts w:cs="Arial"/>
          <w:color w:val="000000" w:themeColor="text1"/>
          <w:sz w:val="24"/>
          <w:szCs w:val="24"/>
          <w:lang w:val="sr-Latn-ME"/>
        </w:rPr>
        <w:lastRenderedPageBreak/>
        <w:t>institucija koje su zastupljene u Radnoj grupi za izradu strateškog dokumenta, r</w:t>
      </w:r>
      <w:r w:rsidRPr="00F96844">
        <w:rPr>
          <w:rFonts w:cs="Arial"/>
          <w:color w:val="000000" w:themeColor="text1"/>
          <w:sz w:val="24"/>
          <w:szCs w:val="24"/>
          <w:lang w:val="sr-Latn-ME"/>
        </w:rPr>
        <w:t>adi se o sl</w:t>
      </w:r>
      <w:r w:rsidR="005A0AFB" w:rsidRPr="00F96844">
        <w:rPr>
          <w:rFonts w:cs="Arial"/>
          <w:color w:val="000000" w:themeColor="text1"/>
          <w:sz w:val="24"/>
          <w:szCs w:val="24"/>
          <w:lang w:val="sr-Latn-ME"/>
        </w:rPr>
        <w:t>j</w:t>
      </w:r>
      <w:r w:rsidRPr="00F96844">
        <w:rPr>
          <w:rFonts w:cs="Arial"/>
          <w:color w:val="000000" w:themeColor="text1"/>
          <w:sz w:val="24"/>
          <w:szCs w:val="24"/>
          <w:lang w:val="sr-Latn-ME"/>
        </w:rPr>
        <w:t>edećim zainteresovanim stranama:</w:t>
      </w:r>
    </w:p>
    <w:p w14:paraId="44BCBBE5" w14:textId="77777777" w:rsidR="00684233" w:rsidRPr="00F96844" w:rsidRDefault="00684233" w:rsidP="005114FD">
      <w:pPr>
        <w:jc w:val="both"/>
        <w:rPr>
          <w:rFonts w:cs="Arial"/>
          <w:sz w:val="24"/>
          <w:szCs w:val="24"/>
          <w:lang w:val="sr-Latn-ME"/>
        </w:rPr>
      </w:pPr>
    </w:p>
    <w:p w14:paraId="178110E4" w14:textId="6355A5EE" w:rsidR="00684233" w:rsidRPr="00F96844" w:rsidRDefault="00B90EC0" w:rsidP="005114FD">
      <w:pPr>
        <w:jc w:val="both"/>
        <w:rPr>
          <w:rFonts w:cs="Arial"/>
          <w:sz w:val="24"/>
          <w:szCs w:val="24"/>
          <w:lang w:val="sr-Latn-ME"/>
        </w:rPr>
      </w:pPr>
      <w:r>
        <w:rPr>
          <w:rFonts w:cs="Arial"/>
          <w:noProof/>
          <w:sz w:val="24"/>
          <w:szCs w:val="24"/>
          <w:lang w:val="sr-Latn-ME" w:eastAsia="sr-Latn-ME"/>
        </w:rPr>
        <w:drawing>
          <wp:inline distT="0" distB="0" distL="0" distR="0" wp14:anchorId="2A7576AC" wp14:editId="68CEDF33">
            <wp:extent cx="6230620" cy="3213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620" cy="3213100"/>
                    </a:xfrm>
                    <a:prstGeom prst="rect">
                      <a:avLst/>
                    </a:prstGeom>
                    <a:noFill/>
                  </pic:spPr>
                </pic:pic>
              </a:graphicData>
            </a:graphic>
          </wp:inline>
        </w:drawing>
      </w:r>
    </w:p>
    <w:p w14:paraId="4D71C65B" w14:textId="7E883D45" w:rsidR="00684233" w:rsidRPr="00F96844" w:rsidRDefault="00684233" w:rsidP="005114FD">
      <w:pPr>
        <w:jc w:val="both"/>
        <w:rPr>
          <w:rFonts w:cs="Arial"/>
          <w:sz w:val="24"/>
          <w:szCs w:val="24"/>
          <w:lang w:val="sr-Latn-ME"/>
        </w:rPr>
      </w:pPr>
    </w:p>
    <w:p w14:paraId="20D36E7F" w14:textId="77777777" w:rsidR="00684233" w:rsidRPr="00F96844" w:rsidRDefault="00684233" w:rsidP="005114FD">
      <w:pPr>
        <w:jc w:val="both"/>
        <w:rPr>
          <w:rFonts w:cs="Arial"/>
          <w:sz w:val="24"/>
          <w:szCs w:val="24"/>
          <w:lang w:val="sr-Latn-ME"/>
        </w:rPr>
      </w:pPr>
    </w:p>
    <w:p w14:paraId="6A42C504" w14:textId="77777777" w:rsidR="00684233" w:rsidRPr="00F96844" w:rsidRDefault="00684233" w:rsidP="005114FD">
      <w:pPr>
        <w:jc w:val="both"/>
        <w:rPr>
          <w:rFonts w:cs="Arial"/>
          <w:b/>
          <w:bCs/>
          <w:i/>
          <w:iCs/>
          <w:sz w:val="24"/>
          <w:szCs w:val="24"/>
          <w:lang w:val="sr-Latn-ME"/>
        </w:rPr>
      </w:pPr>
    </w:p>
    <w:p w14:paraId="1E8D2437" w14:textId="77777777" w:rsidR="00684233" w:rsidRPr="00F96844" w:rsidRDefault="00A21FA4" w:rsidP="00780738">
      <w:pPr>
        <w:jc w:val="both"/>
        <w:rPr>
          <w:rFonts w:cs="Arial"/>
          <w:sz w:val="24"/>
          <w:szCs w:val="24"/>
          <w:lang w:val="sr-Latn-ME"/>
        </w:rPr>
      </w:pPr>
      <w:r w:rsidRPr="00F96844">
        <w:rPr>
          <w:rFonts w:cs="Arial"/>
          <w:color w:val="000000" w:themeColor="text1"/>
          <w:sz w:val="24"/>
          <w:szCs w:val="24"/>
          <w:lang w:val="sr-Latn-ME"/>
        </w:rPr>
        <w:t xml:space="preserve">U narednim </w:t>
      </w:r>
      <w:r w:rsidRPr="00F96844">
        <w:rPr>
          <w:rFonts w:cs="Arial"/>
          <w:sz w:val="24"/>
          <w:szCs w:val="24"/>
          <w:lang w:val="sr-Latn-ME"/>
        </w:rPr>
        <w:t xml:space="preserve">poglavljima strateškog dokumenta </w:t>
      </w:r>
      <w:r w:rsidR="003A6C66">
        <w:rPr>
          <w:rFonts w:cs="Arial"/>
          <w:sz w:val="24"/>
          <w:szCs w:val="24"/>
          <w:lang w:val="sr-Latn-ME"/>
        </w:rPr>
        <w:t>dat</w:t>
      </w:r>
      <w:r w:rsidRPr="00F96844">
        <w:rPr>
          <w:rFonts w:cs="Arial"/>
          <w:sz w:val="24"/>
          <w:szCs w:val="24"/>
          <w:lang w:val="sr-Latn-ME"/>
        </w:rPr>
        <w:t xml:space="preserve"> je prikaz usklađenosti strategije</w:t>
      </w:r>
      <w:r w:rsidR="00867803">
        <w:rPr>
          <w:rFonts w:cs="Arial"/>
          <w:sz w:val="24"/>
          <w:szCs w:val="24"/>
          <w:lang w:val="sr-Latn-ME"/>
        </w:rPr>
        <w:t xml:space="preserve"> s n</w:t>
      </w:r>
      <w:r w:rsidRPr="00F96844">
        <w:rPr>
          <w:rFonts w:cs="Arial"/>
          <w:sz w:val="24"/>
          <w:szCs w:val="24"/>
          <w:lang w:val="sr-Latn-ME"/>
        </w:rPr>
        <w:t xml:space="preserve">acionalnim </w:t>
      </w:r>
      <w:r w:rsidR="00177B27" w:rsidRPr="00F96844">
        <w:rPr>
          <w:rFonts w:cs="Arial"/>
          <w:sz w:val="24"/>
          <w:szCs w:val="24"/>
          <w:lang w:val="sr-Latn-ME"/>
        </w:rPr>
        <w:t>strateškim okvirom i međunarodnim obavezama koje je Crna Gora preuzela.</w:t>
      </w:r>
    </w:p>
    <w:p w14:paraId="27B30BD4" w14:textId="77777777" w:rsidR="00684233" w:rsidRPr="00F96844" w:rsidRDefault="00684233" w:rsidP="00780738">
      <w:pPr>
        <w:jc w:val="both"/>
        <w:rPr>
          <w:rFonts w:cs="Arial"/>
          <w:sz w:val="24"/>
          <w:szCs w:val="24"/>
          <w:lang w:val="sr-Latn-ME"/>
        </w:rPr>
      </w:pPr>
    </w:p>
    <w:p w14:paraId="1AD98030" w14:textId="77777777" w:rsidR="00D614D1" w:rsidRPr="00F96844" w:rsidRDefault="00D614D1" w:rsidP="00780738">
      <w:pPr>
        <w:jc w:val="both"/>
        <w:rPr>
          <w:rFonts w:cs="Arial"/>
          <w:b/>
          <w:i/>
          <w:sz w:val="24"/>
          <w:szCs w:val="24"/>
          <w:lang w:val="sr-Latn-ME"/>
        </w:rPr>
      </w:pPr>
      <w:r w:rsidRPr="00F96844">
        <w:rPr>
          <w:rFonts w:cs="Arial"/>
          <w:b/>
          <w:i/>
          <w:sz w:val="24"/>
          <w:szCs w:val="24"/>
          <w:lang w:val="sr-Latn-ME"/>
        </w:rPr>
        <w:t>Usaglašenost</w:t>
      </w:r>
      <w:r w:rsidR="004C5D23">
        <w:rPr>
          <w:rFonts w:cs="Arial"/>
          <w:b/>
          <w:i/>
          <w:sz w:val="24"/>
          <w:szCs w:val="24"/>
          <w:lang w:val="sr-Latn-ME"/>
        </w:rPr>
        <w:t xml:space="preserve"> s p</w:t>
      </w:r>
      <w:r w:rsidRPr="00F96844">
        <w:rPr>
          <w:rFonts w:cs="Arial"/>
          <w:b/>
          <w:i/>
          <w:sz w:val="24"/>
          <w:szCs w:val="24"/>
          <w:lang w:val="sr-Latn-ME"/>
        </w:rPr>
        <w:t xml:space="preserve">ostojećim strateškim okvirom u Crnoj Gori </w:t>
      </w:r>
    </w:p>
    <w:p w14:paraId="25175F72" w14:textId="77777777" w:rsidR="00A64A0A" w:rsidRPr="00F96844" w:rsidRDefault="00A64A0A" w:rsidP="00780738">
      <w:pPr>
        <w:jc w:val="both"/>
        <w:rPr>
          <w:rFonts w:cs="Arial"/>
          <w:b/>
          <w:i/>
          <w:sz w:val="24"/>
          <w:szCs w:val="24"/>
          <w:lang w:val="sr-Latn-ME"/>
        </w:rPr>
      </w:pPr>
    </w:p>
    <w:p w14:paraId="0CB56020" w14:textId="77777777" w:rsidR="00D614D1" w:rsidRPr="00F96844" w:rsidRDefault="00D614D1" w:rsidP="00780738">
      <w:pPr>
        <w:jc w:val="both"/>
        <w:rPr>
          <w:rFonts w:cs="Arial"/>
          <w:sz w:val="24"/>
          <w:szCs w:val="24"/>
          <w:lang w:val="sr-Latn-ME"/>
        </w:rPr>
      </w:pPr>
      <w:r w:rsidRPr="00F96844">
        <w:rPr>
          <w:rFonts w:cs="Arial"/>
          <w:sz w:val="24"/>
          <w:szCs w:val="24"/>
          <w:lang w:val="sr-Latn-ME"/>
        </w:rPr>
        <w:t xml:space="preserve">Sistem strateškog planiranja u Crnoj Gori podrazumijeva vertikalno i horizontalno usklađivanje postojećih strateških dokumenata u cilju poboljšanja kvaliteta, ali i postizanja efikasnije implementacije, unapređenja međusektorske saradnje i uspostavljanja održivog mehanizma za praćenje implementacije. </w:t>
      </w:r>
    </w:p>
    <w:p w14:paraId="25355895" w14:textId="77777777" w:rsidR="00D614D1" w:rsidRPr="00F96844" w:rsidRDefault="00D614D1" w:rsidP="00780738">
      <w:pPr>
        <w:jc w:val="both"/>
        <w:rPr>
          <w:rFonts w:cs="Arial"/>
          <w:sz w:val="24"/>
          <w:szCs w:val="24"/>
          <w:lang w:val="sr-Latn-ME"/>
        </w:rPr>
      </w:pPr>
    </w:p>
    <w:p w14:paraId="0A94255F" w14:textId="77777777" w:rsidR="00D614D1" w:rsidRPr="00F96844" w:rsidRDefault="00D614D1" w:rsidP="00780738">
      <w:pPr>
        <w:jc w:val="both"/>
        <w:rPr>
          <w:rFonts w:cs="Arial"/>
          <w:b/>
          <w:i/>
          <w:sz w:val="24"/>
          <w:szCs w:val="24"/>
          <w:lang w:val="sr-Latn-ME"/>
        </w:rPr>
      </w:pPr>
      <w:r w:rsidRPr="00F96844">
        <w:rPr>
          <w:rFonts w:cs="Arial"/>
          <w:b/>
          <w:i/>
          <w:sz w:val="24"/>
          <w:szCs w:val="24"/>
          <w:lang w:val="sr-Latn-ME"/>
        </w:rPr>
        <w:t>Srednjoročni</w:t>
      </w:r>
      <w:r w:rsidRPr="00F96844">
        <w:rPr>
          <w:rFonts w:cs="Arial"/>
          <w:b/>
          <w:i/>
          <w:spacing w:val="-3"/>
          <w:sz w:val="24"/>
          <w:szCs w:val="24"/>
          <w:lang w:val="sr-Latn-ME"/>
        </w:rPr>
        <w:t xml:space="preserve"> </w:t>
      </w:r>
      <w:r w:rsidRPr="00F96844">
        <w:rPr>
          <w:rFonts w:cs="Arial"/>
          <w:b/>
          <w:i/>
          <w:sz w:val="24"/>
          <w:szCs w:val="24"/>
          <w:lang w:val="sr-Latn-ME"/>
        </w:rPr>
        <w:t>program</w:t>
      </w:r>
      <w:r w:rsidRPr="00F96844">
        <w:rPr>
          <w:rFonts w:cs="Arial"/>
          <w:b/>
          <w:i/>
          <w:spacing w:val="-4"/>
          <w:sz w:val="24"/>
          <w:szCs w:val="24"/>
          <w:lang w:val="sr-Latn-ME"/>
        </w:rPr>
        <w:t xml:space="preserve"> </w:t>
      </w:r>
      <w:r w:rsidRPr="00F96844">
        <w:rPr>
          <w:rFonts w:cs="Arial"/>
          <w:b/>
          <w:i/>
          <w:sz w:val="24"/>
          <w:szCs w:val="24"/>
          <w:lang w:val="sr-Latn-ME"/>
        </w:rPr>
        <w:t>rada</w:t>
      </w:r>
      <w:r w:rsidRPr="00F96844">
        <w:rPr>
          <w:rFonts w:cs="Arial"/>
          <w:b/>
          <w:i/>
          <w:spacing w:val="-3"/>
          <w:sz w:val="24"/>
          <w:szCs w:val="24"/>
          <w:lang w:val="sr-Latn-ME"/>
        </w:rPr>
        <w:t xml:space="preserve"> </w:t>
      </w:r>
      <w:r w:rsidRPr="00F96844">
        <w:rPr>
          <w:rFonts w:cs="Arial"/>
          <w:b/>
          <w:i/>
          <w:sz w:val="24"/>
          <w:szCs w:val="24"/>
          <w:lang w:val="sr-Latn-ME"/>
        </w:rPr>
        <w:t>Vlade</w:t>
      </w:r>
      <w:r w:rsidRPr="00F96844">
        <w:rPr>
          <w:rFonts w:cs="Arial"/>
          <w:b/>
          <w:i/>
          <w:spacing w:val="-3"/>
          <w:sz w:val="24"/>
          <w:szCs w:val="24"/>
          <w:lang w:val="sr-Latn-ME"/>
        </w:rPr>
        <w:t xml:space="preserve"> </w:t>
      </w:r>
      <w:r w:rsidRPr="00F96844">
        <w:rPr>
          <w:rFonts w:cs="Arial"/>
          <w:b/>
          <w:i/>
          <w:sz w:val="24"/>
          <w:szCs w:val="24"/>
          <w:lang w:val="sr-Latn-ME"/>
        </w:rPr>
        <w:t>Crne</w:t>
      </w:r>
      <w:r w:rsidRPr="00F96844">
        <w:rPr>
          <w:rFonts w:cs="Arial"/>
          <w:b/>
          <w:i/>
          <w:spacing w:val="-3"/>
          <w:sz w:val="24"/>
          <w:szCs w:val="24"/>
          <w:lang w:val="sr-Latn-ME"/>
        </w:rPr>
        <w:t xml:space="preserve"> </w:t>
      </w:r>
      <w:r w:rsidRPr="00F96844">
        <w:rPr>
          <w:rFonts w:cs="Arial"/>
          <w:b/>
          <w:i/>
          <w:sz w:val="24"/>
          <w:szCs w:val="24"/>
          <w:lang w:val="sr-Latn-ME"/>
        </w:rPr>
        <w:t>Gore</w:t>
      </w:r>
      <w:r w:rsidRPr="00F96844">
        <w:rPr>
          <w:rFonts w:cs="Arial"/>
          <w:b/>
          <w:i/>
          <w:spacing w:val="-3"/>
          <w:sz w:val="24"/>
          <w:szCs w:val="24"/>
          <w:lang w:val="sr-Latn-ME"/>
        </w:rPr>
        <w:t xml:space="preserve"> </w:t>
      </w:r>
      <w:r w:rsidRPr="00F96844">
        <w:rPr>
          <w:rFonts w:cs="Arial"/>
          <w:b/>
          <w:i/>
          <w:sz w:val="24"/>
          <w:szCs w:val="24"/>
          <w:lang w:val="sr-Latn-ME"/>
        </w:rPr>
        <w:t>2024</w:t>
      </w:r>
      <w:r w:rsidR="00F00325" w:rsidRPr="00F96844">
        <w:rPr>
          <w:rFonts w:cs="Arial"/>
          <w:b/>
          <w:i/>
          <w:sz w:val="24"/>
          <w:szCs w:val="24"/>
          <w:lang w:val="sr-Latn-ME"/>
        </w:rPr>
        <w:t>–</w:t>
      </w:r>
      <w:r w:rsidRPr="00F96844">
        <w:rPr>
          <w:rFonts w:cs="Arial"/>
          <w:b/>
          <w:i/>
          <w:sz w:val="24"/>
          <w:szCs w:val="24"/>
          <w:lang w:val="sr-Latn-ME"/>
        </w:rPr>
        <w:t>2027</w:t>
      </w:r>
      <w:r w:rsidR="00F00325" w:rsidRPr="00F96844">
        <w:rPr>
          <w:rFonts w:cs="Arial"/>
          <w:b/>
          <w:i/>
          <w:sz w:val="24"/>
          <w:szCs w:val="24"/>
          <w:lang w:val="sr-Latn-ME"/>
        </w:rPr>
        <w:t>.</w:t>
      </w:r>
      <w:r w:rsidRPr="00F96844">
        <w:rPr>
          <w:rFonts w:cs="Arial"/>
          <w:b/>
          <w:i/>
          <w:spacing w:val="-4"/>
          <w:sz w:val="24"/>
          <w:szCs w:val="24"/>
          <w:lang w:val="sr-Latn-ME"/>
        </w:rPr>
        <w:t xml:space="preserve"> </w:t>
      </w:r>
      <w:r w:rsidRPr="00F96844">
        <w:rPr>
          <w:rFonts w:cs="Arial"/>
          <w:b/>
          <w:i/>
          <w:sz w:val="24"/>
          <w:szCs w:val="24"/>
          <w:lang w:val="sr-Latn-ME"/>
        </w:rPr>
        <w:t>(SPRV)</w:t>
      </w:r>
    </w:p>
    <w:p w14:paraId="706A6DCC" w14:textId="77777777" w:rsidR="00A64A0A" w:rsidRPr="00F96844" w:rsidRDefault="00A64A0A" w:rsidP="00780738">
      <w:pPr>
        <w:jc w:val="both"/>
        <w:rPr>
          <w:rFonts w:cs="Arial"/>
          <w:b/>
          <w:i/>
          <w:sz w:val="24"/>
          <w:szCs w:val="24"/>
          <w:lang w:val="sr-Latn-ME"/>
        </w:rPr>
      </w:pPr>
    </w:p>
    <w:p w14:paraId="3E032578" w14:textId="77777777" w:rsidR="00BD4E88" w:rsidRDefault="00D614D1" w:rsidP="00BD4E88">
      <w:pPr>
        <w:jc w:val="both"/>
        <w:rPr>
          <w:rFonts w:cs="Arial"/>
          <w:sz w:val="24"/>
          <w:szCs w:val="24"/>
          <w:lang w:val="sr-Latn-ME"/>
        </w:rPr>
      </w:pPr>
      <w:r w:rsidRPr="00F96844">
        <w:rPr>
          <w:rFonts w:cs="Arial"/>
          <w:sz w:val="24"/>
          <w:szCs w:val="24"/>
          <w:lang w:val="sr-Latn-ME"/>
        </w:rPr>
        <w:t>Razvoj</w:t>
      </w:r>
      <w:r w:rsidRPr="00F96844">
        <w:rPr>
          <w:rFonts w:cs="Arial"/>
          <w:spacing w:val="-7"/>
          <w:sz w:val="24"/>
          <w:szCs w:val="24"/>
          <w:lang w:val="sr-Latn-ME"/>
        </w:rPr>
        <w:t xml:space="preserve"> </w:t>
      </w:r>
      <w:r w:rsidRPr="00F96844">
        <w:rPr>
          <w:rFonts w:cs="Arial"/>
          <w:sz w:val="24"/>
          <w:szCs w:val="24"/>
          <w:lang w:val="sr-Latn-ME"/>
        </w:rPr>
        <w:t>strateškog</w:t>
      </w:r>
      <w:r w:rsidRPr="00F96844">
        <w:rPr>
          <w:rFonts w:cs="Arial"/>
          <w:spacing w:val="-6"/>
          <w:sz w:val="24"/>
          <w:szCs w:val="24"/>
          <w:lang w:val="sr-Latn-ME"/>
        </w:rPr>
        <w:t xml:space="preserve"> </w:t>
      </w:r>
      <w:r w:rsidRPr="00F96844">
        <w:rPr>
          <w:rFonts w:cs="Arial"/>
          <w:sz w:val="24"/>
          <w:szCs w:val="24"/>
          <w:lang w:val="sr-Latn-ME"/>
        </w:rPr>
        <w:t>dokumenta</w:t>
      </w:r>
      <w:r w:rsidRPr="00F96844">
        <w:rPr>
          <w:rFonts w:cs="Arial"/>
          <w:spacing w:val="-4"/>
          <w:sz w:val="24"/>
          <w:szCs w:val="24"/>
          <w:lang w:val="sr-Latn-ME"/>
        </w:rPr>
        <w:t xml:space="preserve"> </w:t>
      </w:r>
      <w:r w:rsidRPr="00F96844">
        <w:rPr>
          <w:rFonts w:cs="Arial"/>
          <w:sz w:val="24"/>
          <w:szCs w:val="24"/>
          <w:lang w:val="sr-Latn-ME"/>
        </w:rPr>
        <w:t>je</w:t>
      </w:r>
      <w:r w:rsidRPr="00F96844">
        <w:rPr>
          <w:rFonts w:cs="Arial"/>
          <w:spacing w:val="-5"/>
          <w:sz w:val="24"/>
          <w:szCs w:val="24"/>
          <w:lang w:val="sr-Latn-ME"/>
        </w:rPr>
        <w:t xml:space="preserve"> </w:t>
      </w:r>
      <w:r w:rsidRPr="00F96844">
        <w:rPr>
          <w:rFonts w:cs="Arial"/>
          <w:sz w:val="24"/>
          <w:szCs w:val="24"/>
          <w:lang w:val="sr-Latn-ME"/>
        </w:rPr>
        <w:t>u</w:t>
      </w:r>
      <w:r w:rsidRPr="00F96844">
        <w:rPr>
          <w:rFonts w:cs="Arial"/>
          <w:spacing w:val="-5"/>
          <w:sz w:val="24"/>
          <w:szCs w:val="24"/>
          <w:lang w:val="sr-Latn-ME"/>
        </w:rPr>
        <w:t xml:space="preserve"> </w:t>
      </w:r>
      <w:r w:rsidRPr="00F96844">
        <w:rPr>
          <w:rFonts w:cs="Arial"/>
          <w:sz w:val="24"/>
          <w:szCs w:val="24"/>
          <w:lang w:val="sr-Latn-ME"/>
        </w:rPr>
        <w:t>potpunosti</w:t>
      </w:r>
      <w:r w:rsidRPr="00F96844">
        <w:rPr>
          <w:rFonts w:cs="Arial"/>
          <w:spacing w:val="-3"/>
          <w:sz w:val="24"/>
          <w:szCs w:val="24"/>
          <w:lang w:val="sr-Latn-ME"/>
        </w:rPr>
        <w:t xml:space="preserve"> </w:t>
      </w:r>
      <w:r w:rsidR="00562B23" w:rsidRPr="00F96844">
        <w:rPr>
          <w:rFonts w:cs="Arial"/>
          <w:sz w:val="24"/>
          <w:szCs w:val="24"/>
          <w:lang w:val="sr-Latn-ME"/>
        </w:rPr>
        <w:t>usmjeren ka ostvarenju</w:t>
      </w:r>
      <w:r w:rsidRPr="00F96844">
        <w:rPr>
          <w:rFonts w:cs="Arial"/>
          <w:spacing w:val="-6"/>
          <w:sz w:val="24"/>
          <w:szCs w:val="24"/>
          <w:lang w:val="sr-Latn-ME"/>
        </w:rPr>
        <w:t xml:space="preserve"> </w:t>
      </w:r>
      <w:r w:rsidRPr="00F96844">
        <w:rPr>
          <w:rFonts w:cs="Arial"/>
          <w:sz w:val="24"/>
          <w:szCs w:val="24"/>
          <w:lang w:val="sr-Latn-ME"/>
        </w:rPr>
        <w:t xml:space="preserve">cilja 18: </w:t>
      </w:r>
      <w:r w:rsidRPr="00F96844">
        <w:rPr>
          <w:rFonts w:cs="Arial"/>
          <w:i/>
          <w:sz w:val="24"/>
          <w:szCs w:val="24"/>
          <w:lang w:val="sr-Latn-ME"/>
        </w:rPr>
        <w:t>Solidarno društvo za dostojanstven život i jednake šanse</w:t>
      </w:r>
      <w:r w:rsidRPr="00F96844">
        <w:rPr>
          <w:rFonts w:cs="Arial"/>
          <w:spacing w:val="1"/>
          <w:sz w:val="24"/>
          <w:szCs w:val="24"/>
          <w:lang w:val="sr-Latn-ME"/>
        </w:rPr>
        <w:t xml:space="preserve"> </w:t>
      </w:r>
      <w:r w:rsidRPr="00F96844">
        <w:rPr>
          <w:rFonts w:cs="Arial"/>
          <w:sz w:val="24"/>
          <w:szCs w:val="24"/>
          <w:lang w:val="sr-Latn-ME"/>
        </w:rPr>
        <w:t>iz</w:t>
      </w:r>
      <w:r w:rsidRPr="00F96844">
        <w:rPr>
          <w:rFonts w:cs="Arial"/>
          <w:spacing w:val="-2"/>
          <w:sz w:val="24"/>
          <w:szCs w:val="24"/>
          <w:lang w:val="sr-Latn-ME"/>
        </w:rPr>
        <w:t xml:space="preserve"> </w:t>
      </w:r>
      <w:r w:rsidRPr="00F96844">
        <w:rPr>
          <w:rFonts w:cs="Arial"/>
          <w:sz w:val="24"/>
          <w:szCs w:val="24"/>
          <w:lang w:val="sr-Latn-ME"/>
        </w:rPr>
        <w:t xml:space="preserve">SPRV. Kao indikator navedenog cilja planirano je da se stepen uključenosti radno sposobnih </w:t>
      </w:r>
      <w:r w:rsidR="00EB2F1D">
        <w:rPr>
          <w:rFonts w:cs="Arial"/>
          <w:sz w:val="24"/>
          <w:szCs w:val="24"/>
          <w:lang w:val="sr-Latn-ME"/>
        </w:rPr>
        <w:t>korisnika/korisnica</w:t>
      </w:r>
      <w:r w:rsidRPr="00F96844">
        <w:rPr>
          <w:rFonts w:cs="Arial"/>
          <w:sz w:val="24"/>
          <w:szCs w:val="24"/>
          <w:lang w:val="sr-Latn-ME"/>
        </w:rPr>
        <w:t xml:space="preserve"> materijalnog obezbjeđenja na tržište rada</w:t>
      </w:r>
      <w:r w:rsidR="004C5D23">
        <w:rPr>
          <w:rFonts w:cs="Arial"/>
          <w:sz w:val="24"/>
          <w:szCs w:val="24"/>
          <w:lang w:val="sr-Latn-ME"/>
        </w:rPr>
        <w:t xml:space="preserve"> s p</w:t>
      </w:r>
      <w:r w:rsidRPr="00F96844">
        <w:rPr>
          <w:rFonts w:cs="Arial"/>
          <w:sz w:val="24"/>
          <w:szCs w:val="24"/>
          <w:lang w:val="sr-Latn-ME"/>
        </w:rPr>
        <w:t>očetnih 7.000 do 2027. godine poveća na 7200; broj hraniteljskih porodica s 350 do 2027. godine poveća za 15%; broj pružalaca standardne usluge porodični smještaj s 35 do 2027. godine poveća za 15%; broj pružalaca usluga socijalne i dječje zaštite za žrtve rodno zasnovanog nasilja s 13 do 2027. godine poveća za 15%; broj pružalaca usluga podrške za život u zajednici za osobe</w:t>
      </w:r>
      <w:r w:rsidR="00867803">
        <w:rPr>
          <w:rFonts w:cs="Arial"/>
          <w:sz w:val="24"/>
          <w:szCs w:val="24"/>
          <w:lang w:val="sr-Latn-ME"/>
        </w:rPr>
        <w:t xml:space="preserve"> s i</w:t>
      </w:r>
      <w:r w:rsidRPr="00F96844">
        <w:rPr>
          <w:rFonts w:cs="Arial"/>
          <w:sz w:val="24"/>
          <w:szCs w:val="24"/>
          <w:lang w:val="sr-Latn-ME"/>
        </w:rPr>
        <w:t xml:space="preserve">nvaliditetom i </w:t>
      </w:r>
      <w:r w:rsidRPr="00F96844">
        <w:rPr>
          <w:rFonts w:cs="Arial"/>
          <w:sz w:val="24"/>
          <w:szCs w:val="24"/>
          <w:lang w:val="sr-Latn-ME"/>
        </w:rPr>
        <w:lastRenderedPageBreak/>
        <w:t>djecu sa smetnjama u razvoju s 45 do 2027. godine poveća za 15%</w:t>
      </w:r>
      <w:r w:rsidR="00A21214" w:rsidRPr="00F96844">
        <w:rPr>
          <w:rStyle w:val="FootnoteReference"/>
          <w:rFonts w:cs="Arial"/>
          <w:sz w:val="24"/>
          <w:szCs w:val="24"/>
          <w:lang w:val="sr-Latn-ME"/>
        </w:rPr>
        <w:footnoteReference w:id="2"/>
      </w:r>
      <w:r w:rsidRPr="00F96844">
        <w:rPr>
          <w:rFonts w:cs="Arial"/>
          <w:sz w:val="24"/>
          <w:szCs w:val="24"/>
          <w:lang w:val="sr-Latn-ME"/>
        </w:rPr>
        <w:t xml:space="preserve">. </w:t>
      </w:r>
      <w:bookmarkStart w:id="43" w:name="_Hlk171509588"/>
      <w:r w:rsidR="002E316E">
        <w:rPr>
          <w:spacing w:val="1"/>
          <w:sz w:val="24"/>
          <w:szCs w:val="24"/>
          <w:lang w:val="sr-Latn-ME"/>
        </w:rPr>
        <w:t xml:space="preserve">U vezi sa ovim ciljem sprovodiće se aktivnosti </w:t>
      </w:r>
      <w:r w:rsidR="002E316E">
        <w:rPr>
          <w:sz w:val="24"/>
          <w:szCs w:val="24"/>
          <w:lang w:val="sr-Latn-ME"/>
        </w:rPr>
        <w:t>na daljoj reformi sistema socijalne i dječje zaštite, prilikom čega će se povećati inkluzija svih ranjivih kategorija našeg društva i povećati dostupnost usluga, u najmanje restriktivnom okruženju, dok će se sa druge strane, reformom sistema vještačenja invaliditeta omogućiti prelazak sa medicinskog modela na model ljudskih prava, u skladu sa UN Konvencijom o pravima osoba sa invaliditetom</w:t>
      </w:r>
      <w:r w:rsidR="00A21214" w:rsidRPr="00F96844">
        <w:rPr>
          <w:rStyle w:val="FootnoteReference"/>
          <w:rFonts w:cs="Arial"/>
          <w:sz w:val="24"/>
          <w:szCs w:val="24"/>
          <w:lang w:val="sr-Latn-ME"/>
        </w:rPr>
        <w:footnoteReference w:id="3"/>
      </w:r>
      <w:r w:rsidRPr="00F96844">
        <w:rPr>
          <w:rFonts w:cs="Arial"/>
          <w:sz w:val="24"/>
          <w:szCs w:val="24"/>
          <w:lang w:val="sr-Latn-ME"/>
        </w:rPr>
        <w:t xml:space="preserve">. </w:t>
      </w:r>
    </w:p>
    <w:p w14:paraId="19C137E6" w14:textId="758926E5" w:rsidR="003C0120" w:rsidRPr="003C0120" w:rsidRDefault="003C0120" w:rsidP="003C0120">
      <w:pPr>
        <w:pStyle w:val="CommentText"/>
        <w:jc w:val="both"/>
        <w:rPr>
          <w:rFonts w:cs="Arial"/>
          <w:sz w:val="24"/>
          <w:szCs w:val="24"/>
        </w:rPr>
      </w:pPr>
      <w:bookmarkStart w:id="44" w:name="_Hlk171509964"/>
      <w:r w:rsidRPr="003C0120">
        <w:rPr>
          <w:rFonts w:cs="Arial"/>
          <w:sz w:val="24"/>
          <w:szCs w:val="24"/>
        </w:rPr>
        <w:t>Na osnovu prikupljenih podataka vršiće se dodatna analiza potreba muškaraca i žena sa invaliditetom, kako bismo imali pouzdane podatke kako reforma i razvoj usluga ima stvaran uticaj na život građana/</w:t>
      </w:r>
      <w:r w:rsidR="00FC6E96">
        <w:rPr>
          <w:rFonts w:cs="Arial"/>
          <w:sz w:val="24"/>
          <w:szCs w:val="24"/>
        </w:rPr>
        <w:t>građanki</w:t>
      </w:r>
      <w:r w:rsidRPr="003C0120">
        <w:rPr>
          <w:rFonts w:cs="Arial"/>
          <w:sz w:val="24"/>
          <w:szCs w:val="24"/>
        </w:rPr>
        <w:t xml:space="preserve"> Crne Gore”</w:t>
      </w:r>
    </w:p>
    <w:bookmarkEnd w:id="44"/>
    <w:p w14:paraId="248A3B16" w14:textId="77777777" w:rsidR="003C0120" w:rsidRDefault="003C0120" w:rsidP="003C0120">
      <w:pPr>
        <w:pStyle w:val="BodyText"/>
        <w:tabs>
          <w:tab w:val="left" w:pos="9229"/>
        </w:tabs>
        <w:jc w:val="both"/>
      </w:pPr>
    </w:p>
    <w:p w14:paraId="66098E3C" w14:textId="77777777" w:rsidR="003C0120" w:rsidRPr="00BD4E88" w:rsidRDefault="003C0120" w:rsidP="00BD4E88">
      <w:pPr>
        <w:jc w:val="both"/>
        <w:rPr>
          <w:rFonts w:ascii="Times New Roman" w:hAnsi="Times New Roman"/>
          <w:color w:val="FF0000"/>
          <w:sz w:val="24"/>
          <w:szCs w:val="24"/>
          <w:lang w:val="sr-Latn-ME"/>
        </w:rPr>
      </w:pPr>
    </w:p>
    <w:bookmarkEnd w:id="43"/>
    <w:p w14:paraId="17A28C6F" w14:textId="77777777" w:rsidR="00D614D1" w:rsidRPr="00F96844" w:rsidRDefault="00D614D1" w:rsidP="00780738">
      <w:pPr>
        <w:jc w:val="both"/>
        <w:rPr>
          <w:rFonts w:cs="Arial"/>
          <w:sz w:val="24"/>
          <w:szCs w:val="24"/>
          <w:lang w:val="sr-Latn-ME"/>
        </w:rPr>
      </w:pPr>
    </w:p>
    <w:p w14:paraId="51F242BC" w14:textId="77777777" w:rsidR="00F00325" w:rsidRPr="00F96844" w:rsidRDefault="00F00325" w:rsidP="00780738">
      <w:pPr>
        <w:jc w:val="both"/>
        <w:rPr>
          <w:rFonts w:eastAsia="Times New Roman" w:cs="Arial"/>
          <w:b/>
          <w:i/>
          <w:color w:val="000000" w:themeColor="text1"/>
          <w:sz w:val="24"/>
          <w:szCs w:val="24"/>
          <w:lang w:val="sr-Latn-ME"/>
        </w:rPr>
      </w:pPr>
    </w:p>
    <w:p w14:paraId="55F6F9EA" w14:textId="77777777" w:rsidR="00D614D1" w:rsidRPr="00F96844" w:rsidRDefault="00D614D1" w:rsidP="00780738">
      <w:pPr>
        <w:jc w:val="both"/>
        <w:rPr>
          <w:rFonts w:eastAsia="Times New Roman" w:cs="Arial"/>
          <w:b/>
          <w:i/>
          <w:color w:val="000000" w:themeColor="text1"/>
          <w:sz w:val="24"/>
          <w:szCs w:val="24"/>
          <w:lang w:val="sr-Latn-ME"/>
        </w:rPr>
      </w:pPr>
      <w:r w:rsidRPr="00F96844">
        <w:rPr>
          <w:rFonts w:eastAsia="Times New Roman" w:cs="Arial"/>
          <w:b/>
          <w:i/>
          <w:color w:val="000000" w:themeColor="text1"/>
          <w:sz w:val="24"/>
          <w:szCs w:val="24"/>
          <w:lang w:val="sr-Latn-ME"/>
        </w:rPr>
        <w:t>Nacionalna strategija održivog razvoja do 2030. godine (NSOR)</w:t>
      </w:r>
    </w:p>
    <w:p w14:paraId="7EDE7B1E" w14:textId="77777777" w:rsidR="00A64A0A" w:rsidRPr="00F96844" w:rsidRDefault="00A64A0A" w:rsidP="00780738">
      <w:pPr>
        <w:jc w:val="both"/>
        <w:rPr>
          <w:rFonts w:eastAsia="Times New Roman" w:cs="Arial"/>
          <w:b/>
          <w:i/>
          <w:color w:val="000000" w:themeColor="text1"/>
          <w:sz w:val="24"/>
          <w:szCs w:val="24"/>
          <w:lang w:val="sr-Latn-ME"/>
        </w:rPr>
      </w:pPr>
    </w:p>
    <w:p w14:paraId="38262A6E" w14:textId="77777777" w:rsidR="00D614D1" w:rsidRPr="00F96844" w:rsidRDefault="00D614D1" w:rsidP="00780738">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Pri izradi Strategije poštovan je princip usklađenosti ovog dokumenta</w:t>
      </w:r>
      <w:r w:rsidR="004C5D23">
        <w:rPr>
          <w:rFonts w:eastAsia="Times New Roman" w:cs="Arial"/>
          <w:color w:val="000000" w:themeColor="text1"/>
          <w:sz w:val="24"/>
          <w:szCs w:val="24"/>
          <w:lang w:val="sr-Latn-ME"/>
        </w:rPr>
        <w:t xml:space="preserve"> s o</w:t>
      </w:r>
      <w:r w:rsidRPr="00F96844">
        <w:rPr>
          <w:rFonts w:eastAsia="Times New Roman" w:cs="Arial"/>
          <w:color w:val="000000" w:themeColor="text1"/>
          <w:sz w:val="24"/>
          <w:szCs w:val="24"/>
          <w:lang w:val="sr-Latn-ME"/>
        </w:rPr>
        <w:t>bavezama koje proističu iz krovnog strateškog dokumenta Crne Gore – Nacionalne strategije održivog razvoja do 2030. godine (NSOR). NSOR identifikuje da sistem pružanja zdravstvenih, socijalnih i obrazovnih usluga djeci s posebnim obrazovnim potrebama nije podjednako razvijen niti ujednačen po opštinama</w:t>
      </w:r>
      <w:r w:rsidR="00A21214" w:rsidRPr="00F96844">
        <w:rPr>
          <w:rStyle w:val="FootnoteReference"/>
          <w:rFonts w:eastAsia="Times New Roman" w:cs="Arial"/>
          <w:color w:val="000000" w:themeColor="text1"/>
          <w:sz w:val="24"/>
          <w:szCs w:val="24"/>
          <w:lang w:val="sr-Latn-ME"/>
        </w:rPr>
        <w:footnoteReference w:id="4"/>
      </w:r>
      <w:r w:rsidRPr="00F96844">
        <w:rPr>
          <w:rFonts w:eastAsia="Times New Roman" w:cs="Arial"/>
          <w:color w:val="000000" w:themeColor="text1"/>
          <w:sz w:val="24"/>
          <w:szCs w:val="24"/>
          <w:lang w:val="sr-Latn-ME"/>
        </w:rPr>
        <w:t xml:space="preserve"> i da socijalne ustanove ne raspolažu dovoljnim sredstvima za realizaciju aktivnosti usklađenih sa standardima, uz ocjenu da postojeći sistem socijalne i d</w:t>
      </w:r>
      <w:r w:rsidR="00EB2F1D">
        <w:rPr>
          <w:rFonts w:eastAsia="Times New Roman" w:cs="Arial"/>
          <w:color w:val="000000" w:themeColor="text1"/>
          <w:sz w:val="24"/>
          <w:szCs w:val="24"/>
          <w:lang w:val="sr-Latn-ME"/>
        </w:rPr>
        <w:t>ječj</w:t>
      </w:r>
      <w:r w:rsidRPr="00F96844">
        <w:rPr>
          <w:rFonts w:eastAsia="Times New Roman" w:cs="Arial"/>
          <w:color w:val="000000" w:themeColor="text1"/>
          <w:sz w:val="24"/>
          <w:szCs w:val="24"/>
          <w:lang w:val="sr-Latn-ME"/>
        </w:rPr>
        <w:t xml:space="preserve">e zaštite ne zadovoljava u dovoljnoj mjeri strukturne potrebe ranjivih kategorija stanovništva. Uz to, </w:t>
      </w:r>
      <w:r w:rsidR="00B17F9D">
        <w:rPr>
          <w:rFonts w:eastAsia="Times New Roman" w:cs="Arial"/>
          <w:color w:val="000000" w:themeColor="text1"/>
          <w:sz w:val="24"/>
          <w:szCs w:val="24"/>
          <w:lang w:val="sr-Latn-ME"/>
        </w:rPr>
        <w:t xml:space="preserve">ocijenjeno je da </w:t>
      </w:r>
      <w:r w:rsidRPr="00F96844">
        <w:rPr>
          <w:rFonts w:eastAsia="Times New Roman" w:cs="Arial"/>
          <w:color w:val="000000" w:themeColor="text1"/>
          <w:sz w:val="24"/>
          <w:szCs w:val="24"/>
          <w:lang w:val="sr-Latn-ME"/>
        </w:rPr>
        <w:t xml:space="preserve">sistem nije fleksibilan i </w:t>
      </w:r>
      <w:r w:rsidR="00B17F9D">
        <w:rPr>
          <w:rFonts w:eastAsia="Times New Roman" w:cs="Arial"/>
          <w:color w:val="000000" w:themeColor="text1"/>
          <w:sz w:val="24"/>
          <w:szCs w:val="24"/>
          <w:lang w:val="sr-Latn-ME"/>
        </w:rPr>
        <w:t xml:space="preserve">da </w:t>
      </w:r>
      <w:r w:rsidRPr="00F96844">
        <w:rPr>
          <w:rFonts w:eastAsia="Times New Roman" w:cs="Arial"/>
          <w:color w:val="000000" w:themeColor="text1"/>
          <w:sz w:val="24"/>
          <w:szCs w:val="24"/>
          <w:lang w:val="sr-Latn-ME"/>
        </w:rPr>
        <w:t>nije dovoljno prilagođen savremenim potrebama, kao i</w:t>
      </w:r>
      <w:r w:rsidR="00E25B9C" w:rsidRPr="00F96844">
        <w:rPr>
          <w:rFonts w:eastAsia="Times New Roman" w:cs="Arial"/>
          <w:color w:val="000000" w:themeColor="text1"/>
          <w:sz w:val="24"/>
          <w:szCs w:val="24"/>
          <w:lang w:val="sr-Latn-ME"/>
        </w:rPr>
        <w:t xml:space="preserve"> </w:t>
      </w:r>
      <w:r w:rsidRPr="00F96844">
        <w:rPr>
          <w:rFonts w:eastAsia="Times New Roman" w:cs="Arial"/>
          <w:color w:val="000000" w:themeColor="text1"/>
          <w:sz w:val="24"/>
          <w:szCs w:val="24"/>
          <w:lang w:val="sr-Latn-ME"/>
        </w:rPr>
        <w:t>da centralizovani sistem socijalne i d</w:t>
      </w:r>
      <w:r w:rsidR="00EB2F1D">
        <w:rPr>
          <w:rFonts w:eastAsia="Times New Roman" w:cs="Arial"/>
          <w:color w:val="000000" w:themeColor="text1"/>
          <w:sz w:val="24"/>
          <w:szCs w:val="24"/>
          <w:lang w:val="sr-Latn-ME"/>
        </w:rPr>
        <w:t>ječj</w:t>
      </w:r>
      <w:r w:rsidRPr="00F96844">
        <w:rPr>
          <w:rFonts w:eastAsia="Times New Roman" w:cs="Arial"/>
          <w:color w:val="000000" w:themeColor="text1"/>
          <w:sz w:val="24"/>
          <w:szCs w:val="24"/>
          <w:lang w:val="sr-Latn-ME"/>
        </w:rPr>
        <w:t>e zaštite povlači problem prepoznavanja specifičnosti socijalnih pitanja na lokalnom nivou</w:t>
      </w:r>
      <w:r w:rsidR="00A21214" w:rsidRPr="00F96844">
        <w:rPr>
          <w:rStyle w:val="FootnoteReference"/>
          <w:rFonts w:eastAsia="Times New Roman" w:cs="Arial"/>
          <w:color w:val="000000" w:themeColor="text1"/>
          <w:sz w:val="24"/>
          <w:szCs w:val="24"/>
          <w:lang w:val="sr-Latn-ME"/>
        </w:rPr>
        <w:footnoteReference w:id="5"/>
      </w:r>
      <w:r w:rsidRPr="00F96844">
        <w:rPr>
          <w:rFonts w:eastAsia="Times New Roman" w:cs="Arial"/>
          <w:color w:val="000000" w:themeColor="text1"/>
          <w:sz w:val="24"/>
          <w:szCs w:val="24"/>
          <w:lang w:val="sr-Latn-ME"/>
        </w:rPr>
        <w:t>.</w:t>
      </w:r>
    </w:p>
    <w:p w14:paraId="2B36939B" w14:textId="77777777" w:rsidR="00D614D1" w:rsidRPr="00F96844" w:rsidRDefault="00D614D1" w:rsidP="005114FD">
      <w:pPr>
        <w:jc w:val="both"/>
        <w:rPr>
          <w:rFonts w:eastAsia="Times New Roman" w:cs="Arial"/>
          <w:color w:val="000000" w:themeColor="text1"/>
          <w:sz w:val="24"/>
          <w:szCs w:val="24"/>
          <w:lang w:val="sr-Latn-ME"/>
        </w:rPr>
      </w:pPr>
    </w:p>
    <w:tbl>
      <w:tblPr>
        <w:tblStyle w:val="TableGrid"/>
        <w:tblW w:w="9715" w:type="dxa"/>
        <w:jc w:val="center"/>
        <w:tblLook w:val="04A0" w:firstRow="1" w:lastRow="0" w:firstColumn="1" w:lastColumn="0" w:noHBand="0" w:noVBand="1"/>
      </w:tblPr>
      <w:tblGrid>
        <w:gridCol w:w="3865"/>
        <w:gridCol w:w="5850"/>
      </w:tblGrid>
      <w:tr w:rsidR="00250122" w:rsidRPr="00F96844" w14:paraId="561BCF40" w14:textId="77777777" w:rsidTr="00EF75C0">
        <w:trPr>
          <w:trHeight w:val="530"/>
          <w:jc w:val="center"/>
        </w:trPr>
        <w:tc>
          <w:tcPr>
            <w:tcW w:w="3865" w:type="dxa"/>
            <w:shd w:val="clear" w:color="auto" w:fill="B4C6E7" w:themeFill="accent1" w:themeFillTint="66"/>
            <w:vAlign w:val="center"/>
          </w:tcPr>
          <w:p w14:paraId="67C96C62" w14:textId="77777777" w:rsidR="00250122" w:rsidRPr="00F96844" w:rsidRDefault="00250122" w:rsidP="0065216B">
            <w:pPr>
              <w:jc w:val="center"/>
              <w:rPr>
                <w:rFonts w:cs="Arial"/>
                <w:b/>
                <w:sz w:val="24"/>
                <w:szCs w:val="24"/>
                <w:lang w:val="sr-Latn-ME"/>
              </w:rPr>
            </w:pPr>
            <w:r w:rsidRPr="00F96844">
              <w:rPr>
                <w:rFonts w:cs="Arial"/>
                <w:b/>
                <w:sz w:val="24"/>
                <w:szCs w:val="24"/>
                <w:lang w:val="sr-Latn-ME"/>
              </w:rPr>
              <w:t>Mjere u NSOR</w:t>
            </w:r>
          </w:p>
        </w:tc>
        <w:tc>
          <w:tcPr>
            <w:tcW w:w="5850" w:type="dxa"/>
            <w:shd w:val="clear" w:color="auto" w:fill="B4C6E7" w:themeFill="accent1" w:themeFillTint="66"/>
            <w:vAlign w:val="center"/>
          </w:tcPr>
          <w:p w14:paraId="354FEBF4" w14:textId="77777777" w:rsidR="00250122" w:rsidRPr="00F96844" w:rsidRDefault="00250122" w:rsidP="0065216B">
            <w:pPr>
              <w:jc w:val="center"/>
              <w:rPr>
                <w:rFonts w:cs="Arial"/>
                <w:b/>
                <w:sz w:val="24"/>
                <w:szCs w:val="24"/>
                <w:lang w:val="sr-Latn-ME"/>
              </w:rPr>
            </w:pPr>
            <w:r w:rsidRPr="00F96844">
              <w:rPr>
                <w:rFonts w:cs="Arial"/>
                <w:b/>
                <w:sz w:val="24"/>
                <w:szCs w:val="24"/>
                <w:lang w:val="sr-Latn-ME"/>
              </w:rPr>
              <w:t>Podmjere u NSOR</w:t>
            </w:r>
          </w:p>
        </w:tc>
      </w:tr>
      <w:tr w:rsidR="00250122" w:rsidRPr="00F96844" w14:paraId="0E551088" w14:textId="77777777" w:rsidTr="00EF75C0">
        <w:trPr>
          <w:jc w:val="center"/>
        </w:trPr>
        <w:tc>
          <w:tcPr>
            <w:tcW w:w="3865" w:type="dxa"/>
          </w:tcPr>
          <w:p w14:paraId="03EA9B67" w14:textId="77777777" w:rsidR="00250122" w:rsidRPr="00F96844" w:rsidRDefault="00250122" w:rsidP="001A2457">
            <w:pPr>
              <w:numPr>
                <w:ilvl w:val="2"/>
                <w:numId w:val="1"/>
              </w:numPr>
              <w:jc w:val="both"/>
              <w:rPr>
                <w:rFonts w:cs="Arial"/>
                <w:b/>
                <w:sz w:val="24"/>
                <w:szCs w:val="24"/>
                <w:lang w:val="sr-Latn-ME"/>
              </w:rPr>
            </w:pPr>
            <w:r w:rsidRPr="00F96844">
              <w:rPr>
                <w:rFonts w:cs="Arial"/>
                <w:b/>
                <w:sz w:val="24"/>
                <w:szCs w:val="24"/>
                <w:lang w:val="sr-Latn-ME"/>
              </w:rPr>
              <w:t>Spriječiti i ublažiti efekte starenja stanovništva SDG 8 (8.3), 17 (17.4)</w:t>
            </w:r>
          </w:p>
        </w:tc>
        <w:tc>
          <w:tcPr>
            <w:tcW w:w="5850" w:type="dxa"/>
          </w:tcPr>
          <w:p w14:paraId="5A586707"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1.1.1.2 Obezbijediti adekvatan nivo socijalnih davanja za djecu. </w:t>
            </w:r>
          </w:p>
          <w:p w14:paraId="0C75629E"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1.1.1.6 Obezbijediti adekvatan nivo socijalne zaštite za stariju i ugroženu populaciju. </w:t>
            </w:r>
          </w:p>
        </w:tc>
      </w:tr>
      <w:tr w:rsidR="00250122" w:rsidRPr="00F96844" w14:paraId="3EC4BBA3" w14:textId="77777777" w:rsidTr="00EF75C0">
        <w:trPr>
          <w:jc w:val="center"/>
        </w:trPr>
        <w:tc>
          <w:tcPr>
            <w:tcW w:w="3865" w:type="dxa"/>
          </w:tcPr>
          <w:p w14:paraId="7067EFAB" w14:textId="77777777" w:rsidR="00250122" w:rsidRPr="00F96844" w:rsidRDefault="00250122" w:rsidP="005114FD">
            <w:pPr>
              <w:jc w:val="both"/>
              <w:rPr>
                <w:rFonts w:cs="Arial"/>
                <w:sz w:val="24"/>
                <w:szCs w:val="24"/>
                <w:lang w:val="sr-Latn-ME"/>
              </w:rPr>
            </w:pPr>
            <w:r w:rsidRPr="00F96844">
              <w:rPr>
                <w:rFonts w:cs="Arial"/>
                <w:b/>
                <w:sz w:val="24"/>
                <w:szCs w:val="24"/>
                <w:lang w:val="sr-Latn-ME"/>
              </w:rPr>
              <w:t>2.1.1 Obezbijediti preduslove</w:t>
            </w:r>
            <w:r w:rsidR="00E25B9C" w:rsidRPr="00F96844">
              <w:rPr>
                <w:rFonts w:cs="Arial"/>
                <w:b/>
                <w:sz w:val="24"/>
                <w:szCs w:val="24"/>
                <w:lang w:val="sr-Latn-ME"/>
              </w:rPr>
              <w:t xml:space="preserve"> </w:t>
            </w:r>
            <w:r w:rsidRPr="00F96844">
              <w:rPr>
                <w:rFonts w:cs="Arial"/>
                <w:b/>
                <w:sz w:val="24"/>
                <w:szCs w:val="24"/>
                <w:lang w:val="sr-Latn-ME"/>
              </w:rPr>
              <w:t>za zdrav razvoj pojedinca u okviru porodice SDG 3 (3.1, 3.2, 3.7), SDG 5 (5.2, 5.3 and 5.6), SDG 8 (8.7), SDG 16 (16.1, 16.2)</w:t>
            </w:r>
          </w:p>
        </w:tc>
        <w:tc>
          <w:tcPr>
            <w:tcW w:w="5850" w:type="dxa"/>
          </w:tcPr>
          <w:p w14:paraId="5E627126"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2.1.1.1 Obezbijediti uslove za zdravo i održivo zasnivanje porodice SDG 3 (3.1) i 5 (5.6): </w:t>
            </w:r>
          </w:p>
          <w:p w14:paraId="019BACBB" w14:textId="77777777" w:rsidR="00250122" w:rsidRPr="00F96844" w:rsidRDefault="009F661D" w:rsidP="005114FD">
            <w:pPr>
              <w:jc w:val="both"/>
              <w:rPr>
                <w:rFonts w:cs="Arial"/>
                <w:sz w:val="24"/>
                <w:szCs w:val="24"/>
                <w:lang w:val="sr-Latn-ME"/>
              </w:rPr>
            </w:pPr>
            <w:r>
              <w:rPr>
                <w:rFonts w:cs="Arial"/>
                <w:sz w:val="24"/>
                <w:szCs w:val="24"/>
                <w:lang w:val="sr-Latn-ME"/>
              </w:rPr>
              <w:t>‒</w:t>
            </w:r>
            <w:r w:rsidR="00250122" w:rsidRPr="00F96844">
              <w:rPr>
                <w:rFonts w:cs="Arial"/>
                <w:sz w:val="24"/>
                <w:szCs w:val="24"/>
                <w:lang w:val="sr-Latn-ME"/>
              </w:rPr>
              <w:t xml:space="preserve"> razviti sistem obrazovanja o porodici i roditeljstvu prije zasnivanja porodice</w:t>
            </w:r>
            <w:r w:rsidR="0065216B" w:rsidRPr="00F96844">
              <w:rPr>
                <w:rFonts w:cs="Arial"/>
                <w:sz w:val="24"/>
                <w:szCs w:val="24"/>
                <w:lang w:val="sr-Latn-ME"/>
              </w:rPr>
              <w:t>;</w:t>
            </w:r>
          </w:p>
          <w:p w14:paraId="4C3E20F4"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Pr>
                <w:rFonts w:cs="Arial"/>
                <w:sz w:val="24"/>
                <w:szCs w:val="24"/>
                <w:lang w:val="sr-Latn-ME"/>
              </w:rPr>
              <w:t xml:space="preserve"> </w:t>
            </w:r>
            <w:r w:rsidR="00250122" w:rsidRPr="00F96844">
              <w:rPr>
                <w:rFonts w:cs="Arial"/>
                <w:sz w:val="24"/>
                <w:szCs w:val="24"/>
                <w:lang w:val="sr-Latn-ME"/>
              </w:rPr>
              <w:t>razviti efikasan sistem podrške porodicama i roditeljima u vezi sa svim izazovima roditeljstva i porodičnog života</w:t>
            </w:r>
            <w:r w:rsidR="0065216B" w:rsidRPr="00F96844">
              <w:rPr>
                <w:rFonts w:cs="Arial"/>
                <w:sz w:val="24"/>
                <w:szCs w:val="24"/>
                <w:lang w:val="sr-Latn-ME"/>
              </w:rPr>
              <w:t>;</w:t>
            </w:r>
            <w:r w:rsidR="00250122" w:rsidRPr="00F96844">
              <w:rPr>
                <w:rFonts w:cs="Arial"/>
                <w:sz w:val="24"/>
                <w:szCs w:val="24"/>
                <w:lang w:val="sr-Latn-ME"/>
              </w:rPr>
              <w:t xml:space="preserve"> </w:t>
            </w:r>
          </w:p>
          <w:p w14:paraId="06831221" w14:textId="77777777" w:rsidR="00250122" w:rsidRPr="00F96844" w:rsidRDefault="009F661D" w:rsidP="005114FD">
            <w:pPr>
              <w:jc w:val="both"/>
              <w:rPr>
                <w:rFonts w:cs="Arial"/>
                <w:sz w:val="24"/>
                <w:szCs w:val="24"/>
                <w:lang w:val="sr-Latn-ME"/>
              </w:rPr>
            </w:pPr>
            <w:r w:rsidRPr="009F661D">
              <w:rPr>
                <w:rFonts w:cs="Arial"/>
                <w:sz w:val="24"/>
                <w:szCs w:val="24"/>
                <w:lang w:val="sr-Latn-ME"/>
              </w:rPr>
              <w:lastRenderedPageBreak/>
              <w:t>‒</w:t>
            </w:r>
            <w:r w:rsidR="00250122" w:rsidRPr="00F96844">
              <w:rPr>
                <w:rFonts w:cs="Arial"/>
                <w:sz w:val="24"/>
                <w:szCs w:val="24"/>
                <w:lang w:val="sr-Latn-ME"/>
              </w:rPr>
              <w:t xml:space="preserve"> u cilju popravljanja demografske situacije u državi razviti sistem podrške za osnivanje i opstanak mladih porodica kao što su podrška rješavanju stambenog pitanja, olakšice pri podizanju stambenih kredita, olakšice za započinjanje biznisa i sl.</w:t>
            </w:r>
            <w:r w:rsidR="0065216B" w:rsidRPr="00F96844">
              <w:rPr>
                <w:rFonts w:cs="Arial"/>
                <w:sz w:val="24"/>
                <w:szCs w:val="24"/>
                <w:lang w:val="sr-Latn-ME"/>
              </w:rPr>
              <w:t>;</w:t>
            </w:r>
          </w:p>
          <w:p w14:paraId="6D5B20A0"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w:t>
            </w:r>
            <w:r w:rsidR="009F661D" w:rsidRPr="009F661D">
              <w:rPr>
                <w:rFonts w:cs="Arial"/>
                <w:sz w:val="24"/>
                <w:szCs w:val="24"/>
                <w:lang w:val="sr-Latn-ME"/>
              </w:rPr>
              <w:t>‒</w:t>
            </w:r>
            <w:r w:rsidR="009F661D">
              <w:rPr>
                <w:rFonts w:cs="Arial"/>
                <w:sz w:val="24"/>
                <w:szCs w:val="24"/>
                <w:lang w:val="sr-Latn-ME"/>
              </w:rPr>
              <w:t xml:space="preserve"> </w:t>
            </w:r>
            <w:r w:rsidRPr="00F96844">
              <w:rPr>
                <w:rFonts w:cs="Arial"/>
                <w:sz w:val="24"/>
                <w:szCs w:val="24"/>
                <w:lang w:val="sr-Latn-ME"/>
              </w:rPr>
              <w:t xml:space="preserve">obezbijediti univerzalan pristup uslugama seksualnog i reproduktivnog zdravlja, uključujući planiranje porodice, informisanje i edukaciju, kao i integrisanje reproduktivnog zdravlja u nacionalne strategije i programe, SDG 3 (3.7), 5 (5.6). </w:t>
            </w:r>
          </w:p>
          <w:p w14:paraId="5BFF9382" w14:textId="77777777" w:rsidR="00250122" w:rsidRPr="00F96844" w:rsidRDefault="00250122" w:rsidP="005114FD">
            <w:pPr>
              <w:jc w:val="both"/>
              <w:rPr>
                <w:rFonts w:cs="Arial"/>
                <w:sz w:val="24"/>
                <w:szCs w:val="24"/>
                <w:lang w:val="sr-Latn-ME"/>
              </w:rPr>
            </w:pPr>
            <w:r w:rsidRPr="00F96844">
              <w:rPr>
                <w:rFonts w:cs="Arial"/>
                <w:sz w:val="24"/>
                <w:szCs w:val="24"/>
                <w:lang w:val="sr-Latn-ME"/>
              </w:rPr>
              <w:t>2.1.1.2 Edukovati populaciju o alternativnim oblicima porodice (npr. jednočlana porodica, porodica sa samohranim roditeljem, partnerstvo bez braka, hraniteljska porodica i sl.)</w:t>
            </w:r>
            <w:r w:rsidR="00FD5566" w:rsidRPr="00F96844">
              <w:rPr>
                <w:rFonts w:cs="Arial"/>
                <w:sz w:val="24"/>
                <w:szCs w:val="24"/>
                <w:lang w:val="sr-Latn-ME"/>
              </w:rPr>
              <w:t>;</w:t>
            </w:r>
            <w:r w:rsidRPr="00F96844">
              <w:rPr>
                <w:rFonts w:cs="Arial"/>
                <w:sz w:val="24"/>
                <w:szCs w:val="24"/>
                <w:lang w:val="sr-Latn-ME"/>
              </w:rPr>
              <w:t xml:space="preserve"> </w:t>
            </w:r>
          </w:p>
          <w:p w14:paraId="76CAC5F4"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razvijati i promovisati sistem hraniteljstva</w:t>
            </w:r>
            <w:r w:rsidR="00FD5566" w:rsidRPr="00F96844">
              <w:rPr>
                <w:rFonts w:cs="Arial"/>
                <w:sz w:val="24"/>
                <w:szCs w:val="24"/>
                <w:lang w:val="sr-Latn-ME"/>
              </w:rPr>
              <w:t>;</w:t>
            </w:r>
          </w:p>
          <w:p w14:paraId="5C1918C6"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razviti efikasan sistem podrške djeci sa smetnjama i teškoćama u razvoju i njihovim porodicama.</w:t>
            </w:r>
          </w:p>
          <w:p w14:paraId="49D85CF0"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2.1.1.4 Efikasno se boriti protiv nasilja u porodici, SDG 5 (5.2) i 16 (16.1, 16.2):</w:t>
            </w:r>
          </w:p>
          <w:p w14:paraId="0C724A71"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podići nivo svijesti građana o problemu nasilja u porodici</w:t>
            </w:r>
            <w:r w:rsidR="00FD5566" w:rsidRPr="00F96844">
              <w:rPr>
                <w:rFonts w:cs="Arial"/>
                <w:sz w:val="24"/>
                <w:szCs w:val="24"/>
                <w:lang w:val="sr-Latn-ME"/>
              </w:rPr>
              <w:t>;</w:t>
            </w:r>
            <w:r w:rsidR="00250122" w:rsidRPr="00F96844">
              <w:rPr>
                <w:rFonts w:cs="Arial"/>
                <w:sz w:val="24"/>
                <w:szCs w:val="24"/>
                <w:lang w:val="sr-Latn-ME"/>
              </w:rPr>
              <w:t xml:space="preserve"> </w:t>
            </w:r>
          </w:p>
          <w:p w14:paraId="179E9011"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uspostaviti efikasan sistem prevencije nasilja u porodici</w:t>
            </w:r>
            <w:r w:rsidR="00FD5566" w:rsidRPr="00F96844">
              <w:rPr>
                <w:rFonts w:cs="Arial"/>
                <w:sz w:val="24"/>
                <w:szCs w:val="24"/>
                <w:lang w:val="sr-Latn-ME"/>
              </w:rPr>
              <w:t>;</w:t>
            </w:r>
          </w:p>
          <w:p w14:paraId="3909ACCD"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unaprijediti socijalnu i drugu zaštitu žrtava porodičnog nasilja</w:t>
            </w:r>
            <w:r w:rsidR="00FD5566" w:rsidRPr="00F96844">
              <w:rPr>
                <w:rFonts w:cs="Arial"/>
                <w:sz w:val="24"/>
                <w:szCs w:val="24"/>
                <w:lang w:val="sr-Latn-ME"/>
              </w:rPr>
              <w:t>;</w:t>
            </w:r>
            <w:r w:rsidR="00250122" w:rsidRPr="00F96844">
              <w:rPr>
                <w:rFonts w:cs="Arial"/>
                <w:sz w:val="24"/>
                <w:szCs w:val="24"/>
                <w:lang w:val="sr-Latn-ME"/>
              </w:rPr>
              <w:t xml:space="preserve"> </w:t>
            </w:r>
          </w:p>
          <w:p w14:paraId="4336F908"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unaprijediti normativni sistem koji reguliše oblast nasilja u porodici</w:t>
            </w:r>
            <w:r w:rsidR="00FD5566" w:rsidRPr="00F96844">
              <w:rPr>
                <w:rFonts w:cs="Arial"/>
                <w:sz w:val="24"/>
                <w:szCs w:val="24"/>
                <w:lang w:val="sr-Latn-ME"/>
              </w:rPr>
              <w:t>;</w:t>
            </w:r>
            <w:r w:rsidR="00250122" w:rsidRPr="00F96844">
              <w:rPr>
                <w:rFonts w:cs="Arial"/>
                <w:sz w:val="24"/>
                <w:szCs w:val="24"/>
                <w:lang w:val="sr-Latn-ME"/>
              </w:rPr>
              <w:t xml:space="preserve"> </w:t>
            </w:r>
          </w:p>
          <w:p w14:paraId="2EFC8977" w14:textId="77777777" w:rsidR="00250122" w:rsidRPr="00F96844"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unaprijediti zaštitu djece od nasilja, zlostavljanja, zanemarivanja i drugih oblika ponižavajućeg postupanja i kažnjavanja, uključujući onlajn nasilje, ekspl</w:t>
            </w:r>
            <w:r w:rsidR="00D757C8">
              <w:rPr>
                <w:rFonts w:cs="Arial"/>
                <w:sz w:val="24"/>
                <w:szCs w:val="24"/>
                <w:lang w:val="sr-Latn-ME"/>
              </w:rPr>
              <w:t>o</w:t>
            </w:r>
            <w:r w:rsidR="00250122" w:rsidRPr="00F96844">
              <w:rPr>
                <w:rFonts w:cs="Arial"/>
                <w:sz w:val="24"/>
                <w:szCs w:val="24"/>
                <w:lang w:val="sr-Latn-ME"/>
              </w:rPr>
              <w:t>ataciju i zlostavljanje djece</w:t>
            </w:r>
            <w:r w:rsidR="00FD5566" w:rsidRPr="00F96844">
              <w:rPr>
                <w:rFonts w:cs="Arial"/>
                <w:sz w:val="24"/>
                <w:szCs w:val="24"/>
                <w:lang w:val="sr-Latn-ME"/>
              </w:rPr>
              <w:t>;</w:t>
            </w:r>
          </w:p>
          <w:p w14:paraId="293260BD" w14:textId="77777777" w:rsidR="00DD252F" w:rsidRDefault="009F661D" w:rsidP="005114FD">
            <w:pPr>
              <w:jc w:val="both"/>
              <w:rPr>
                <w:rFonts w:cs="Arial"/>
                <w:sz w:val="24"/>
                <w:szCs w:val="24"/>
                <w:lang w:val="sr-Latn-ME"/>
              </w:rPr>
            </w:pPr>
            <w:r w:rsidRPr="009F661D">
              <w:rPr>
                <w:rFonts w:cs="Arial"/>
                <w:sz w:val="24"/>
                <w:szCs w:val="24"/>
                <w:lang w:val="sr-Latn-ME"/>
              </w:rPr>
              <w:t>‒</w:t>
            </w:r>
            <w:r w:rsidR="00250122" w:rsidRPr="00F96844">
              <w:rPr>
                <w:rFonts w:cs="Arial"/>
                <w:sz w:val="24"/>
                <w:szCs w:val="24"/>
                <w:lang w:val="sr-Latn-ME"/>
              </w:rPr>
              <w:t xml:space="preserve"> eliminisati sve štetne prakse, kao što je dječji, rani i prisilni brak, SDG 5 (5.3) </w:t>
            </w:r>
          </w:p>
          <w:p w14:paraId="0CB60995" w14:textId="77777777" w:rsidR="00250122" w:rsidRPr="00F96844" w:rsidRDefault="00FD5566" w:rsidP="005114FD">
            <w:pPr>
              <w:jc w:val="both"/>
              <w:rPr>
                <w:rFonts w:cs="Arial"/>
                <w:sz w:val="24"/>
                <w:szCs w:val="24"/>
                <w:lang w:val="sr-Latn-ME"/>
              </w:rPr>
            </w:pPr>
            <w:r w:rsidRPr="00F96844">
              <w:rPr>
                <w:rFonts w:cs="Arial"/>
                <w:sz w:val="24"/>
                <w:szCs w:val="24"/>
                <w:lang w:val="sr-Latn-ME"/>
              </w:rPr>
              <w:t>–</w:t>
            </w:r>
            <w:r w:rsidR="00250122" w:rsidRPr="00F96844">
              <w:rPr>
                <w:rFonts w:cs="Arial"/>
                <w:sz w:val="24"/>
                <w:szCs w:val="24"/>
                <w:lang w:val="sr-Latn-ME"/>
              </w:rPr>
              <w:t xml:space="preserve"> obezbijediti zabranu i ukidanje svih oblika dječjeg rada, SDG 8 (8.7). </w:t>
            </w:r>
          </w:p>
          <w:p w14:paraId="3E9A4137" w14:textId="77777777" w:rsidR="00250122" w:rsidRPr="00F96844" w:rsidRDefault="00250122" w:rsidP="005114FD">
            <w:pPr>
              <w:jc w:val="both"/>
              <w:rPr>
                <w:rFonts w:cs="Arial"/>
                <w:sz w:val="24"/>
                <w:szCs w:val="24"/>
                <w:lang w:val="sr-Latn-ME"/>
              </w:rPr>
            </w:pPr>
            <w:r w:rsidRPr="00F96844">
              <w:rPr>
                <w:rFonts w:cs="Arial"/>
                <w:sz w:val="24"/>
                <w:szCs w:val="24"/>
                <w:lang w:val="sr-Latn-ME"/>
              </w:rPr>
              <w:t>2.1.1.5 Eliminisati sve oblike nasilja nad svim ženama i djevojčicama u javnim i privatnim sferama, uključujući trgovinu ljudima i seksualne i druge vrste iskorišćavanja, SDG 5 (5.2, 5.3), SDG 8 (8.7).</w:t>
            </w:r>
          </w:p>
        </w:tc>
      </w:tr>
      <w:tr w:rsidR="00250122" w:rsidRPr="00F96844" w14:paraId="1218FABA" w14:textId="77777777" w:rsidTr="00EF75C0">
        <w:trPr>
          <w:jc w:val="center"/>
        </w:trPr>
        <w:tc>
          <w:tcPr>
            <w:tcW w:w="3865" w:type="dxa"/>
          </w:tcPr>
          <w:p w14:paraId="1C5F4232" w14:textId="77777777" w:rsidR="00250122" w:rsidRPr="00F96844" w:rsidRDefault="00250122" w:rsidP="005114FD">
            <w:pPr>
              <w:jc w:val="both"/>
              <w:rPr>
                <w:rFonts w:cs="Arial"/>
                <w:b/>
                <w:sz w:val="24"/>
                <w:szCs w:val="24"/>
                <w:lang w:val="sr-Latn-ME"/>
              </w:rPr>
            </w:pPr>
            <w:r w:rsidRPr="00F96844">
              <w:rPr>
                <w:rFonts w:cs="Arial"/>
                <w:b/>
                <w:sz w:val="24"/>
                <w:szCs w:val="24"/>
                <w:lang w:val="sr-Latn-ME"/>
              </w:rPr>
              <w:lastRenderedPageBreak/>
              <w:t>2.1.5 Eliminisati diskriminaciju osoba</w:t>
            </w:r>
            <w:r w:rsidR="00867803">
              <w:rPr>
                <w:rFonts w:cs="Arial"/>
                <w:b/>
                <w:sz w:val="24"/>
                <w:szCs w:val="24"/>
                <w:lang w:val="sr-Latn-ME"/>
              </w:rPr>
              <w:t xml:space="preserve"> s i</w:t>
            </w:r>
            <w:r w:rsidRPr="00F96844">
              <w:rPr>
                <w:rFonts w:cs="Arial"/>
                <w:b/>
                <w:sz w:val="24"/>
                <w:szCs w:val="24"/>
                <w:lang w:val="sr-Latn-ME"/>
              </w:rPr>
              <w:t>nvaliditetom SDG 10 (10.3), SDG 11 (11.2), SDG 16 (16.7, 16.b)</w:t>
            </w:r>
          </w:p>
        </w:tc>
        <w:tc>
          <w:tcPr>
            <w:tcW w:w="5850" w:type="dxa"/>
          </w:tcPr>
          <w:p w14:paraId="0D7B33CF" w14:textId="77777777" w:rsidR="00250122" w:rsidRPr="00F96844" w:rsidRDefault="00250122" w:rsidP="005114FD">
            <w:pPr>
              <w:jc w:val="both"/>
              <w:rPr>
                <w:rFonts w:cs="Arial"/>
                <w:sz w:val="24"/>
                <w:szCs w:val="24"/>
                <w:lang w:val="sr-Latn-ME"/>
              </w:rPr>
            </w:pPr>
            <w:r w:rsidRPr="00F96844">
              <w:rPr>
                <w:rFonts w:cs="Arial"/>
                <w:sz w:val="24"/>
                <w:szCs w:val="24"/>
                <w:lang w:val="sr-Latn-ME"/>
              </w:rPr>
              <w:t>2.1.5.3 Obezbijediti socijalne, zdravstvene i druge usluge osobama</w:t>
            </w:r>
            <w:r w:rsidR="00867803">
              <w:rPr>
                <w:rFonts w:cs="Arial"/>
                <w:sz w:val="24"/>
                <w:szCs w:val="24"/>
                <w:lang w:val="sr-Latn-ME"/>
              </w:rPr>
              <w:t xml:space="preserve"> s i</w:t>
            </w:r>
            <w:r w:rsidRPr="00F96844">
              <w:rPr>
                <w:rFonts w:cs="Arial"/>
                <w:sz w:val="24"/>
                <w:szCs w:val="24"/>
                <w:lang w:val="sr-Latn-ME"/>
              </w:rPr>
              <w:t>nvaliditetom u skladu</w:t>
            </w:r>
            <w:r w:rsidR="00867803">
              <w:rPr>
                <w:rFonts w:cs="Arial"/>
                <w:sz w:val="24"/>
                <w:szCs w:val="24"/>
                <w:lang w:val="sr-Latn-ME"/>
              </w:rPr>
              <w:t xml:space="preserve"> s n</w:t>
            </w:r>
            <w:r w:rsidRPr="00F96844">
              <w:rPr>
                <w:rFonts w:cs="Arial"/>
                <w:sz w:val="24"/>
                <w:szCs w:val="24"/>
                <w:lang w:val="sr-Latn-ME"/>
              </w:rPr>
              <w:t>jihovim realnim potrebama i u skladu</w:t>
            </w:r>
            <w:r w:rsidR="00867803">
              <w:rPr>
                <w:rFonts w:cs="Arial"/>
                <w:sz w:val="24"/>
                <w:szCs w:val="24"/>
                <w:lang w:val="sr-Latn-ME"/>
              </w:rPr>
              <w:t xml:space="preserve"> s m</w:t>
            </w:r>
            <w:r w:rsidRPr="00F96844">
              <w:rPr>
                <w:rFonts w:cs="Arial"/>
                <w:sz w:val="24"/>
                <w:szCs w:val="24"/>
                <w:lang w:val="sr-Latn-ME"/>
              </w:rPr>
              <w:t xml:space="preserve">eđunarodnim standardima, SDG 10 (10.3). </w:t>
            </w:r>
          </w:p>
          <w:p w14:paraId="4A7F5627" w14:textId="77777777" w:rsidR="00250122" w:rsidRPr="00F96844" w:rsidRDefault="00250122" w:rsidP="005114FD">
            <w:pPr>
              <w:jc w:val="both"/>
              <w:rPr>
                <w:rFonts w:cs="Arial"/>
                <w:sz w:val="24"/>
                <w:szCs w:val="24"/>
                <w:lang w:val="sr-Latn-ME"/>
              </w:rPr>
            </w:pPr>
            <w:r w:rsidRPr="00F96844">
              <w:rPr>
                <w:rFonts w:cs="Arial"/>
                <w:sz w:val="24"/>
                <w:szCs w:val="24"/>
                <w:lang w:val="sr-Latn-ME"/>
              </w:rPr>
              <w:t>2.1.5.4 Obezbijediti osobama</w:t>
            </w:r>
            <w:r w:rsidR="00867803">
              <w:rPr>
                <w:rFonts w:cs="Arial"/>
                <w:sz w:val="24"/>
                <w:szCs w:val="24"/>
                <w:lang w:val="sr-Latn-ME"/>
              </w:rPr>
              <w:t xml:space="preserve"> s i</w:t>
            </w:r>
            <w:r w:rsidRPr="00F96844">
              <w:rPr>
                <w:rFonts w:cs="Arial"/>
                <w:sz w:val="24"/>
                <w:szCs w:val="24"/>
                <w:lang w:val="sr-Latn-ME"/>
              </w:rPr>
              <w:t xml:space="preserve">nvaliditetom adekvatan standard življenja i socijalnu sigurnost, SDG 10 (10.3). </w:t>
            </w:r>
          </w:p>
        </w:tc>
      </w:tr>
      <w:tr w:rsidR="00250122" w:rsidRPr="00F96844" w14:paraId="032EFEA2" w14:textId="77777777" w:rsidTr="00EF75C0">
        <w:trPr>
          <w:jc w:val="center"/>
        </w:trPr>
        <w:tc>
          <w:tcPr>
            <w:tcW w:w="3865" w:type="dxa"/>
          </w:tcPr>
          <w:p w14:paraId="63575BE7" w14:textId="77777777" w:rsidR="00250122" w:rsidRPr="00F96844" w:rsidRDefault="00250122" w:rsidP="005114FD">
            <w:pPr>
              <w:jc w:val="both"/>
              <w:rPr>
                <w:rFonts w:cs="Arial"/>
                <w:b/>
                <w:sz w:val="24"/>
                <w:szCs w:val="24"/>
                <w:lang w:val="sr-Latn-ME"/>
              </w:rPr>
            </w:pPr>
            <w:r w:rsidRPr="00F96844">
              <w:rPr>
                <w:rFonts w:cs="Arial"/>
                <w:b/>
                <w:sz w:val="24"/>
                <w:szCs w:val="24"/>
                <w:lang w:val="sr-Latn-ME"/>
              </w:rPr>
              <w:lastRenderedPageBreak/>
              <w:t>2.1.6 Eliminisati diskriminaciju starih lica SDG 3 (3.8)</w:t>
            </w:r>
          </w:p>
        </w:tc>
        <w:tc>
          <w:tcPr>
            <w:tcW w:w="5850" w:type="dxa"/>
          </w:tcPr>
          <w:p w14:paraId="296D9ED0" w14:textId="77777777" w:rsidR="00250122" w:rsidRPr="00F96844" w:rsidRDefault="00250122" w:rsidP="005114FD">
            <w:pPr>
              <w:jc w:val="both"/>
              <w:rPr>
                <w:rFonts w:cs="Arial"/>
                <w:sz w:val="24"/>
                <w:szCs w:val="24"/>
                <w:lang w:val="sr-Latn-ME"/>
              </w:rPr>
            </w:pPr>
            <w:r w:rsidRPr="00F96844">
              <w:rPr>
                <w:rFonts w:cs="Arial"/>
                <w:sz w:val="24"/>
                <w:szCs w:val="24"/>
                <w:lang w:val="sr-Latn-ME"/>
              </w:rPr>
              <w:t>2.1.6.1 Povećati efikasnost i kvalitet usluga socijalne zaštite starih lica, SDG 3.</w:t>
            </w:r>
          </w:p>
          <w:p w14:paraId="6D7248A2"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2.1.6.2 Pojačati socijalnu i materijalnu sigurnost siromašnih starih lica, SDG 3. 2.1.6.3 Obezbjeđivanje adekvatne infrastrukture za smještaj i brigu o starim (uključujući i bolesnim) licima SDG 3 (3.8). 2.1.6.4 Razviti efikasan sistem prevencije i borbe protiv nasilja nad starim licima (SDG 3). </w:t>
            </w:r>
          </w:p>
          <w:p w14:paraId="54595C19" w14:textId="77777777" w:rsidR="00250122" w:rsidRPr="00F96844" w:rsidRDefault="00250122" w:rsidP="005114FD">
            <w:pPr>
              <w:jc w:val="both"/>
              <w:rPr>
                <w:rFonts w:cs="Arial"/>
                <w:sz w:val="24"/>
                <w:szCs w:val="24"/>
                <w:lang w:val="sr-Latn-ME"/>
              </w:rPr>
            </w:pPr>
            <w:r w:rsidRPr="00F96844">
              <w:rPr>
                <w:rFonts w:cs="Arial"/>
                <w:sz w:val="24"/>
                <w:szCs w:val="24"/>
                <w:lang w:val="sr-Latn-ME"/>
              </w:rPr>
              <w:t>2.1.6.5 Graditi pozitivnu društvenu klimu prema starim licima i starenju kao procesu, (SDG 3).</w:t>
            </w:r>
          </w:p>
        </w:tc>
      </w:tr>
      <w:tr w:rsidR="00250122" w:rsidRPr="00F96844" w14:paraId="13AB7E83" w14:textId="77777777" w:rsidTr="00EF75C0">
        <w:trPr>
          <w:jc w:val="center"/>
        </w:trPr>
        <w:tc>
          <w:tcPr>
            <w:tcW w:w="3865" w:type="dxa"/>
          </w:tcPr>
          <w:p w14:paraId="3CEB2E45" w14:textId="77777777" w:rsidR="00250122" w:rsidRPr="00F96844" w:rsidRDefault="00250122" w:rsidP="005114FD">
            <w:pPr>
              <w:jc w:val="both"/>
              <w:rPr>
                <w:rFonts w:cs="Arial"/>
                <w:b/>
                <w:sz w:val="24"/>
                <w:szCs w:val="24"/>
                <w:lang w:val="sr-Latn-ME"/>
              </w:rPr>
            </w:pPr>
            <w:r w:rsidRPr="00F96844">
              <w:rPr>
                <w:rFonts w:cs="Arial"/>
                <w:b/>
                <w:sz w:val="24"/>
                <w:szCs w:val="24"/>
                <w:lang w:val="sr-Latn-ME"/>
              </w:rPr>
              <w:t>2.5.2 Osigurati socijalnu stabilnost i smanjiti stopu siromaštva SDG 1 (1.1, 1.2, 1.3, 1.4, 1.a and 1.b ), SDG 2 (2.1, 2.2), SDG 4 (4.4), SDG 8 (8.5, 8.6 , 8.8, 8.b) i SDG 10 (10.1, 10.3, 10.4), SDG 16 (16.3)</w:t>
            </w:r>
          </w:p>
        </w:tc>
        <w:tc>
          <w:tcPr>
            <w:tcW w:w="5850" w:type="dxa"/>
          </w:tcPr>
          <w:p w14:paraId="255AE75C" w14:textId="77777777" w:rsidR="00250122" w:rsidRPr="00F96844" w:rsidRDefault="00250122" w:rsidP="005114FD">
            <w:pPr>
              <w:jc w:val="both"/>
              <w:rPr>
                <w:rFonts w:cs="Arial"/>
                <w:sz w:val="24"/>
                <w:szCs w:val="24"/>
                <w:lang w:val="sr-Latn-ME"/>
              </w:rPr>
            </w:pPr>
            <w:r w:rsidRPr="00F96844">
              <w:rPr>
                <w:rFonts w:cs="Arial"/>
                <w:sz w:val="24"/>
                <w:szCs w:val="24"/>
                <w:lang w:val="sr-Latn-ME"/>
              </w:rPr>
              <w:t>2.5.2.7 Iskorijeniti ekstremno siromaštvo među ljudima, SDG 1 (1.1).</w:t>
            </w:r>
          </w:p>
          <w:p w14:paraId="2B6A7A2F"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2.5.2.8 Smanjiti najmanje za pola udio muškaraca, žena i djece koji žive ispod linije apsolutnog siromaštva, SDG 1 (1.2). </w:t>
            </w:r>
          </w:p>
          <w:p w14:paraId="2EDE14AC" w14:textId="77777777" w:rsidR="00DD252F" w:rsidRDefault="00250122" w:rsidP="005114FD">
            <w:pPr>
              <w:jc w:val="both"/>
              <w:rPr>
                <w:rFonts w:cs="Arial"/>
                <w:sz w:val="24"/>
                <w:szCs w:val="24"/>
                <w:lang w:val="sr-Latn-ME"/>
              </w:rPr>
            </w:pPr>
            <w:r w:rsidRPr="00F96844">
              <w:rPr>
                <w:rFonts w:cs="Arial"/>
                <w:sz w:val="24"/>
                <w:szCs w:val="24"/>
                <w:lang w:val="sr-Latn-ME"/>
              </w:rPr>
              <w:t xml:space="preserve">2.5.2.11 Targetirati socijalno ugrožene grupe efikasnim mjerama socijalne i drugih politika, SDG 1 (1.3, 1.b). </w:t>
            </w:r>
          </w:p>
          <w:p w14:paraId="18CBDBC9"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2.5.2.12 Unaprijediti dostupnost, priuštivost i kvalitet socijalnih usluga. </w:t>
            </w:r>
          </w:p>
          <w:p w14:paraId="5FBB6491" w14:textId="77777777" w:rsidR="00250122" w:rsidRPr="00F96844" w:rsidRDefault="00250122" w:rsidP="005114FD">
            <w:pPr>
              <w:jc w:val="both"/>
              <w:rPr>
                <w:rFonts w:cs="Arial"/>
                <w:sz w:val="24"/>
                <w:szCs w:val="24"/>
                <w:lang w:val="sr-Latn-ME"/>
              </w:rPr>
            </w:pPr>
            <w:r w:rsidRPr="00F96844">
              <w:rPr>
                <w:rFonts w:cs="Arial"/>
                <w:sz w:val="24"/>
                <w:szCs w:val="24"/>
                <w:lang w:val="sr-Latn-ME"/>
              </w:rPr>
              <w:t>2.5.2.13</w:t>
            </w:r>
            <w:r w:rsidR="00DD252F">
              <w:rPr>
                <w:rFonts w:cs="Arial"/>
                <w:sz w:val="24"/>
                <w:szCs w:val="24"/>
                <w:lang w:val="sr-Latn-ME"/>
              </w:rPr>
              <w:t xml:space="preserve"> </w:t>
            </w:r>
            <w:r w:rsidRPr="00F96844">
              <w:rPr>
                <w:rFonts w:cs="Arial"/>
                <w:sz w:val="24"/>
                <w:szCs w:val="24"/>
                <w:lang w:val="sr-Latn-ME"/>
              </w:rPr>
              <w:t xml:space="preserve">Unaprijediti sistem dodjele socijalnih naknada i programa podrške namijenjenih građanima kojima je to najpotrebnije. </w:t>
            </w:r>
          </w:p>
          <w:p w14:paraId="330DF182"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2.5.2.14 Pružiti podršku programima psihosocijalne zaštite kategorijama stanovništva kojima prijeti socijalna isključenost. </w:t>
            </w:r>
          </w:p>
          <w:p w14:paraId="38F6D21B"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2.5.2.15 Uključiti rodno senzitivnu dimenziju u strateško rješavanje problema siromaštva, SDG1 (1.b). </w:t>
            </w:r>
          </w:p>
          <w:p w14:paraId="6FE73364" w14:textId="77777777" w:rsidR="00250122" w:rsidRPr="00F96844" w:rsidRDefault="00250122" w:rsidP="005114FD">
            <w:pPr>
              <w:jc w:val="both"/>
              <w:rPr>
                <w:rFonts w:cs="Arial"/>
                <w:sz w:val="24"/>
                <w:szCs w:val="24"/>
                <w:lang w:val="sr-Latn-ME"/>
              </w:rPr>
            </w:pPr>
            <w:r w:rsidRPr="00F96844">
              <w:rPr>
                <w:rFonts w:cs="Arial"/>
                <w:sz w:val="24"/>
                <w:szCs w:val="24"/>
                <w:lang w:val="sr-Latn-ME"/>
              </w:rPr>
              <w:t>2.5.2.19 Omogućiti značajnu mobilizaciju sredstava iz raznih izvora u cilju obezbjeđivanja adekvatnih sredstava za programe i politike za okončanje siromaštva u svim njegovim dimenzijama, SDG 1 (1.a).</w:t>
            </w:r>
          </w:p>
        </w:tc>
      </w:tr>
      <w:tr w:rsidR="00250122" w:rsidRPr="00F96844" w14:paraId="6C00A656" w14:textId="77777777" w:rsidTr="00EF75C0">
        <w:trPr>
          <w:jc w:val="center"/>
        </w:trPr>
        <w:tc>
          <w:tcPr>
            <w:tcW w:w="3865" w:type="dxa"/>
          </w:tcPr>
          <w:p w14:paraId="352132BE" w14:textId="77777777" w:rsidR="00250122" w:rsidRPr="00F96844" w:rsidRDefault="00250122" w:rsidP="005114FD">
            <w:pPr>
              <w:jc w:val="both"/>
              <w:rPr>
                <w:rFonts w:cs="Arial"/>
                <w:b/>
                <w:sz w:val="24"/>
                <w:szCs w:val="24"/>
                <w:lang w:val="sr-Latn-ME"/>
              </w:rPr>
            </w:pPr>
            <w:r w:rsidRPr="00F96844">
              <w:rPr>
                <w:rFonts w:cs="Arial"/>
                <w:b/>
                <w:sz w:val="24"/>
                <w:szCs w:val="24"/>
                <w:lang w:val="sr-Latn-ME"/>
              </w:rPr>
              <w:t>2.5.3 Boriti se protiv socijalne isključenosti SDG 1 (1.3, 1.4, 1.b, ) 8 (8.6, 8.7) 10 (10.2, 10.3), 11 (11.1, 11.2)</w:t>
            </w:r>
          </w:p>
        </w:tc>
        <w:tc>
          <w:tcPr>
            <w:tcW w:w="5850" w:type="dxa"/>
          </w:tcPr>
          <w:p w14:paraId="55A483FB" w14:textId="77777777" w:rsidR="00DD252F" w:rsidRDefault="00250122" w:rsidP="005114FD">
            <w:pPr>
              <w:jc w:val="both"/>
              <w:rPr>
                <w:rFonts w:cs="Arial"/>
                <w:sz w:val="24"/>
                <w:szCs w:val="24"/>
                <w:lang w:val="sr-Latn-ME"/>
              </w:rPr>
            </w:pPr>
            <w:r w:rsidRPr="00F96844">
              <w:rPr>
                <w:rFonts w:cs="Arial"/>
                <w:sz w:val="24"/>
                <w:szCs w:val="24"/>
                <w:lang w:val="sr-Latn-ME"/>
              </w:rPr>
              <w:t xml:space="preserve">2.5.3.1 Efikasno primjenjivati postojeće i kreirati nove programe usmjerene na grupe pod rizikom od marginalizacije, SDG 1 (1.3, 1.4, 1.b),SDG 8 ( 8.7), SDG 10 (10.2, 10.3): </w:t>
            </w:r>
          </w:p>
          <w:p w14:paraId="23680FAC" w14:textId="77777777" w:rsidR="00DD252F"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ekonomski status (siromašni, nezaposleni, trajno nezaposleni, beskućnici, raseljene osobe, migranti, azilanti, izbjeglice, lica u riziku od apatridije) </w:t>
            </w:r>
          </w:p>
          <w:p w14:paraId="6A2E0B01"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porodičnu strukturu (jednočlana domaćinstva, samohrani roditelji, djeca bez roditeljskog staranja, omladina koja </w:t>
            </w:r>
            <w:r>
              <w:rPr>
                <w:rFonts w:cs="Arial"/>
                <w:sz w:val="24"/>
                <w:szCs w:val="24"/>
                <w:lang w:val="sr-Latn-ME"/>
              </w:rPr>
              <w:t>je</w:t>
            </w:r>
            <w:r w:rsidR="00250122" w:rsidRPr="00F96844">
              <w:rPr>
                <w:rFonts w:cs="Arial"/>
                <w:sz w:val="24"/>
                <w:szCs w:val="24"/>
                <w:lang w:val="sr-Latn-ME"/>
              </w:rPr>
              <w:t xml:space="preserve"> odrasla kao </w:t>
            </w:r>
            <w:r w:rsidR="00250122" w:rsidRPr="00F96844">
              <w:rPr>
                <w:rFonts w:cs="Arial"/>
                <w:sz w:val="24"/>
                <w:szCs w:val="24"/>
                <w:lang w:val="sr-Latn-ME"/>
              </w:rPr>
              <w:lastRenderedPageBreak/>
              <w:t xml:space="preserve">djeca bez roditeljskog staranja, porodice s velikim brojem djece) </w:t>
            </w:r>
          </w:p>
          <w:p w14:paraId="0369172F"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identitet (nacionalne/etničke/rasne/ vjerske manjine, seksualne i rodne manjine) </w:t>
            </w:r>
          </w:p>
          <w:p w14:paraId="71AB162D"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starost (djeca, mladi, stari, penzioneri), uključujući zabranu dječjeg rada u svim njegovim oblicima </w:t>
            </w:r>
          </w:p>
          <w:p w14:paraId="4B7EADB7"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počinjenje krivičnog djela (zatvorenici i bivši zatvorenici, osobe s poremećajima u ponašanju, žrtve zločina, žrtve trafikinga ili nasilja u porodici) </w:t>
            </w:r>
          </w:p>
          <w:p w14:paraId="55DB1893"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obrazovanje (lica bez obrazovanja ili</w:t>
            </w:r>
            <w:r w:rsidR="00867803">
              <w:rPr>
                <w:rFonts w:cs="Arial"/>
                <w:sz w:val="24"/>
                <w:szCs w:val="24"/>
                <w:lang w:val="sr-Latn-ME"/>
              </w:rPr>
              <w:t xml:space="preserve"> s n</w:t>
            </w:r>
            <w:r w:rsidR="00250122" w:rsidRPr="00F96844">
              <w:rPr>
                <w:rFonts w:cs="Arial"/>
                <w:sz w:val="24"/>
                <w:szCs w:val="24"/>
                <w:lang w:val="sr-Latn-ME"/>
              </w:rPr>
              <w:t xml:space="preserve">iskim stepenom obrazovanja) </w:t>
            </w:r>
          </w:p>
          <w:p w14:paraId="514AAA19"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zdravstveno stanje (psihički oboljele osobe, osobe zaražene HIV/AIDS-om i </w:t>
            </w:r>
            <w:r>
              <w:rPr>
                <w:rFonts w:cs="Arial"/>
                <w:sz w:val="24"/>
                <w:szCs w:val="24"/>
                <w:lang w:val="sr-Latn-ME"/>
              </w:rPr>
              <w:t>h</w:t>
            </w:r>
            <w:r w:rsidR="00250122" w:rsidRPr="00F96844">
              <w:rPr>
                <w:rFonts w:cs="Arial"/>
                <w:sz w:val="24"/>
                <w:szCs w:val="24"/>
                <w:lang w:val="sr-Latn-ME"/>
              </w:rPr>
              <w:t xml:space="preserve">epatitisom C, osobe s problemima zavisnosti, osobe oboljele od genetskih ili hroničnih bolesti) </w:t>
            </w:r>
          </w:p>
          <w:p w14:paraId="386C7419" w14:textId="77777777" w:rsidR="00250122" w:rsidRPr="00F96844" w:rsidRDefault="00DD252F" w:rsidP="005114FD">
            <w:pPr>
              <w:jc w:val="both"/>
              <w:rPr>
                <w:rFonts w:cs="Arial"/>
                <w:sz w:val="24"/>
                <w:szCs w:val="24"/>
                <w:lang w:val="sr-Latn-ME"/>
              </w:rPr>
            </w:pPr>
            <w:r w:rsidRPr="00DD252F">
              <w:rPr>
                <w:rFonts w:cs="Arial"/>
                <w:sz w:val="24"/>
                <w:szCs w:val="24"/>
                <w:lang w:val="sr-Latn-ME"/>
              </w:rPr>
              <w:t>‒</w:t>
            </w:r>
            <w:r w:rsidR="00250122" w:rsidRPr="00F96844">
              <w:rPr>
                <w:rFonts w:cs="Arial"/>
                <w:sz w:val="24"/>
                <w:szCs w:val="24"/>
                <w:lang w:val="sr-Latn-ME"/>
              </w:rPr>
              <w:t xml:space="preserve"> s obzirom na invaliditet ili smetnje u razvoju. </w:t>
            </w:r>
          </w:p>
          <w:p w14:paraId="33AEB5F4" w14:textId="77777777" w:rsidR="00DD252F" w:rsidRDefault="00250122" w:rsidP="005114FD">
            <w:pPr>
              <w:jc w:val="both"/>
              <w:rPr>
                <w:rFonts w:cs="Arial"/>
                <w:sz w:val="24"/>
                <w:szCs w:val="24"/>
                <w:lang w:val="sr-Latn-ME"/>
              </w:rPr>
            </w:pPr>
            <w:r w:rsidRPr="00F96844">
              <w:rPr>
                <w:rFonts w:cs="Arial"/>
                <w:sz w:val="24"/>
                <w:szCs w:val="24"/>
                <w:lang w:val="sr-Latn-ME"/>
              </w:rPr>
              <w:t xml:space="preserve">2.5.3.2 Osnivati i pružati podršku programima prihvatilišta i programima nužnog smještaja, SDG 11 (11.1, 11.2). </w:t>
            </w:r>
          </w:p>
          <w:p w14:paraId="5087276F" w14:textId="77777777" w:rsidR="00250122" w:rsidRPr="00F96844" w:rsidRDefault="00250122" w:rsidP="005114FD">
            <w:pPr>
              <w:jc w:val="both"/>
              <w:rPr>
                <w:rFonts w:cs="Arial"/>
                <w:sz w:val="24"/>
                <w:szCs w:val="24"/>
                <w:lang w:val="sr-Latn-ME"/>
              </w:rPr>
            </w:pPr>
            <w:r w:rsidRPr="00F96844">
              <w:rPr>
                <w:rFonts w:cs="Arial"/>
                <w:sz w:val="24"/>
                <w:szCs w:val="24"/>
                <w:lang w:val="sr-Latn-ME"/>
              </w:rPr>
              <w:t>2.5.3.3 Unapređivati standarde stanovanja ranjivih grupa i socijalnog stanovanja.</w:t>
            </w:r>
          </w:p>
        </w:tc>
      </w:tr>
    </w:tbl>
    <w:p w14:paraId="6FFA295A" w14:textId="77777777" w:rsidR="00250122" w:rsidRPr="00F96844" w:rsidRDefault="00250122" w:rsidP="005114FD">
      <w:pPr>
        <w:jc w:val="both"/>
        <w:rPr>
          <w:rFonts w:eastAsia="Times New Roman" w:cs="Arial"/>
          <w:i/>
          <w:sz w:val="24"/>
          <w:szCs w:val="24"/>
          <w:lang w:val="sr-Latn-ME"/>
        </w:rPr>
      </w:pPr>
      <w:bookmarkStart w:id="45" w:name="_Hlk164682189"/>
    </w:p>
    <w:p w14:paraId="6B114220" w14:textId="77777777" w:rsidR="00D614D1" w:rsidRPr="00F96844" w:rsidRDefault="00D614D1" w:rsidP="005114FD">
      <w:pPr>
        <w:jc w:val="both"/>
        <w:rPr>
          <w:rFonts w:eastAsia="Times New Roman" w:cs="Arial"/>
          <w:b/>
          <w:i/>
          <w:sz w:val="24"/>
          <w:szCs w:val="24"/>
          <w:lang w:val="sr-Latn-ME"/>
        </w:rPr>
      </w:pPr>
      <w:r w:rsidRPr="00F96844">
        <w:rPr>
          <w:rFonts w:eastAsia="Times New Roman" w:cs="Arial"/>
          <w:b/>
          <w:i/>
          <w:sz w:val="24"/>
          <w:szCs w:val="24"/>
          <w:lang w:val="sr-Latn-ME"/>
        </w:rPr>
        <w:t>Program ekonomskih reformi 202</w:t>
      </w:r>
      <w:r w:rsidR="00C858F5">
        <w:rPr>
          <w:rFonts w:eastAsia="Times New Roman" w:cs="Arial"/>
          <w:b/>
          <w:i/>
          <w:sz w:val="24"/>
          <w:szCs w:val="24"/>
          <w:lang w:val="sr-Latn-ME"/>
        </w:rPr>
        <w:t>4</w:t>
      </w:r>
      <w:r w:rsidR="00DD252F" w:rsidRPr="00DD252F">
        <w:rPr>
          <w:rFonts w:eastAsia="Times New Roman" w:cs="Arial"/>
          <w:b/>
          <w:i/>
          <w:sz w:val="24"/>
          <w:szCs w:val="24"/>
          <w:lang w:val="sr-Latn-ME"/>
        </w:rPr>
        <w:t>‒</w:t>
      </w:r>
      <w:r w:rsidRPr="00F96844">
        <w:rPr>
          <w:rFonts w:eastAsia="Times New Roman" w:cs="Arial"/>
          <w:b/>
          <w:i/>
          <w:sz w:val="24"/>
          <w:szCs w:val="24"/>
          <w:lang w:val="sr-Latn-ME"/>
        </w:rPr>
        <w:t>202</w:t>
      </w:r>
      <w:r w:rsidR="00C858F5">
        <w:rPr>
          <w:rFonts w:eastAsia="Times New Roman" w:cs="Arial"/>
          <w:b/>
          <w:i/>
          <w:sz w:val="24"/>
          <w:szCs w:val="24"/>
          <w:lang w:val="sr-Latn-ME"/>
        </w:rPr>
        <w:t>6</w:t>
      </w:r>
      <w:r w:rsidR="00DD252F">
        <w:rPr>
          <w:rFonts w:eastAsia="Times New Roman" w:cs="Arial"/>
          <w:b/>
          <w:i/>
          <w:sz w:val="24"/>
          <w:szCs w:val="24"/>
          <w:lang w:val="sr-Latn-ME"/>
        </w:rPr>
        <w:t>.</w:t>
      </w:r>
      <w:r w:rsidRPr="00F96844">
        <w:rPr>
          <w:rFonts w:eastAsia="Times New Roman" w:cs="Arial"/>
          <w:b/>
          <w:i/>
          <w:sz w:val="24"/>
          <w:szCs w:val="24"/>
          <w:lang w:val="sr-Latn-ME"/>
        </w:rPr>
        <w:t xml:space="preserve"> (PER)</w:t>
      </w:r>
    </w:p>
    <w:p w14:paraId="1022BD24" w14:textId="77777777" w:rsidR="00A64A0A" w:rsidRPr="00F96844" w:rsidRDefault="00A64A0A" w:rsidP="005114FD">
      <w:pPr>
        <w:jc w:val="both"/>
        <w:rPr>
          <w:rFonts w:eastAsia="Times New Roman" w:cs="Arial"/>
          <w:b/>
          <w:i/>
          <w:sz w:val="24"/>
          <w:szCs w:val="24"/>
          <w:lang w:val="sr-Latn-ME"/>
        </w:rPr>
      </w:pPr>
    </w:p>
    <w:p w14:paraId="1FBEB6C4" w14:textId="7ECF78EB" w:rsidR="00D614D1" w:rsidRPr="00F96844" w:rsidRDefault="00D614D1" w:rsidP="00780738">
      <w:pPr>
        <w:jc w:val="both"/>
        <w:rPr>
          <w:rFonts w:cs="Arial"/>
          <w:color w:val="000000"/>
          <w:sz w:val="24"/>
          <w:szCs w:val="24"/>
          <w:lang w:val="sr-Latn-ME"/>
        </w:rPr>
      </w:pPr>
      <w:r w:rsidRPr="00F96844">
        <w:rPr>
          <w:rFonts w:cs="Arial"/>
          <w:sz w:val="24"/>
          <w:szCs w:val="24"/>
          <w:lang w:val="sr-Latn-ME"/>
        </w:rPr>
        <w:t xml:space="preserve">Strateški dokument je usklađen s PER-om u dijelu koji se donosi na reformsku mjeru </w:t>
      </w:r>
      <w:r w:rsidRPr="00F96844">
        <w:rPr>
          <w:rFonts w:eastAsia="Times New Roman" w:cs="Arial"/>
          <w:sz w:val="24"/>
          <w:szCs w:val="24"/>
          <w:lang w:val="sr-Latn-ME"/>
        </w:rPr>
        <w:t xml:space="preserve">Reforma sistema socijalne i dječje zaštite na osnovu Mape puta. </w:t>
      </w:r>
      <w:r w:rsidRPr="00F96844">
        <w:rPr>
          <w:rFonts w:cs="Arial"/>
          <w:color w:val="000000"/>
          <w:sz w:val="24"/>
          <w:szCs w:val="24"/>
          <w:lang w:val="sr-Latn-ME"/>
        </w:rPr>
        <w:t xml:space="preserve">Ključna aktivnost ove reformske mjere odnosi se na analizu troškova, finansijske održivosti i izradu finansijskog plana reforme sistema socijalne i dječje zaštite, koji će dati smjernice za održivo dugoročno budžetsko planiranje i integraciju reformskih mjera kroz programski budžet države. U praksi, analiza će se bazirati na </w:t>
      </w:r>
      <w:r w:rsidRPr="00F96844">
        <w:rPr>
          <w:rFonts w:cs="Arial"/>
          <w:sz w:val="24"/>
          <w:szCs w:val="24"/>
          <w:lang w:val="sr-Latn-ME"/>
        </w:rPr>
        <w:t>procjeni troškova svih raspoloživih servisa i materijalnih davanja iz domena socijalne i d</w:t>
      </w:r>
      <w:r w:rsidR="00EB2F1D">
        <w:rPr>
          <w:rFonts w:cs="Arial"/>
          <w:sz w:val="24"/>
          <w:szCs w:val="24"/>
          <w:lang w:val="sr-Latn-ME"/>
        </w:rPr>
        <w:t>ječj</w:t>
      </w:r>
      <w:r w:rsidRPr="00F96844">
        <w:rPr>
          <w:rFonts w:cs="Arial"/>
          <w:sz w:val="24"/>
          <w:szCs w:val="24"/>
          <w:lang w:val="sr-Latn-ME"/>
        </w:rPr>
        <w:t xml:space="preserve">e zaštite, što </w:t>
      </w:r>
      <w:r w:rsidRPr="00F96844">
        <w:rPr>
          <w:rFonts w:cs="Arial"/>
          <w:color w:val="000000"/>
          <w:sz w:val="24"/>
          <w:szCs w:val="24"/>
          <w:lang w:val="sr-Latn-ME"/>
        </w:rPr>
        <w:t>će omogućiti operacionalizaciju nove Strategije za socijalnu i d</w:t>
      </w:r>
      <w:r w:rsidR="00EB2F1D">
        <w:rPr>
          <w:rFonts w:cs="Arial"/>
          <w:color w:val="000000"/>
          <w:sz w:val="24"/>
          <w:szCs w:val="24"/>
          <w:lang w:val="sr-Latn-ME"/>
        </w:rPr>
        <w:t>ječj</w:t>
      </w:r>
      <w:r w:rsidRPr="00F96844">
        <w:rPr>
          <w:rFonts w:cs="Arial"/>
          <w:color w:val="000000"/>
          <w:sz w:val="24"/>
          <w:szCs w:val="24"/>
          <w:lang w:val="sr-Latn-ME"/>
        </w:rPr>
        <w:t>u zaštitu</w:t>
      </w:r>
      <w:r w:rsidR="00DD252F">
        <w:rPr>
          <w:rFonts w:cs="Arial"/>
          <w:color w:val="000000"/>
          <w:sz w:val="24"/>
          <w:szCs w:val="24"/>
          <w:lang w:val="sr-Latn-ME"/>
        </w:rPr>
        <w:t>,</w:t>
      </w:r>
      <w:r w:rsidRPr="00F96844">
        <w:rPr>
          <w:rFonts w:cs="Arial"/>
          <w:color w:val="000000"/>
          <w:sz w:val="24"/>
          <w:szCs w:val="24"/>
          <w:lang w:val="sr-Latn-ME"/>
        </w:rPr>
        <w:t xml:space="preserve"> čije se usvajanje planira za </w:t>
      </w:r>
      <w:r w:rsidR="00016EB7" w:rsidRPr="007D2D21">
        <w:rPr>
          <w:rFonts w:cs="Arial"/>
          <w:sz w:val="24"/>
          <w:szCs w:val="24"/>
          <w:lang w:val="sr-Latn-ME"/>
        </w:rPr>
        <w:t>IV</w:t>
      </w:r>
      <w:r w:rsidR="005D228C" w:rsidRPr="007D2D21">
        <w:rPr>
          <w:rFonts w:cs="Arial"/>
          <w:sz w:val="24"/>
          <w:szCs w:val="24"/>
          <w:lang w:val="sr-Latn-ME"/>
        </w:rPr>
        <w:t xml:space="preserve"> kvartal</w:t>
      </w:r>
      <w:r w:rsidRPr="007D2D21">
        <w:rPr>
          <w:rFonts w:cs="Arial"/>
          <w:sz w:val="24"/>
          <w:szCs w:val="24"/>
          <w:lang w:val="sr-Latn-ME"/>
        </w:rPr>
        <w:t xml:space="preserve"> 2024. godine</w:t>
      </w:r>
      <w:r w:rsidRPr="00F96844">
        <w:rPr>
          <w:rFonts w:cs="Arial"/>
          <w:color w:val="000000"/>
          <w:sz w:val="24"/>
          <w:szCs w:val="24"/>
          <w:lang w:val="sr-Latn-ME"/>
        </w:rPr>
        <w:t>. Implementacijom ove mjere će se dodatno doprinijeti ostvarivanju cilja održivog razvoja CO1 –</w:t>
      </w:r>
      <w:r w:rsidR="00DD252F">
        <w:rPr>
          <w:rFonts w:cs="Arial"/>
          <w:color w:val="000000"/>
          <w:sz w:val="24"/>
          <w:szCs w:val="24"/>
          <w:lang w:val="sr-Latn-ME"/>
        </w:rPr>
        <w:t xml:space="preserve"> </w:t>
      </w:r>
      <w:r w:rsidRPr="00F96844">
        <w:rPr>
          <w:rFonts w:cs="Arial"/>
          <w:color w:val="000000"/>
          <w:sz w:val="24"/>
          <w:szCs w:val="24"/>
          <w:lang w:val="sr-Latn-ME"/>
        </w:rPr>
        <w:t>svijet bez siromaštva i CO10</w:t>
      </w:r>
      <w:r w:rsidR="00DD252F">
        <w:rPr>
          <w:rFonts w:cs="Arial"/>
          <w:color w:val="000000"/>
          <w:sz w:val="24"/>
          <w:szCs w:val="24"/>
          <w:lang w:val="sr-Latn-ME"/>
        </w:rPr>
        <w:t xml:space="preserve"> </w:t>
      </w:r>
      <w:r w:rsidR="00DD252F" w:rsidRPr="00DD252F">
        <w:rPr>
          <w:rFonts w:cs="Arial"/>
          <w:color w:val="000000"/>
          <w:sz w:val="24"/>
          <w:szCs w:val="24"/>
          <w:lang w:val="sr-Latn-ME"/>
        </w:rPr>
        <w:t>‒</w:t>
      </w:r>
      <w:r w:rsidR="00DD252F">
        <w:rPr>
          <w:rFonts w:cs="Arial"/>
          <w:color w:val="000000"/>
          <w:sz w:val="24"/>
          <w:szCs w:val="24"/>
          <w:lang w:val="sr-Latn-ME"/>
        </w:rPr>
        <w:t xml:space="preserve"> </w:t>
      </w:r>
      <w:r w:rsidRPr="00F96844">
        <w:rPr>
          <w:rFonts w:cs="Arial"/>
          <w:color w:val="000000"/>
          <w:sz w:val="24"/>
          <w:szCs w:val="24"/>
          <w:lang w:val="sr-Latn-ME"/>
        </w:rPr>
        <w:t>smanjenje nejednakosti</w:t>
      </w:r>
      <w:r w:rsidR="00A21214" w:rsidRPr="00F96844">
        <w:rPr>
          <w:rStyle w:val="FootnoteReference"/>
          <w:rFonts w:cs="Arial"/>
          <w:color w:val="000000"/>
          <w:sz w:val="24"/>
          <w:szCs w:val="24"/>
          <w:lang w:val="sr-Latn-ME"/>
        </w:rPr>
        <w:footnoteReference w:id="6"/>
      </w:r>
      <w:r w:rsidRPr="00F96844">
        <w:rPr>
          <w:rFonts w:cs="Arial"/>
          <w:color w:val="000000"/>
          <w:sz w:val="24"/>
          <w:szCs w:val="24"/>
          <w:lang w:val="sr-Latn-ME"/>
        </w:rPr>
        <w:t xml:space="preserve">. </w:t>
      </w:r>
    </w:p>
    <w:p w14:paraId="727648E1" w14:textId="77777777" w:rsidR="00FD5566" w:rsidRPr="00F96844" w:rsidRDefault="00FD5566" w:rsidP="00780738">
      <w:pPr>
        <w:jc w:val="both"/>
        <w:rPr>
          <w:rFonts w:cs="Arial"/>
          <w:color w:val="000000"/>
          <w:sz w:val="24"/>
          <w:szCs w:val="24"/>
          <w:lang w:val="sr-Latn-ME"/>
        </w:rPr>
      </w:pPr>
    </w:p>
    <w:p w14:paraId="3ED6CB1C" w14:textId="1F9EA2E5" w:rsidR="00D614D1" w:rsidRPr="00F96844" w:rsidRDefault="00D614D1" w:rsidP="00780738">
      <w:pPr>
        <w:jc w:val="both"/>
        <w:rPr>
          <w:rFonts w:cs="Arial"/>
          <w:sz w:val="24"/>
          <w:szCs w:val="24"/>
          <w:lang w:val="sr-Latn-ME"/>
        </w:rPr>
      </w:pPr>
      <w:r w:rsidRPr="00F96844">
        <w:rPr>
          <w:rFonts w:cs="Arial"/>
          <w:bCs/>
          <w:color w:val="000000"/>
          <w:sz w:val="24"/>
          <w:szCs w:val="24"/>
          <w:lang w:val="sr-Latn-ME"/>
        </w:rPr>
        <w:t xml:space="preserve">Aktivnosti planirane za </w:t>
      </w:r>
      <w:r w:rsidRPr="005B7D8D">
        <w:rPr>
          <w:rFonts w:cs="Arial"/>
          <w:bCs/>
          <w:color w:val="000000"/>
          <w:sz w:val="24"/>
          <w:szCs w:val="24"/>
          <w:lang w:val="sr-Latn-ME"/>
        </w:rPr>
        <w:t>202</w:t>
      </w:r>
      <w:r w:rsidR="00016EB7" w:rsidRPr="005B7D8D">
        <w:rPr>
          <w:rFonts w:cs="Arial"/>
          <w:bCs/>
          <w:color w:val="000000"/>
          <w:sz w:val="24"/>
          <w:szCs w:val="24"/>
          <w:lang w:val="sr-Latn-ME"/>
        </w:rPr>
        <w:t>5</w:t>
      </w:r>
      <w:r w:rsidRPr="005B7D8D">
        <w:rPr>
          <w:rFonts w:cs="Arial"/>
          <w:bCs/>
          <w:color w:val="000000"/>
          <w:sz w:val="24"/>
          <w:szCs w:val="24"/>
          <w:lang w:val="sr-Latn-ME"/>
        </w:rPr>
        <w:t>.</w:t>
      </w:r>
      <w:r w:rsidR="00016EB7" w:rsidRPr="005B7D8D">
        <w:rPr>
          <w:rFonts w:cs="Arial"/>
          <w:bCs/>
          <w:color w:val="000000"/>
          <w:sz w:val="24"/>
          <w:szCs w:val="24"/>
          <w:lang w:val="sr-Latn-ME"/>
        </w:rPr>
        <w:t xml:space="preserve"> godinu</w:t>
      </w:r>
      <w:r w:rsidRPr="00F96844">
        <w:rPr>
          <w:rFonts w:cs="Arial"/>
          <w:bCs/>
          <w:color w:val="000000"/>
          <w:sz w:val="24"/>
          <w:szCs w:val="24"/>
          <w:lang w:val="sr-Latn-ME"/>
        </w:rPr>
        <w:t xml:space="preserve"> su</w:t>
      </w:r>
      <w:r w:rsidRPr="00F96844">
        <w:rPr>
          <w:rFonts w:cs="Arial"/>
          <w:color w:val="000000"/>
          <w:sz w:val="24"/>
          <w:szCs w:val="24"/>
          <w:lang w:val="sr-Latn-ME"/>
        </w:rPr>
        <w:t xml:space="preserve"> </w:t>
      </w:r>
      <w:r w:rsidR="00016EB7">
        <w:rPr>
          <w:rFonts w:cs="Arial"/>
          <w:color w:val="000000"/>
          <w:sz w:val="24"/>
          <w:szCs w:val="24"/>
          <w:lang w:val="sr-Latn-ME"/>
        </w:rPr>
        <w:t>u</w:t>
      </w:r>
      <w:r w:rsidR="00016EB7" w:rsidRPr="00016EB7">
        <w:rPr>
          <w:rFonts w:cs="Arial"/>
          <w:color w:val="000000"/>
          <w:sz w:val="24"/>
          <w:szCs w:val="24"/>
          <w:lang w:val="sr-Latn-ME"/>
        </w:rPr>
        <w:t>tvrđivanje Predloga Zakona o socijalnoj i dječjoj zaštiti</w:t>
      </w:r>
      <w:r w:rsidR="00016EB7">
        <w:rPr>
          <w:rFonts w:cs="Arial"/>
          <w:color w:val="000000"/>
          <w:sz w:val="24"/>
          <w:szCs w:val="24"/>
          <w:lang w:val="sr-Latn-ME"/>
        </w:rPr>
        <w:t>,</w:t>
      </w:r>
      <w:r w:rsidR="00016EB7" w:rsidRPr="00016EB7">
        <w:t xml:space="preserve"> </w:t>
      </w:r>
      <w:r w:rsidR="00016EB7">
        <w:rPr>
          <w:rFonts w:cs="Arial"/>
          <w:color w:val="000000"/>
          <w:sz w:val="24"/>
          <w:szCs w:val="24"/>
          <w:lang w:val="sr-Latn-ME"/>
        </w:rPr>
        <w:t>utvrđivanje</w:t>
      </w:r>
      <w:r w:rsidR="00016EB7" w:rsidRPr="00016EB7">
        <w:rPr>
          <w:rFonts w:cs="Arial"/>
          <w:color w:val="000000"/>
          <w:sz w:val="24"/>
          <w:szCs w:val="24"/>
          <w:lang w:val="sr-Latn-ME"/>
        </w:rPr>
        <w:t xml:space="preserve"> cijene koštanja usluga socijalne i dječje zaštite donošenjem metodologije izračunavanja cijena usluga socijalne i dječje zaštite koje se finansiraju sa državnog nivoa</w:t>
      </w:r>
      <w:r w:rsidR="00016EB7">
        <w:rPr>
          <w:rFonts w:cs="Arial"/>
          <w:color w:val="000000"/>
          <w:sz w:val="24"/>
          <w:szCs w:val="24"/>
          <w:lang w:val="sr-Latn-ME"/>
        </w:rPr>
        <w:t xml:space="preserve"> </w:t>
      </w:r>
      <w:r w:rsidR="00016EB7" w:rsidRPr="00016EB7">
        <w:rPr>
          <w:rFonts w:cs="Arial"/>
          <w:color w:val="000000"/>
          <w:sz w:val="24"/>
          <w:szCs w:val="24"/>
          <w:lang w:val="sr-Latn-ME"/>
        </w:rPr>
        <w:t xml:space="preserve"> </w:t>
      </w:r>
      <w:r w:rsidRPr="00F96844">
        <w:rPr>
          <w:rFonts w:cs="Arial"/>
          <w:color w:val="000000"/>
          <w:sz w:val="24"/>
          <w:szCs w:val="24"/>
          <w:lang w:val="sr-Latn-ME"/>
        </w:rPr>
        <w:t xml:space="preserve">i nastavak unapređivanja koordinacije i saradnje </w:t>
      </w:r>
      <w:r w:rsidRPr="005B7D8D">
        <w:rPr>
          <w:rFonts w:cs="Arial"/>
          <w:color w:val="000000"/>
          <w:sz w:val="24"/>
          <w:szCs w:val="24"/>
          <w:lang w:val="sr-Latn-ME"/>
        </w:rPr>
        <w:t>MSS</w:t>
      </w:r>
      <w:r w:rsidR="00B33911" w:rsidRPr="005B7D8D">
        <w:rPr>
          <w:rFonts w:cs="Arial"/>
          <w:color w:val="000000"/>
          <w:sz w:val="24"/>
          <w:szCs w:val="24"/>
          <w:lang w:val="sr-Latn-ME"/>
        </w:rPr>
        <w:t>D</w:t>
      </w:r>
      <w:r w:rsidRPr="005B7D8D">
        <w:rPr>
          <w:rFonts w:cs="Arial"/>
          <w:color w:val="000000"/>
          <w:sz w:val="24"/>
          <w:szCs w:val="24"/>
          <w:lang w:val="sr-Latn-ME"/>
        </w:rPr>
        <w:t xml:space="preserve">, </w:t>
      </w:r>
      <w:r w:rsidR="00E92CF8" w:rsidRPr="005B7D8D">
        <w:rPr>
          <w:rFonts w:cs="Arial"/>
          <w:color w:val="000000"/>
          <w:sz w:val="24"/>
          <w:szCs w:val="24"/>
          <w:lang w:val="sr-Latn-ME"/>
        </w:rPr>
        <w:t>c</w:t>
      </w:r>
      <w:r w:rsidRPr="005B7D8D">
        <w:rPr>
          <w:rFonts w:cs="Arial"/>
          <w:color w:val="000000"/>
          <w:sz w:val="24"/>
          <w:szCs w:val="24"/>
          <w:lang w:val="sr-Latn-ME"/>
        </w:rPr>
        <w:t>entara za socijalni rad i pruža</w:t>
      </w:r>
      <w:r w:rsidR="00B6364D" w:rsidRPr="005B7D8D">
        <w:rPr>
          <w:rFonts w:cs="Arial"/>
          <w:color w:val="000000"/>
          <w:sz w:val="24"/>
          <w:szCs w:val="24"/>
          <w:lang w:val="sr-Latn-ME"/>
        </w:rPr>
        <w:t>laca</w:t>
      </w:r>
      <w:r w:rsidRPr="005B7D8D">
        <w:rPr>
          <w:rFonts w:cs="Arial"/>
          <w:color w:val="000000"/>
          <w:sz w:val="24"/>
          <w:szCs w:val="24"/>
          <w:lang w:val="sr-Latn-ME"/>
        </w:rPr>
        <w:t xml:space="preserve"> usluga kroz sprovođenje nadzorne i koordinativne funkcije MSS</w:t>
      </w:r>
      <w:r w:rsidR="007C706E" w:rsidRPr="005B7D8D">
        <w:rPr>
          <w:rFonts w:cs="Arial"/>
          <w:color w:val="000000"/>
          <w:sz w:val="24"/>
          <w:szCs w:val="24"/>
          <w:lang w:val="sr-Latn-ME"/>
        </w:rPr>
        <w:t>D</w:t>
      </w:r>
      <w:r w:rsidRPr="005B7D8D">
        <w:rPr>
          <w:rFonts w:cs="Arial"/>
          <w:color w:val="000000"/>
          <w:sz w:val="24"/>
          <w:szCs w:val="24"/>
          <w:lang w:val="sr-Latn-ME"/>
        </w:rPr>
        <w:t xml:space="preserve"> i dalje unapređenje kapaciteta sistema da pruža usluge vođenja slučaja i upućivanja </w:t>
      </w:r>
      <w:r w:rsidR="00EB2F1D" w:rsidRPr="005B7D8D">
        <w:rPr>
          <w:rFonts w:cs="Arial"/>
          <w:color w:val="000000"/>
          <w:sz w:val="24"/>
          <w:szCs w:val="24"/>
          <w:lang w:val="sr-Latn-ME"/>
        </w:rPr>
        <w:t>korisnika/korisnica</w:t>
      </w:r>
      <w:r w:rsidRPr="005B7D8D">
        <w:rPr>
          <w:rFonts w:cs="Arial"/>
          <w:color w:val="000000"/>
          <w:sz w:val="24"/>
          <w:szCs w:val="24"/>
          <w:lang w:val="sr-Latn-ME"/>
        </w:rPr>
        <w:t xml:space="preserve">, </w:t>
      </w:r>
      <w:r w:rsidRPr="005B7D8D">
        <w:rPr>
          <w:rFonts w:cs="Arial"/>
          <w:sz w:val="24"/>
          <w:szCs w:val="24"/>
          <w:lang w:val="sr-Latn-ME"/>
        </w:rPr>
        <w:t>MSS</w:t>
      </w:r>
      <w:r w:rsidR="007C706E" w:rsidRPr="005B7D8D">
        <w:rPr>
          <w:rFonts w:cs="Arial"/>
          <w:sz w:val="24"/>
          <w:szCs w:val="24"/>
          <w:lang w:val="sr-Latn-ME"/>
        </w:rPr>
        <w:t>D</w:t>
      </w:r>
      <w:r w:rsidRPr="005B7D8D">
        <w:rPr>
          <w:rFonts w:cs="Arial"/>
          <w:sz w:val="24"/>
          <w:szCs w:val="24"/>
          <w:lang w:val="sr-Latn-ME"/>
        </w:rPr>
        <w:t xml:space="preserve">, </w:t>
      </w:r>
      <w:r w:rsidR="00D11D4F" w:rsidRPr="005B7D8D">
        <w:rPr>
          <w:rFonts w:cs="Arial"/>
          <w:sz w:val="24"/>
          <w:szCs w:val="24"/>
          <w:lang w:val="sr-Latn-ME"/>
        </w:rPr>
        <w:t>c</w:t>
      </w:r>
      <w:r w:rsidRPr="005B7D8D">
        <w:rPr>
          <w:rFonts w:cs="Arial"/>
          <w:sz w:val="24"/>
          <w:szCs w:val="24"/>
          <w:lang w:val="sr-Latn-ME"/>
        </w:rPr>
        <w:t>entri za socijalni rad.</w:t>
      </w:r>
      <w:r w:rsidRPr="00F96844">
        <w:rPr>
          <w:rFonts w:cs="Arial"/>
          <w:sz w:val="24"/>
          <w:szCs w:val="24"/>
          <w:lang w:val="sr-Latn-ME"/>
        </w:rPr>
        <w:t xml:space="preserve"> </w:t>
      </w:r>
    </w:p>
    <w:p w14:paraId="513AD640" w14:textId="77777777" w:rsidR="00FD5566" w:rsidRPr="00F96844" w:rsidRDefault="00FD5566" w:rsidP="00780738">
      <w:pPr>
        <w:jc w:val="both"/>
        <w:rPr>
          <w:rFonts w:cs="Arial"/>
          <w:sz w:val="24"/>
          <w:szCs w:val="24"/>
          <w:lang w:val="sr-Latn-ME"/>
        </w:rPr>
      </w:pPr>
    </w:p>
    <w:p w14:paraId="593A305D" w14:textId="4658491A" w:rsidR="00D614D1" w:rsidRPr="00F96844" w:rsidRDefault="00D614D1" w:rsidP="00780738">
      <w:pPr>
        <w:jc w:val="both"/>
        <w:rPr>
          <w:rFonts w:cs="Arial"/>
          <w:sz w:val="24"/>
          <w:szCs w:val="24"/>
          <w:lang w:val="sr-Latn-ME"/>
        </w:rPr>
      </w:pPr>
      <w:r w:rsidRPr="00F96844">
        <w:rPr>
          <w:rFonts w:cs="Arial"/>
          <w:bCs/>
          <w:sz w:val="24"/>
          <w:szCs w:val="24"/>
          <w:lang w:val="sr-Latn-ME"/>
        </w:rPr>
        <w:lastRenderedPageBreak/>
        <w:t xml:space="preserve">Aktivnost planirana za </w:t>
      </w:r>
      <w:r w:rsidR="00016EB7">
        <w:rPr>
          <w:rFonts w:cs="Arial"/>
          <w:bCs/>
          <w:sz w:val="24"/>
          <w:szCs w:val="24"/>
          <w:lang w:val="sr-Latn-ME"/>
        </w:rPr>
        <w:t>2026</w:t>
      </w:r>
      <w:r w:rsidRPr="00F96844">
        <w:rPr>
          <w:rFonts w:cs="Arial"/>
          <w:bCs/>
          <w:sz w:val="24"/>
          <w:szCs w:val="24"/>
          <w:lang w:val="sr-Latn-ME"/>
        </w:rPr>
        <w:t>. godinu je u</w:t>
      </w:r>
      <w:r w:rsidRPr="00F96844">
        <w:rPr>
          <w:rFonts w:cs="Arial"/>
          <w:sz w:val="24"/>
          <w:szCs w:val="24"/>
          <w:lang w:val="sr-Latn-ME"/>
        </w:rPr>
        <w:t>tvrđivanje minimalnog paketa usluga socijalne i d</w:t>
      </w:r>
      <w:r w:rsidR="00EB2F1D">
        <w:rPr>
          <w:rFonts w:cs="Arial"/>
          <w:sz w:val="24"/>
          <w:szCs w:val="24"/>
          <w:lang w:val="sr-Latn-ME"/>
        </w:rPr>
        <w:t>ječj</w:t>
      </w:r>
      <w:r w:rsidRPr="00F96844">
        <w:rPr>
          <w:rFonts w:cs="Arial"/>
          <w:sz w:val="24"/>
          <w:szCs w:val="24"/>
          <w:lang w:val="sr-Latn-ME"/>
        </w:rPr>
        <w:t xml:space="preserve">e zaštite, kreiranje paketa usluga iz socijalne i dječje zaštite (npr. minimalni paket usluga za osobe s invaliditetom ili za starije osobe ili mlađu djecu) kako bi se obezbijedili lako upućivanje i pristup svim ključnim uslugama i na najbolji način odgovorilo potrebama </w:t>
      </w:r>
      <w:r w:rsidR="00EB2F1D">
        <w:rPr>
          <w:rFonts w:cs="Arial"/>
          <w:sz w:val="24"/>
          <w:szCs w:val="24"/>
          <w:lang w:val="sr-Latn-ME"/>
        </w:rPr>
        <w:t>korisnika/korisnica</w:t>
      </w:r>
      <w:r w:rsidRPr="00F96844">
        <w:rPr>
          <w:rFonts w:cs="Arial"/>
          <w:sz w:val="24"/>
          <w:szCs w:val="24"/>
          <w:lang w:val="sr-Latn-ME"/>
        </w:rPr>
        <w:t>.</w:t>
      </w:r>
    </w:p>
    <w:p w14:paraId="285E34D5" w14:textId="77777777" w:rsidR="00FD5566" w:rsidRPr="00F96844" w:rsidRDefault="00FD5566" w:rsidP="00780738">
      <w:pPr>
        <w:jc w:val="both"/>
        <w:rPr>
          <w:rFonts w:cs="Arial"/>
          <w:sz w:val="24"/>
          <w:szCs w:val="24"/>
          <w:lang w:val="sr-Latn-ME"/>
        </w:rPr>
      </w:pPr>
    </w:p>
    <w:p w14:paraId="411D8913" w14:textId="2AF55A19" w:rsidR="00D614D1" w:rsidRPr="00F96844" w:rsidRDefault="00016EB7" w:rsidP="00780738">
      <w:pPr>
        <w:jc w:val="both"/>
        <w:rPr>
          <w:rFonts w:cs="Arial"/>
          <w:color w:val="000000"/>
          <w:sz w:val="24"/>
          <w:szCs w:val="24"/>
          <w:lang w:val="sr-Latn-ME"/>
        </w:rPr>
      </w:pPr>
      <w:r>
        <w:rPr>
          <w:rFonts w:cs="Arial"/>
          <w:bCs/>
          <w:sz w:val="24"/>
          <w:szCs w:val="24"/>
          <w:lang w:val="sr-Latn-ME"/>
        </w:rPr>
        <w:t>Aktivnost planirana za 2027</w:t>
      </w:r>
      <w:r w:rsidR="00D614D1" w:rsidRPr="00F96844">
        <w:rPr>
          <w:rFonts w:cs="Arial"/>
          <w:bCs/>
          <w:sz w:val="24"/>
          <w:szCs w:val="24"/>
          <w:lang w:val="sr-Latn-ME"/>
        </w:rPr>
        <w:t xml:space="preserve">. godinu je </w:t>
      </w:r>
      <w:r w:rsidR="00D614D1" w:rsidRPr="00F96844">
        <w:rPr>
          <w:rFonts w:cs="Arial"/>
          <w:sz w:val="24"/>
          <w:szCs w:val="24"/>
          <w:lang w:val="sr-Latn-ME"/>
        </w:rPr>
        <w:t xml:space="preserve">uspostavljanje novih specijalizovanih </w:t>
      </w:r>
      <w:r w:rsidR="00D614D1" w:rsidRPr="00F96844">
        <w:rPr>
          <w:rFonts w:cs="Arial"/>
          <w:color w:val="000000"/>
          <w:sz w:val="24"/>
          <w:szCs w:val="24"/>
          <w:lang w:val="sr-Latn-ME"/>
        </w:rPr>
        <w:t>usluga za žrtve rodno zasnovanog nasilja u skladu s Istanbulskom konvencijom.</w:t>
      </w:r>
    </w:p>
    <w:p w14:paraId="25207280" w14:textId="77777777" w:rsidR="00FD5566" w:rsidRPr="00F96844" w:rsidRDefault="00FD5566" w:rsidP="00780738">
      <w:pPr>
        <w:jc w:val="both"/>
        <w:rPr>
          <w:rFonts w:cs="Arial"/>
          <w:color w:val="000000"/>
          <w:sz w:val="24"/>
          <w:szCs w:val="24"/>
          <w:lang w:val="sr-Latn-ME"/>
        </w:rPr>
      </w:pPr>
    </w:p>
    <w:bookmarkEnd w:id="45"/>
    <w:p w14:paraId="68D54EBF" w14:textId="77777777" w:rsidR="00CA0E87" w:rsidRPr="00F96844" w:rsidRDefault="00CA0E87" w:rsidP="00780738">
      <w:pPr>
        <w:jc w:val="both"/>
        <w:rPr>
          <w:rFonts w:cs="Arial"/>
          <w:b/>
          <w:i/>
          <w:iCs/>
          <w:sz w:val="24"/>
          <w:szCs w:val="24"/>
          <w:lang w:val="sr-Latn-ME"/>
        </w:rPr>
      </w:pPr>
      <w:r w:rsidRPr="00F96844">
        <w:rPr>
          <w:rFonts w:cs="Arial"/>
          <w:b/>
          <w:i/>
          <w:iCs/>
          <w:sz w:val="24"/>
          <w:szCs w:val="24"/>
          <w:lang w:val="sr-Latn-ME"/>
        </w:rPr>
        <w:t>Program pristupanja Crne Gore Evropskoj uniji (PPCG) 2023</w:t>
      </w:r>
      <w:r w:rsidR="00D757C8" w:rsidRPr="00D757C8">
        <w:rPr>
          <w:rFonts w:cs="Arial"/>
          <w:b/>
          <w:i/>
          <w:iCs/>
          <w:sz w:val="24"/>
          <w:szCs w:val="24"/>
          <w:lang w:val="sr-Latn-ME"/>
        </w:rPr>
        <w:t>‒</w:t>
      </w:r>
      <w:r w:rsidRPr="00F96844">
        <w:rPr>
          <w:rFonts w:cs="Arial"/>
          <w:b/>
          <w:i/>
          <w:iCs/>
          <w:sz w:val="24"/>
          <w:szCs w:val="24"/>
          <w:lang w:val="sr-Latn-ME"/>
        </w:rPr>
        <w:t>2024</w:t>
      </w:r>
      <w:r w:rsidR="00A64A0A" w:rsidRPr="00F96844">
        <w:rPr>
          <w:rFonts w:cs="Arial"/>
          <w:b/>
          <w:i/>
          <w:iCs/>
          <w:sz w:val="24"/>
          <w:szCs w:val="24"/>
          <w:lang w:val="sr-Latn-ME"/>
        </w:rPr>
        <w:t>.</w:t>
      </w:r>
    </w:p>
    <w:p w14:paraId="5A3AE2B5" w14:textId="77777777" w:rsidR="00A64A0A" w:rsidRPr="00F96844" w:rsidRDefault="00A64A0A" w:rsidP="00780738">
      <w:pPr>
        <w:jc w:val="both"/>
        <w:rPr>
          <w:rFonts w:cs="Arial"/>
          <w:b/>
          <w:i/>
          <w:iCs/>
          <w:sz w:val="24"/>
          <w:szCs w:val="24"/>
          <w:lang w:val="sr-Latn-ME"/>
        </w:rPr>
      </w:pPr>
    </w:p>
    <w:p w14:paraId="2018141F" w14:textId="77777777" w:rsidR="00CA0E87" w:rsidRPr="00F96844" w:rsidRDefault="00CA0E87" w:rsidP="00780738">
      <w:pPr>
        <w:jc w:val="both"/>
        <w:rPr>
          <w:rFonts w:cs="Arial"/>
          <w:iCs/>
          <w:sz w:val="24"/>
          <w:szCs w:val="24"/>
          <w:lang w:val="sr-Latn-ME"/>
        </w:rPr>
      </w:pPr>
      <w:r w:rsidRPr="00F96844">
        <w:rPr>
          <w:rFonts w:cs="Arial"/>
          <w:iCs/>
          <w:sz w:val="24"/>
          <w:szCs w:val="24"/>
          <w:lang w:val="sr-Latn-ME"/>
        </w:rPr>
        <w:t>PPCG-om, kao jednim od krovnih nacionalnih strateških dokumenata, predviđeno je usvajanje Strategije socijalne i dječje zaštite kao</w:t>
      </w:r>
      <w:r w:rsidR="00D757C8">
        <w:rPr>
          <w:rFonts w:cs="Arial"/>
          <w:iCs/>
          <w:sz w:val="24"/>
          <w:szCs w:val="24"/>
          <w:lang w:val="sr-Latn-ME"/>
        </w:rPr>
        <w:t xml:space="preserve"> </w:t>
      </w:r>
      <w:r w:rsidRPr="00F96844">
        <w:rPr>
          <w:rFonts w:cs="Arial"/>
          <w:iCs/>
          <w:sz w:val="24"/>
          <w:szCs w:val="24"/>
          <w:lang w:val="sr-Latn-ME"/>
        </w:rPr>
        <w:t>jednog od ključnih segmenata u okviru Poglavlja 19: Socijalna politika i zapošljavanje</w:t>
      </w:r>
      <w:r w:rsidR="00A21214" w:rsidRPr="00F96844">
        <w:rPr>
          <w:rStyle w:val="FootnoteReference"/>
          <w:rFonts w:cs="Arial"/>
          <w:iCs/>
          <w:sz w:val="24"/>
          <w:szCs w:val="24"/>
          <w:lang w:val="sr-Latn-ME"/>
        </w:rPr>
        <w:footnoteReference w:id="7"/>
      </w:r>
      <w:r w:rsidRPr="00F96844">
        <w:rPr>
          <w:rFonts w:cs="Arial"/>
          <w:iCs/>
          <w:sz w:val="24"/>
          <w:szCs w:val="24"/>
          <w:lang w:val="sr-Latn-ME"/>
        </w:rPr>
        <w:t>. Usvajanjem ovog dokumenta pruža se dodatni doprinos putu Crne Gore ka EU, pri čemu je važno ukazati da je Crna Gora izradom Akcionog plana za postepeno usklađivanje zakonodavstva i izgradnju neophodnih kapaciteta za implementaciju i sprovođenje evropske pravne tekovine ispunila uslov za otvaranje Poglavlja 19, što je i potvrđeno na Međuvladinoj konferenciji koja je održana 13. Decembra 2016. godine</w:t>
      </w:r>
      <w:r w:rsidR="00A21214" w:rsidRPr="00F96844">
        <w:rPr>
          <w:rStyle w:val="FootnoteReference"/>
          <w:rFonts w:cs="Arial"/>
          <w:iCs/>
          <w:sz w:val="24"/>
          <w:szCs w:val="24"/>
          <w:lang w:val="sr-Latn-ME"/>
        </w:rPr>
        <w:footnoteReference w:id="8"/>
      </w:r>
      <w:r w:rsidRPr="00F96844">
        <w:rPr>
          <w:rFonts w:cs="Arial"/>
          <w:iCs/>
          <w:sz w:val="24"/>
          <w:szCs w:val="24"/>
          <w:lang w:val="sr-Latn-ME"/>
        </w:rPr>
        <w:t>.</w:t>
      </w:r>
    </w:p>
    <w:p w14:paraId="56C89EFC" w14:textId="77777777" w:rsidR="00FD5566" w:rsidRPr="00F96844" w:rsidRDefault="00FD5566" w:rsidP="00780738">
      <w:pPr>
        <w:jc w:val="both"/>
        <w:rPr>
          <w:rFonts w:cs="Arial"/>
          <w:iCs/>
          <w:sz w:val="24"/>
          <w:szCs w:val="24"/>
          <w:lang w:val="sr-Latn-ME"/>
        </w:rPr>
      </w:pPr>
    </w:p>
    <w:p w14:paraId="69880C73" w14:textId="77777777" w:rsidR="00AE440B" w:rsidRPr="00F96844" w:rsidRDefault="00AE440B" w:rsidP="00780738">
      <w:pPr>
        <w:jc w:val="both"/>
        <w:rPr>
          <w:rFonts w:cs="Arial"/>
          <w:b/>
          <w:i/>
          <w:iCs/>
          <w:sz w:val="24"/>
          <w:szCs w:val="24"/>
          <w:lang w:val="sr-Latn-ME"/>
        </w:rPr>
      </w:pPr>
      <w:r w:rsidRPr="00F96844">
        <w:rPr>
          <w:rFonts w:cs="Arial"/>
          <w:b/>
          <w:i/>
          <w:iCs/>
          <w:sz w:val="24"/>
          <w:szCs w:val="24"/>
          <w:lang w:val="sr-Latn-ME"/>
        </w:rPr>
        <w:t>Strategija regionalnog razvoja 2023</w:t>
      </w:r>
      <w:r w:rsidR="00D757C8" w:rsidRPr="00D757C8">
        <w:rPr>
          <w:rFonts w:cs="Arial"/>
          <w:b/>
          <w:i/>
          <w:iCs/>
          <w:sz w:val="24"/>
          <w:szCs w:val="24"/>
          <w:lang w:val="sr-Latn-ME"/>
        </w:rPr>
        <w:t>‒</w:t>
      </w:r>
      <w:r w:rsidRPr="00F96844">
        <w:rPr>
          <w:rFonts w:cs="Arial"/>
          <w:b/>
          <w:i/>
          <w:iCs/>
          <w:sz w:val="24"/>
          <w:szCs w:val="24"/>
          <w:lang w:val="sr-Latn-ME"/>
        </w:rPr>
        <w:t>2027</w:t>
      </w:r>
      <w:r w:rsidR="00FD5566" w:rsidRPr="00F96844">
        <w:rPr>
          <w:rFonts w:cs="Arial"/>
          <w:b/>
          <w:i/>
          <w:iCs/>
          <w:sz w:val="24"/>
          <w:szCs w:val="24"/>
          <w:lang w:val="sr-Latn-ME"/>
        </w:rPr>
        <w:t>.</w:t>
      </w:r>
    </w:p>
    <w:p w14:paraId="23528EFE" w14:textId="77777777" w:rsidR="00A64A0A" w:rsidRPr="00F96844" w:rsidRDefault="00A64A0A" w:rsidP="00780738">
      <w:pPr>
        <w:jc w:val="both"/>
        <w:rPr>
          <w:rFonts w:cs="Arial"/>
          <w:b/>
          <w:i/>
          <w:iCs/>
          <w:sz w:val="24"/>
          <w:szCs w:val="24"/>
          <w:lang w:val="sr-Latn-ME"/>
        </w:rPr>
      </w:pPr>
    </w:p>
    <w:p w14:paraId="31445960" w14:textId="77777777" w:rsidR="00AE440B" w:rsidRPr="00F96844" w:rsidRDefault="00AE440B" w:rsidP="00780738">
      <w:pPr>
        <w:jc w:val="both"/>
        <w:rPr>
          <w:rFonts w:cs="Arial"/>
          <w:iCs/>
          <w:sz w:val="24"/>
          <w:szCs w:val="24"/>
          <w:lang w:val="sr-Latn-ME"/>
        </w:rPr>
      </w:pPr>
      <w:r w:rsidRPr="00F96844">
        <w:rPr>
          <w:rFonts w:cs="Arial"/>
          <w:iCs/>
          <w:sz w:val="24"/>
          <w:szCs w:val="24"/>
          <w:lang w:val="sr-Latn-ME"/>
        </w:rPr>
        <w:t>Strateški dokument je usklađen sa Strategijom regionalnog razvoja 2023</w:t>
      </w:r>
      <w:r w:rsidR="00D757C8" w:rsidRPr="00D757C8">
        <w:rPr>
          <w:rFonts w:cs="Arial"/>
          <w:iCs/>
          <w:sz w:val="24"/>
          <w:szCs w:val="24"/>
          <w:lang w:val="sr-Latn-ME"/>
        </w:rPr>
        <w:t>‒</w:t>
      </w:r>
      <w:r w:rsidRPr="00F96844">
        <w:rPr>
          <w:rFonts w:cs="Arial"/>
          <w:iCs/>
          <w:sz w:val="24"/>
          <w:szCs w:val="24"/>
          <w:lang w:val="sr-Latn-ME"/>
        </w:rPr>
        <w:t>2027, u dijelu koji se odnosi na stvaranje uslova za ravnomjerni razvoj svih regiona Crne Gore, s akcentom na potrebu obezbjeđivanja većeg nivoa socijalne inkluzije i razvoja socijalnih politika koje su namijenjene manje razvijenim regionima u Crnoj Gori. U tom pogledu, primarni akcenat je stavljen na usklađenost sa:</w:t>
      </w:r>
    </w:p>
    <w:p w14:paraId="26258D12" w14:textId="77777777" w:rsidR="00AE440B" w:rsidRPr="00F96844" w:rsidRDefault="00AE440B" w:rsidP="00780738">
      <w:pPr>
        <w:pStyle w:val="ListParagraph"/>
        <w:numPr>
          <w:ilvl w:val="0"/>
          <w:numId w:val="3"/>
        </w:numPr>
        <w:jc w:val="both"/>
        <w:rPr>
          <w:rFonts w:cs="Arial"/>
          <w:iCs/>
          <w:sz w:val="24"/>
          <w:szCs w:val="24"/>
          <w:lang w:val="sr-Latn-ME"/>
        </w:rPr>
      </w:pPr>
      <w:r w:rsidRPr="00F96844">
        <w:rPr>
          <w:rFonts w:cs="Arial"/>
          <w:iCs/>
          <w:sz w:val="24"/>
          <w:szCs w:val="24"/>
          <w:lang w:val="sr-Latn-ME"/>
        </w:rPr>
        <w:t>Operativni cilj 2.1. Unapređenje ljudskog kapitala kroz poboljšanje kvaliteta obrazovanja, zdravstvene i socijalne zaštite</w:t>
      </w:r>
      <w:r w:rsidR="00142786" w:rsidRPr="00F96844">
        <w:rPr>
          <w:rStyle w:val="FootnoteReference"/>
          <w:rFonts w:cs="Arial"/>
          <w:iCs/>
          <w:sz w:val="24"/>
          <w:szCs w:val="24"/>
          <w:lang w:val="sr-Latn-ME"/>
        </w:rPr>
        <w:footnoteReference w:id="9"/>
      </w:r>
      <w:r w:rsidRPr="00F96844">
        <w:rPr>
          <w:rFonts w:cs="Arial"/>
          <w:iCs/>
          <w:sz w:val="24"/>
          <w:szCs w:val="24"/>
          <w:lang w:val="sr-Latn-ME"/>
        </w:rPr>
        <w:t>. Nivo usklađenosti</w:t>
      </w:r>
      <w:r w:rsidR="004C5D23">
        <w:rPr>
          <w:rFonts w:cs="Arial"/>
          <w:iCs/>
          <w:sz w:val="24"/>
          <w:szCs w:val="24"/>
          <w:lang w:val="sr-Latn-ME"/>
        </w:rPr>
        <w:t xml:space="preserve"> s o</w:t>
      </w:r>
      <w:r w:rsidRPr="00F96844">
        <w:rPr>
          <w:rFonts w:cs="Arial"/>
          <w:iCs/>
          <w:sz w:val="24"/>
          <w:szCs w:val="24"/>
          <w:lang w:val="sr-Latn-ME"/>
        </w:rPr>
        <w:t>vim ciljem se ogleda u potrebi obezbjeđivanja većeg nivoa ulaganja u razvoj infrastru</w:t>
      </w:r>
      <w:r w:rsidR="00D757C8">
        <w:rPr>
          <w:rFonts w:cs="Arial"/>
          <w:iCs/>
          <w:sz w:val="24"/>
          <w:szCs w:val="24"/>
          <w:lang w:val="sr-Latn-ME"/>
        </w:rPr>
        <w:t>k</w:t>
      </w:r>
      <w:r w:rsidRPr="00F96844">
        <w:rPr>
          <w:rFonts w:cs="Arial"/>
          <w:iCs/>
          <w:sz w:val="24"/>
          <w:szCs w:val="24"/>
          <w:lang w:val="sr-Latn-ME"/>
        </w:rPr>
        <w:t>ture za socijalnu zaštitu u manje ra</w:t>
      </w:r>
      <w:r w:rsidR="00D757C8">
        <w:rPr>
          <w:rFonts w:cs="Arial"/>
          <w:iCs/>
          <w:sz w:val="24"/>
          <w:szCs w:val="24"/>
          <w:lang w:val="sr-Latn-ME"/>
        </w:rPr>
        <w:t>z</w:t>
      </w:r>
      <w:r w:rsidRPr="00F96844">
        <w:rPr>
          <w:rFonts w:cs="Arial"/>
          <w:iCs/>
          <w:sz w:val="24"/>
          <w:szCs w:val="24"/>
          <w:lang w:val="sr-Latn-ME"/>
        </w:rPr>
        <w:t>vijenim regionima Crne Gore.</w:t>
      </w:r>
    </w:p>
    <w:p w14:paraId="09A1B32D" w14:textId="77777777" w:rsidR="00FD5566" w:rsidRPr="00F96844" w:rsidRDefault="00FD5566" w:rsidP="00780738">
      <w:pPr>
        <w:ind w:left="360"/>
        <w:jc w:val="both"/>
        <w:rPr>
          <w:rFonts w:cs="Arial"/>
          <w:iCs/>
          <w:sz w:val="24"/>
          <w:szCs w:val="24"/>
          <w:lang w:val="sr-Latn-ME"/>
        </w:rPr>
      </w:pPr>
    </w:p>
    <w:p w14:paraId="1B636B57" w14:textId="77777777" w:rsidR="00D614D1" w:rsidRPr="00F96844" w:rsidRDefault="00D614D1" w:rsidP="00780738">
      <w:pPr>
        <w:jc w:val="both"/>
        <w:rPr>
          <w:rFonts w:eastAsia="Times New Roman" w:cs="Arial"/>
          <w:b/>
          <w:sz w:val="24"/>
          <w:szCs w:val="24"/>
          <w:lang w:val="sr-Latn-ME"/>
        </w:rPr>
      </w:pPr>
      <w:r w:rsidRPr="00F96844">
        <w:rPr>
          <w:rFonts w:eastAsia="Times New Roman" w:cs="Arial"/>
          <w:b/>
          <w:i/>
          <w:iCs/>
          <w:sz w:val="24"/>
          <w:szCs w:val="24"/>
          <w:lang w:val="sr-Latn-ME"/>
        </w:rPr>
        <w:t>Strategija za zaštitu lica</w:t>
      </w:r>
      <w:r w:rsidR="00867803">
        <w:rPr>
          <w:rFonts w:eastAsia="Times New Roman" w:cs="Arial"/>
          <w:b/>
          <w:i/>
          <w:iCs/>
          <w:sz w:val="24"/>
          <w:szCs w:val="24"/>
          <w:lang w:val="sr-Latn-ME"/>
        </w:rPr>
        <w:t xml:space="preserve"> s i</w:t>
      </w:r>
      <w:r w:rsidRPr="00F96844">
        <w:rPr>
          <w:rFonts w:eastAsia="Times New Roman" w:cs="Arial"/>
          <w:b/>
          <w:i/>
          <w:iCs/>
          <w:sz w:val="24"/>
          <w:szCs w:val="24"/>
          <w:lang w:val="sr-Latn-ME"/>
        </w:rPr>
        <w:t>nvaliditetom od diskriminacije i promociju jednakosti za period 2022</w:t>
      </w:r>
      <w:r w:rsidR="00D757C8" w:rsidRPr="00D757C8">
        <w:rPr>
          <w:rFonts w:eastAsia="Times New Roman" w:cs="Arial"/>
          <w:b/>
          <w:i/>
          <w:iCs/>
          <w:sz w:val="24"/>
          <w:szCs w:val="24"/>
          <w:lang w:val="sr-Latn-ME"/>
        </w:rPr>
        <w:t>‒</w:t>
      </w:r>
      <w:r w:rsidRPr="00F96844">
        <w:rPr>
          <w:rFonts w:eastAsia="Times New Roman" w:cs="Arial"/>
          <w:b/>
          <w:i/>
          <w:iCs/>
          <w:sz w:val="24"/>
          <w:szCs w:val="24"/>
          <w:lang w:val="sr-Latn-ME"/>
        </w:rPr>
        <w:t>2027</w:t>
      </w:r>
      <w:r w:rsidR="00FD5566" w:rsidRPr="00F96844">
        <w:rPr>
          <w:rFonts w:eastAsia="Times New Roman" w:cs="Arial"/>
          <w:b/>
          <w:i/>
          <w:iCs/>
          <w:sz w:val="24"/>
          <w:szCs w:val="24"/>
          <w:lang w:val="sr-Latn-ME"/>
        </w:rPr>
        <w:t>.</w:t>
      </w:r>
      <w:r w:rsidRPr="00F96844">
        <w:rPr>
          <w:rFonts w:eastAsia="Times New Roman" w:cs="Arial"/>
          <w:b/>
          <w:sz w:val="24"/>
          <w:szCs w:val="24"/>
          <w:lang w:val="sr-Latn-ME"/>
        </w:rPr>
        <w:t xml:space="preserve"> </w:t>
      </w:r>
    </w:p>
    <w:p w14:paraId="50199F9A" w14:textId="77777777" w:rsidR="00A64A0A" w:rsidRPr="00F96844" w:rsidRDefault="00A64A0A" w:rsidP="00780738">
      <w:pPr>
        <w:jc w:val="both"/>
        <w:rPr>
          <w:rFonts w:eastAsia="Times New Roman" w:cs="Arial"/>
          <w:b/>
          <w:sz w:val="24"/>
          <w:szCs w:val="24"/>
          <w:lang w:val="sr-Latn-ME"/>
        </w:rPr>
      </w:pPr>
    </w:p>
    <w:p w14:paraId="020CBD3A" w14:textId="77777777" w:rsidR="00D614D1" w:rsidRDefault="00D614D1" w:rsidP="00780738">
      <w:pPr>
        <w:jc w:val="both"/>
        <w:rPr>
          <w:rFonts w:cs="Arial"/>
          <w:sz w:val="24"/>
          <w:szCs w:val="24"/>
          <w:lang w:val="sr-Latn-ME"/>
        </w:rPr>
      </w:pPr>
      <w:r w:rsidRPr="00F96844">
        <w:rPr>
          <w:rFonts w:cs="Arial"/>
          <w:sz w:val="24"/>
          <w:szCs w:val="24"/>
          <w:lang w:val="sr-Latn-ME"/>
        </w:rPr>
        <w:t>Socijalna zaštita ima ključnu ulogu u ostvarivanju prava lica s invaliditetom svih uzrasta, primarno kroz obezbjeđivanje odgovarajućeg životnog standarda, zajedno</w:t>
      </w:r>
      <w:r w:rsidR="004C5D23">
        <w:rPr>
          <w:rFonts w:cs="Arial"/>
          <w:sz w:val="24"/>
          <w:szCs w:val="24"/>
          <w:lang w:val="sr-Latn-ME"/>
        </w:rPr>
        <w:t xml:space="preserve"> s o</w:t>
      </w:r>
      <w:r w:rsidRPr="00F96844">
        <w:rPr>
          <w:rFonts w:cs="Arial"/>
          <w:sz w:val="24"/>
          <w:szCs w:val="24"/>
          <w:lang w:val="sr-Latn-ME"/>
        </w:rPr>
        <w:t>snovnim nivoom sigurnosti prihoda. Na taj način se stvaraju uslovi za smanjenje nivoa siromaštva i ranjivosti s kojim se suočavaju lica s invaliditetom</w:t>
      </w:r>
      <w:r w:rsidR="00142786" w:rsidRPr="00F96844">
        <w:rPr>
          <w:rStyle w:val="FootnoteReference"/>
          <w:rFonts w:cs="Arial"/>
          <w:sz w:val="24"/>
          <w:szCs w:val="24"/>
          <w:lang w:val="sr-Latn-ME"/>
        </w:rPr>
        <w:footnoteReference w:id="10"/>
      </w:r>
      <w:r w:rsidRPr="00F96844">
        <w:rPr>
          <w:rFonts w:cs="Arial"/>
          <w:sz w:val="24"/>
          <w:szCs w:val="24"/>
          <w:lang w:val="sr-Latn-ME"/>
        </w:rPr>
        <w:t xml:space="preserve"> zbog čega se ovim strateškim dokumentom</w:t>
      </w:r>
      <w:r w:rsidRPr="00F96844">
        <w:rPr>
          <w:rFonts w:cs="Arial"/>
          <w:spacing w:val="1"/>
          <w:sz w:val="24"/>
          <w:szCs w:val="24"/>
          <w:lang w:val="sr-Latn-ME"/>
        </w:rPr>
        <w:t xml:space="preserve"> </w:t>
      </w:r>
      <w:r w:rsidRPr="00F96844">
        <w:rPr>
          <w:rFonts w:cs="Arial"/>
          <w:sz w:val="24"/>
          <w:szCs w:val="24"/>
          <w:lang w:val="sr-Latn-ME"/>
        </w:rPr>
        <w:t>stavlja</w:t>
      </w:r>
      <w:r w:rsidRPr="00F96844">
        <w:rPr>
          <w:rFonts w:cs="Arial"/>
          <w:spacing w:val="-4"/>
          <w:sz w:val="24"/>
          <w:szCs w:val="24"/>
          <w:lang w:val="sr-Latn-ME"/>
        </w:rPr>
        <w:t xml:space="preserve"> </w:t>
      </w:r>
      <w:r w:rsidRPr="00F96844">
        <w:rPr>
          <w:rFonts w:cs="Arial"/>
          <w:sz w:val="24"/>
          <w:szCs w:val="24"/>
          <w:lang w:val="sr-Latn-ME"/>
        </w:rPr>
        <w:t xml:space="preserve">akcenat na ostvarivanje operativnog cilja 5: Obezbijediti punu ravnopravnost i priznavanje svih prava iz oblasti socijalne i dječje zaštite licima s invaliditetom koja garantuju potrebne uslove za samostalan život u zajednici. Kao </w:t>
      </w:r>
      <w:r w:rsidRPr="00F96844">
        <w:rPr>
          <w:rFonts w:cs="Arial"/>
          <w:sz w:val="24"/>
          <w:szCs w:val="24"/>
          <w:lang w:val="sr-Latn-ME"/>
        </w:rPr>
        <w:lastRenderedPageBreak/>
        <w:t>indikator učinka navedenog cilja planirano je smanjenje procenta lica s invaliditetom kojima nije priznato određeno zakonom garantovano pravo iz oblasti socijalne zaštite za 85% do kraja 2027. godine</w:t>
      </w:r>
      <w:r w:rsidR="00142786" w:rsidRPr="00F96844">
        <w:rPr>
          <w:rStyle w:val="FootnoteReference"/>
          <w:rFonts w:cs="Arial"/>
          <w:sz w:val="24"/>
          <w:szCs w:val="24"/>
          <w:lang w:val="sr-Latn-ME"/>
        </w:rPr>
        <w:footnoteReference w:id="11"/>
      </w:r>
      <w:r w:rsidRPr="00F96844">
        <w:rPr>
          <w:rFonts w:cs="Arial"/>
          <w:sz w:val="24"/>
          <w:szCs w:val="24"/>
          <w:lang w:val="sr-Latn-ME"/>
        </w:rPr>
        <w:t>. Takođe, operativnim ciljem 6: Omogućavanje jednakog prava licima s invaliditetom pod starateljstvom da formiraju bračnu zajednicu i uklanjanje postojećih zakonskih ograničenja roditeljskih prava lica s invaliditetom, a kao indikator učinka planira se smanjenje broja lica s invaliditetom kojima je oduzeta poslovna sposobnost u skladu</w:t>
      </w:r>
      <w:r w:rsidR="004C5D23">
        <w:rPr>
          <w:rFonts w:cs="Arial"/>
          <w:sz w:val="24"/>
          <w:szCs w:val="24"/>
          <w:lang w:val="sr-Latn-ME"/>
        </w:rPr>
        <w:t xml:space="preserve"> s p</w:t>
      </w:r>
      <w:r w:rsidRPr="00F96844">
        <w:rPr>
          <w:rFonts w:cs="Arial"/>
          <w:sz w:val="24"/>
          <w:szCs w:val="24"/>
          <w:lang w:val="sr-Latn-ME"/>
        </w:rPr>
        <w:t>reporukama Komiteta UN za 20% do kraja 2027. godine</w:t>
      </w:r>
      <w:r w:rsidR="00142786" w:rsidRPr="00F96844">
        <w:rPr>
          <w:rStyle w:val="FootnoteReference"/>
          <w:rFonts w:cs="Arial"/>
          <w:sz w:val="24"/>
          <w:szCs w:val="24"/>
          <w:lang w:val="sr-Latn-ME"/>
        </w:rPr>
        <w:footnoteReference w:id="12"/>
      </w:r>
      <w:r w:rsidRPr="00F96844">
        <w:rPr>
          <w:rFonts w:cs="Arial"/>
          <w:sz w:val="24"/>
          <w:szCs w:val="24"/>
          <w:lang w:val="sr-Latn-ME"/>
        </w:rPr>
        <w:t>.</w:t>
      </w:r>
    </w:p>
    <w:p w14:paraId="0D2FA159" w14:textId="125C26B7" w:rsidR="00FD5566" w:rsidRPr="00F96844" w:rsidRDefault="00FD5566" w:rsidP="005114FD">
      <w:pPr>
        <w:jc w:val="both"/>
        <w:rPr>
          <w:rFonts w:cs="Arial"/>
          <w:sz w:val="24"/>
          <w:szCs w:val="24"/>
          <w:lang w:val="sr-Latn-ME"/>
        </w:rPr>
      </w:pPr>
    </w:p>
    <w:p w14:paraId="774D99FD" w14:textId="77777777" w:rsidR="005E228B" w:rsidRPr="00F96844" w:rsidRDefault="005E228B" w:rsidP="00780738">
      <w:pPr>
        <w:jc w:val="both"/>
        <w:rPr>
          <w:rFonts w:cs="Arial"/>
          <w:b/>
          <w:i/>
          <w:sz w:val="24"/>
          <w:szCs w:val="24"/>
          <w:lang w:val="sr-Latn-ME"/>
        </w:rPr>
      </w:pPr>
      <w:r w:rsidRPr="00F96844">
        <w:rPr>
          <w:rFonts w:cs="Arial"/>
          <w:b/>
          <w:i/>
          <w:sz w:val="24"/>
          <w:szCs w:val="24"/>
          <w:lang w:val="sr-Latn-ME"/>
        </w:rPr>
        <w:t>Strategija za mlade 2023</w:t>
      </w:r>
      <w:r w:rsidR="001B37FF">
        <w:rPr>
          <w:rFonts w:cs="Arial"/>
          <w:b/>
          <w:i/>
          <w:sz w:val="24"/>
          <w:szCs w:val="24"/>
          <w:lang w:val="sr-Latn-ME"/>
        </w:rPr>
        <w:t>‒</w:t>
      </w:r>
      <w:r w:rsidRPr="00F96844">
        <w:rPr>
          <w:rFonts w:cs="Arial"/>
          <w:b/>
          <w:i/>
          <w:sz w:val="24"/>
          <w:szCs w:val="24"/>
          <w:lang w:val="sr-Latn-ME"/>
        </w:rPr>
        <w:t>2027</w:t>
      </w:r>
      <w:r w:rsidR="00FD5566" w:rsidRPr="00F96844">
        <w:rPr>
          <w:rFonts w:cs="Arial"/>
          <w:b/>
          <w:i/>
          <w:sz w:val="24"/>
          <w:szCs w:val="24"/>
          <w:lang w:val="sr-Latn-ME"/>
        </w:rPr>
        <w:t>.</w:t>
      </w:r>
    </w:p>
    <w:p w14:paraId="771963C3" w14:textId="77777777" w:rsidR="00A64A0A" w:rsidRPr="00F96844" w:rsidRDefault="00A64A0A" w:rsidP="00780738">
      <w:pPr>
        <w:jc w:val="both"/>
        <w:rPr>
          <w:rFonts w:cs="Arial"/>
          <w:b/>
          <w:i/>
          <w:sz w:val="24"/>
          <w:szCs w:val="24"/>
          <w:lang w:val="sr-Latn-ME"/>
        </w:rPr>
      </w:pPr>
    </w:p>
    <w:p w14:paraId="24151C90" w14:textId="77777777" w:rsidR="005E228B" w:rsidRPr="00F96844" w:rsidRDefault="005E228B" w:rsidP="00780738">
      <w:pPr>
        <w:jc w:val="both"/>
        <w:rPr>
          <w:rFonts w:cs="Arial"/>
          <w:sz w:val="24"/>
          <w:szCs w:val="24"/>
          <w:lang w:val="sr-Latn-ME"/>
        </w:rPr>
      </w:pPr>
      <w:r w:rsidRPr="00F96844">
        <w:rPr>
          <w:rFonts w:cs="Arial"/>
          <w:sz w:val="24"/>
          <w:szCs w:val="24"/>
          <w:lang w:val="sr-Latn-ME"/>
        </w:rPr>
        <w:t>U okviru politika namijenjenih mladima u Crnoj Gori, primarni akcenat je stavljen na usklađenost</w:t>
      </w:r>
      <w:r w:rsidR="004C5D23">
        <w:rPr>
          <w:rFonts w:cs="Arial"/>
          <w:sz w:val="24"/>
          <w:szCs w:val="24"/>
          <w:lang w:val="sr-Latn-ME"/>
        </w:rPr>
        <w:t xml:space="preserve"> s o</w:t>
      </w:r>
      <w:r w:rsidRPr="00F96844">
        <w:rPr>
          <w:rFonts w:cs="Arial"/>
          <w:sz w:val="24"/>
          <w:szCs w:val="24"/>
          <w:lang w:val="sr-Latn-ME"/>
        </w:rPr>
        <w:t xml:space="preserve">perativnim ciljem 3 u okviru Strategije za mlade koji se odnosi na ostvarenje međuresornog doprinosa poboljšanju sveukupnog položaja mladih, kroz implementaciju </w:t>
      </w:r>
      <w:r w:rsidR="009F661D">
        <w:rPr>
          <w:rFonts w:cs="Arial"/>
          <w:sz w:val="24"/>
          <w:szCs w:val="24"/>
          <w:lang w:val="sr-Latn-ME"/>
        </w:rPr>
        <w:t>sljed</w:t>
      </w:r>
      <w:r w:rsidRPr="00F96844">
        <w:rPr>
          <w:rFonts w:cs="Arial"/>
          <w:sz w:val="24"/>
          <w:szCs w:val="24"/>
          <w:lang w:val="sr-Latn-ME"/>
        </w:rPr>
        <w:t>ećih mjera</w:t>
      </w:r>
      <w:r w:rsidR="00142786" w:rsidRPr="00F96844">
        <w:rPr>
          <w:rStyle w:val="FootnoteReference"/>
          <w:rFonts w:cs="Arial"/>
          <w:sz w:val="24"/>
          <w:szCs w:val="24"/>
          <w:lang w:val="sr-Latn-ME"/>
        </w:rPr>
        <w:footnoteReference w:id="13"/>
      </w:r>
      <w:r w:rsidRPr="00F96844">
        <w:rPr>
          <w:rFonts w:cs="Arial"/>
          <w:sz w:val="24"/>
          <w:szCs w:val="24"/>
          <w:lang w:val="sr-Latn-ME"/>
        </w:rPr>
        <w:t>:</w:t>
      </w:r>
    </w:p>
    <w:p w14:paraId="58F5895E" w14:textId="77777777" w:rsidR="005E228B" w:rsidRPr="00F96844" w:rsidRDefault="005E228B" w:rsidP="00780738">
      <w:pPr>
        <w:pStyle w:val="ListParagraph"/>
        <w:numPr>
          <w:ilvl w:val="0"/>
          <w:numId w:val="3"/>
        </w:numPr>
        <w:jc w:val="both"/>
        <w:rPr>
          <w:rFonts w:cs="Arial"/>
          <w:sz w:val="24"/>
          <w:szCs w:val="24"/>
          <w:lang w:val="sr-Latn-ME"/>
        </w:rPr>
      </w:pPr>
      <w:r w:rsidRPr="00F96844">
        <w:rPr>
          <w:rFonts w:cs="Arial"/>
          <w:sz w:val="24"/>
          <w:szCs w:val="24"/>
          <w:lang w:val="sr-Latn-ME"/>
        </w:rPr>
        <w:t xml:space="preserve">Mjera 3.1: Kreirati međuresorni </w:t>
      </w:r>
      <w:r w:rsidR="002264BB">
        <w:rPr>
          <w:rFonts w:cs="Arial"/>
          <w:sz w:val="24"/>
          <w:szCs w:val="24"/>
          <w:lang w:val="sr-Latn-ME"/>
        </w:rPr>
        <w:t>s</w:t>
      </w:r>
      <w:r w:rsidRPr="00F96844">
        <w:rPr>
          <w:rFonts w:cs="Arial"/>
          <w:sz w:val="24"/>
          <w:szCs w:val="24"/>
          <w:lang w:val="sr-Latn-ME"/>
        </w:rPr>
        <w:t>et aktivnosti za unapređenje prilika za razvoj i ostvarenje punih potencijala mladih</w:t>
      </w:r>
    </w:p>
    <w:p w14:paraId="5EA3B8CF" w14:textId="37BA9B70" w:rsidR="005E228B" w:rsidRDefault="005E228B" w:rsidP="00B6364D">
      <w:pPr>
        <w:pStyle w:val="ListParagraph"/>
        <w:numPr>
          <w:ilvl w:val="0"/>
          <w:numId w:val="3"/>
        </w:numPr>
        <w:jc w:val="both"/>
        <w:rPr>
          <w:rFonts w:cs="Arial"/>
          <w:sz w:val="24"/>
          <w:szCs w:val="24"/>
          <w:lang w:val="sr-Latn-ME"/>
        </w:rPr>
      </w:pPr>
      <w:r w:rsidRPr="00F96844">
        <w:rPr>
          <w:rFonts w:cs="Arial"/>
          <w:sz w:val="24"/>
          <w:szCs w:val="24"/>
          <w:lang w:val="sr-Latn-ME"/>
        </w:rPr>
        <w:t xml:space="preserve">Mjera 3.2: Kreirati međuresorni </w:t>
      </w:r>
      <w:r w:rsidR="002264BB">
        <w:rPr>
          <w:rFonts w:cs="Arial"/>
          <w:sz w:val="24"/>
          <w:szCs w:val="24"/>
          <w:lang w:val="sr-Latn-ME"/>
        </w:rPr>
        <w:t>s</w:t>
      </w:r>
      <w:r w:rsidRPr="00F96844">
        <w:rPr>
          <w:rFonts w:cs="Arial"/>
          <w:sz w:val="24"/>
          <w:szCs w:val="24"/>
          <w:lang w:val="sr-Latn-ME"/>
        </w:rPr>
        <w:t>et aktivnosti za povećanje o</w:t>
      </w:r>
      <w:r w:rsidR="00815FF6" w:rsidRPr="00F96844">
        <w:rPr>
          <w:rFonts w:cs="Arial"/>
          <w:sz w:val="24"/>
          <w:szCs w:val="24"/>
          <w:lang w:val="sr-Latn-ME"/>
        </w:rPr>
        <w:t>t</w:t>
      </w:r>
      <w:r w:rsidRPr="00F96844">
        <w:rPr>
          <w:rFonts w:cs="Arial"/>
          <w:sz w:val="24"/>
          <w:szCs w:val="24"/>
          <w:lang w:val="sr-Latn-ME"/>
        </w:rPr>
        <w:t>pornosti mladih</w:t>
      </w:r>
      <w:r w:rsidR="001B37FF">
        <w:rPr>
          <w:rFonts w:cs="Arial"/>
          <w:sz w:val="24"/>
          <w:szCs w:val="24"/>
          <w:lang w:val="sr-Latn-ME"/>
        </w:rPr>
        <w:t xml:space="preserve"> s </w:t>
      </w:r>
      <w:r w:rsidRPr="00B6364D">
        <w:rPr>
          <w:rFonts w:cs="Arial"/>
          <w:sz w:val="24"/>
          <w:szCs w:val="24"/>
          <w:lang w:val="sr-Latn-ME"/>
        </w:rPr>
        <w:t xml:space="preserve">ciljem unapređenja položaja mladih, primarno u domenima smanjenja nejednakosti i diskriminacije pojedinih grupa mladih, prevenciji nasilja, kao i povećanja otpornosti na negativne pojave kao što su polarizacija i govor mržnje, potrebno je osmisliti međuresorni </w:t>
      </w:r>
      <w:r w:rsidR="002264BB" w:rsidRPr="00B6364D">
        <w:rPr>
          <w:rFonts w:cs="Arial"/>
          <w:sz w:val="24"/>
          <w:szCs w:val="24"/>
          <w:lang w:val="sr-Latn-ME"/>
        </w:rPr>
        <w:t>s</w:t>
      </w:r>
      <w:r w:rsidRPr="00B6364D">
        <w:rPr>
          <w:rFonts w:cs="Arial"/>
          <w:sz w:val="24"/>
          <w:szCs w:val="24"/>
          <w:lang w:val="sr-Latn-ME"/>
        </w:rPr>
        <w:t>et aktivnosti za povećanje inkluzije i otpornosti mladih</w:t>
      </w:r>
      <w:r w:rsidR="00142786" w:rsidRPr="00F96844">
        <w:rPr>
          <w:rStyle w:val="FootnoteReference"/>
          <w:rFonts w:cs="Arial"/>
          <w:sz w:val="24"/>
          <w:szCs w:val="24"/>
          <w:lang w:val="sr-Latn-ME"/>
        </w:rPr>
        <w:footnoteReference w:id="14"/>
      </w:r>
      <w:r w:rsidRPr="00B6364D">
        <w:rPr>
          <w:rFonts w:cs="Arial"/>
          <w:sz w:val="24"/>
          <w:szCs w:val="24"/>
          <w:lang w:val="sr-Latn-ME"/>
        </w:rPr>
        <w:t>.</w:t>
      </w:r>
    </w:p>
    <w:p w14:paraId="0CE9F294" w14:textId="50290D47" w:rsidR="00541DAC" w:rsidRDefault="00541DAC" w:rsidP="00541DAC">
      <w:pPr>
        <w:jc w:val="both"/>
        <w:rPr>
          <w:rFonts w:cs="Arial"/>
          <w:sz w:val="24"/>
          <w:szCs w:val="24"/>
          <w:lang w:val="sr-Latn-ME"/>
        </w:rPr>
      </w:pPr>
    </w:p>
    <w:p w14:paraId="51EF4AF0" w14:textId="1864ED94" w:rsidR="00541DAC" w:rsidRPr="003F5329" w:rsidRDefault="003F5329" w:rsidP="00541DAC">
      <w:pPr>
        <w:jc w:val="both"/>
        <w:rPr>
          <w:rFonts w:cs="Arial"/>
          <w:b/>
          <w:i/>
          <w:sz w:val="24"/>
          <w:szCs w:val="24"/>
          <w:lang w:val="sr-Latn-ME"/>
        </w:rPr>
      </w:pPr>
      <w:r w:rsidRPr="003F5329">
        <w:rPr>
          <w:rFonts w:cs="Arial"/>
          <w:b/>
          <w:i/>
          <w:sz w:val="24"/>
          <w:szCs w:val="24"/>
          <w:lang w:val="sr-Latn-ME"/>
        </w:rPr>
        <w:t>Strategija</w:t>
      </w:r>
      <w:r w:rsidR="00541DAC" w:rsidRPr="003F5329">
        <w:rPr>
          <w:rFonts w:cs="Arial"/>
          <w:b/>
          <w:i/>
          <w:sz w:val="24"/>
          <w:szCs w:val="24"/>
          <w:lang w:val="sr-Latn-ME"/>
        </w:rPr>
        <w:t xml:space="preserve"> za ostvarivanje prava djeteta za period od 2019-2023. godine</w:t>
      </w:r>
    </w:p>
    <w:p w14:paraId="493C1F14" w14:textId="77777777" w:rsidR="00541DAC" w:rsidRPr="00541DAC" w:rsidRDefault="00541DAC" w:rsidP="00541DAC">
      <w:pPr>
        <w:jc w:val="both"/>
        <w:rPr>
          <w:rFonts w:cs="Arial"/>
          <w:b/>
          <w:sz w:val="24"/>
          <w:szCs w:val="24"/>
          <w:lang w:val="sr-Latn-ME"/>
        </w:rPr>
      </w:pPr>
    </w:p>
    <w:p w14:paraId="62550F29" w14:textId="6522AF31" w:rsidR="00541DAC" w:rsidRPr="00541DAC" w:rsidRDefault="00541DAC" w:rsidP="00541DAC">
      <w:pPr>
        <w:jc w:val="both"/>
        <w:rPr>
          <w:rFonts w:cs="Arial"/>
          <w:sz w:val="24"/>
          <w:szCs w:val="24"/>
          <w:lang w:val="sr-Latn-ME"/>
        </w:rPr>
      </w:pPr>
      <w:r w:rsidRPr="00541DAC">
        <w:rPr>
          <w:rFonts w:cs="Arial"/>
          <w:sz w:val="24"/>
          <w:szCs w:val="24"/>
          <w:lang w:val="sr-Latn-ME"/>
        </w:rPr>
        <w:t>Strategija razvoja Sistema socijalne i dječije zaštite za period od 202</w:t>
      </w:r>
      <w:r w:rsidR="00C142C5">
        <w:rPr>
          <w:rFonts w:cs="Arial"/>
          <w:sz w:val="24"/>
          <w:szCs w:val="24"/>
          <w:lang w:val="sr-Latn-ME"/>
        </w:rPr>
        <w:t>5</w:t>
      </w:r>
      <w:r w:rsidRPr="00541DAC">
        <w:rPr>
          <w:rFonts w:cs="Arial"/>
          <w:sz w:val="24"/>
          <w:szCs w:val="24"/>
          <w:lang w:val="sr-Latn-ME"/>
        </w:rPr>
        <w:t>-202</w:t>
      </w:r>
      <w:r w:rsidR="0063199C">
        <w:rPr>
          <w:rFonts w:cs="Arial"/>
          <w:sz w:val="24"/>
          <w:szCs w:val="24"/>
          <w:lang w:val="sr-Latn-ME"/>
        </w:rPr>
        <w:t>8</w:t>
      </w:r>
      <w:r w:rsidRPr="00541DAC">
        <w:rPr>
          <w:rFonts w:cs="Arial"/>
          <w:sz w:val="24"/>
          <w:szCs w:val="24"/>
          <w:lang w:val="sr-Latn-ME"/>
        </w:rPr>
        <w:t>. godine sa Akcionim planom 202</w:t>
      </w:r>
      <w:r w:rsidR="00C142C5">
        <w:rPr>
          <w:rFonts w:cs="Arial"/>
          <w:sz w:val="24"/>
          <w:szCs w:val="24"/>
          <w:lang w:val="sr-Latn-ME"/>
        </w:rPr>
        <w:t>5</w:t>
      </w:r>
      <w:r w:rsidRPr="00541DAC">
        <w:rPr>
          <w:rFonts w:cs="Arial"/>
          <w:sz w:val="24"/>
          <w:szCs w:val="24"/>
          <w:lang w:val="sr-Latn-ME"/>
        </w:rPr>
        <w:t>-202</w:t>
      </w:r>
      <w:r w:rsidR="00C142C5">
        <w:rPr>
          <w:rFonts w:cs="Arial"/>
          <w:sz w:val="24"/>
          <w:szCs w:val="24"/>
          <w:lang w:val="sr-Latn-ME"/>
        </w:rPr>
        <w:t>6</w:t>
      </w:r>
      <w:r w:rsidRPr="00541DAC">
        <w:rPr>
          <w:rFonts w:cs="Arial"/>
          <w:sz w:val="24"/>
          <w:szCs w:val="24"/>
          <w:lang w:val="sr-Latn-ME"/>
        </w:rPr>
        <w:t>. godine obuhvata ciljeve Strategije za ostvarivanje prava djeteta za period od 2019-2023. godine i predstavlja nastavak politika koje se odnose na djecu i se realizu</w:t>
      </w:r>
      <w:r>
        <w:rPr>
          <w:rFonts w:cs="Arial"/>
          <w:sz w:val="24"/>
          <w:szCs w:val="24"/>
          <w:lang w:val="sr-Latn-ME"/>
        </w:rPr>
        <w:t>ju se u kontinuitetu:</w:t>
      </w:r>
    </w:p>
    <w:p w14:paraId="7964B401" w14:textId="19D82D4C" w:rsidR="00541DAC" w:rsidRPr="00541DAC" w:rsidRDefault="00541DAC" w:rsidP="00541DAC">
      <w:pPr>
        <w:pStyle w:val="ListParagraph"/>
        <w:numPr>
          <w:ilvl w:val="0"/>
          <w:numId w:val="20"/>
        </w:numPr>
        <w:jc w:val="both"/>
        <w:rPr>
          <w:rFonts w:cs="Arial"/>
          <w:sz w:val="24"/>
          <w:szCs w:val="24"/>
          <w:lang w:val="sr-Latn-ME"/>
        </w:rPr>
      </w:pPr>
      <w:r w:rsidRPr="00541DAC">
        <w:rPr>
          <w:rFonts w:cs="Arial"/>
          <w:sz w:val="24"/>
          <w:szCs w:val="24"/>
          <w:lang w:val="sr-Latn-ME"/>
        </w:rPr>
        <w:t>STRATEŠKI CILJ I – Unaprijedjivanje međuresorne i međusektorske saradnje i drugi ključni uslovi za ostvarivanje prava djeteta.</w:t>
      </w:r>
    </w:p>
    <w:p w14:paraId="53B15A64" w14:textId="60A0D18C" w:rsidR="00541DAC" w:rsidRPr="00541DAC" w:rsidRDefault="00541DAC" w:rsidP="00541DAC">
      <w:pPr>
        <w:pStyle w:val="ListParagraph"/>
        <w:numPr>
          <w:ilvl w:val="0"/>
          <w:numId w:val="20"/>
        </w:numPr>
        <w:jc w:val="both"/>
        <w:rPr>
          <w:rFonts w:cs="Arial"/>
          <w:sz w:val="24"/>
          <w:szCs w:val="24"/>
          <w:lang w:val="sr-Latn-ME"/>
        </w:rPr>
      </w:pPr>
      <w:r w:rsidRPr="00541DAC">
        <w:rPr>
          <w:rFonts w:cs="Arial"/>
          <w:sz w:val="24"/>
          <w:szCs w:val="24"/>
          <w:lang w:val="sr-Latn-ME"/>
        </w:rPr>
        <w:t>STRATEŠKI CILJ II - Poboljšati dostupnost i kvalitet socijalne i zdravstvene zaštite i obrazovanja za svu djecu.</w:t>
      </w:r>
    </w:p>
    <w:p w14:paraId="5EC89223" w14:textId="23FB557F" w:rsidR="00541DAC" w:rsidRPr="00541DAC" w:rsidRDefault="00541DAC" w:rsidP="00541DAC">
      <w:pPr>
        <w:pStyle w:val="ListParagraph"/>
        <w:numPr>
          <w:ilvl w:val="0"/>
          <w:numId w:val="20"/>
        </w:numPr>
        <w:jc w:val="both"/>
        <w:rPr>
          <w:rFonts w:cs="Arial"/>
          <w:sz w:val="24"/>
          <w:szCs w:val="24"/>
          <w:lang w:val="sr-Latn-ME"/>
        </w:rPr>
      </w:pPr>
      <w:r w:rsidRPr="00541DAC">
        <w:rPr>
          <w:rFonts w:cs="Arial"/>
          <w:sz w:val="24"/>
          <w:szCs w:val="24"/>
          <w:lang w:val="sr-Latn-ME"/>
        </w:rPr>
        <w:t>STRATEŠKI CILJ III - Spriječiti sve oblike nasilja nad djecom i poboljšati ostvarivanje posebnih mjera zaštite djece.</w:t>
      </w:r>
    </w:p>
    <w:p w14:paraId="72893292" w14:textId="4D9CAC14" w:rsidR="00541DAC" w:rsidRPr="00541DAC" w:rsidRDefault="00541DAC" w:rsidP="00541DAC">
      <w:pPr>
        <w:jc w:val="both"/>
        <w:rPr>
          <w:rFonts w:cs="Arial"/>
          <w:sz w:val="24"/>
          <w:szCs w:val="24"/>
          <w:lang w:val="sr-Latn-ME"/>
        </w:rPr>
      </w:pPr>
      <w:r>
        <w:rPr>
          <w:rFonts w:cs="Arial"/>
          <w:sz w:val="24"/>
          <w:szCs w:val="24"/>
          <w:lang w:val="sr-Latn-ME"/>
        </w:rPr>
        <w:t>Iako je navedeni starteški dokument prestao da važi, smatramo da su strateški ciljevi dugoročni i da ih je bilo potrebno uvrstiti i u Startegiju razvoja sistema socijalne i dječje zaštite.</w:t>
      </w:r>
    </w:p>
    <w:p w14:paraId="49F5B8FC" w14:textId="4A8A49CB" w:rsidR="00D614D1" w:rsidRDefault="00D614D1" w:rsidP="00780738">
      <w:pPr>
        <w:rPr>
          <w:rFonts w:cs="Arial"/>
          <w:sz w:val="24"/>
          <w:szCs w:val="24"/>
          <w:lang w:val="sr-Latn-ME"/>
        </w:rPr>
      </w:pPr>
    </w:p>
    <w:p w14:paraId="363DCF15" w14:textId="760AC35B" w:rsidR="00541DAC" w:rsidRDefault="00541DAC" w:rsidP="00780738">
      <w:pPr>
        <w:rPr>
          <w:rFonts w:cs="Arial"/>
          <w:sz w:val="24"/>
          <w:szCs w:val="24"/>
          <w:lang w:val="sr-Latn-ME"/>
        </w:rPr>
      </w:pPr>
    </w:p>
    <w:p w14:paraId="15F57F36" w14:textId="2A0DA7AC" w:rsidR="00541DAC" w:rsidRDefault="00541DAC" w:rsidP="00780738">
      <w:pPr>
        <w:rPr>
          <w:rFonts w:cs="Arial"/>
          <w:sz w:val="24"/>
          <w:szCs w:val="24"/>
          <w:lang w:val="sr-Latn-ME"/>
        </w:rPr>
      </w:pPr>
    </w:p>
    <w:p w14:paraId="68E64494" w14:textId="77777777" w:rsidR="00541DAC" w:rsidRPr="00F96844" w:rsidRDefault="00541DAC" w:rsidP="00780738">
      <w:pPr>
        <w:rPr>
          <w:rFonts w:cs="Arial"/>
          <w:sz w:val="24"/>
          <w:szCs w:val="24"/>
          <w:lang w:val="sr-Latn-ME"/>
        </w:rPr>
      </w:pPr>
    </w:p>
    <w:p w14:paraId="1E9A67D6" w14:textId="62E5CA1D" w:rsidR="00676E25" w:rsidRDefault="00676E25" w:rsidP="00780738">
      <w:pPr>
        <w:jc w:val="both"/>
        <w:rPr>
          <w:rFonts w:eastAsia="Times New Roman" w:cs="Arial"/>
          <w:b/>
          <w:i/>
          <w:iCs/>
          <w:sz w:val="24"/>
          <w:szCs w:val="24"/>
          <w:lang w:val="sr-Latn-ME"/>
        </w:rPr>
      </w:pPr>
      <w:r w:rsidRPr="00676E25">
        <w:rPr>
          <w:rFonts w:eastAsia="Times New Roman" w:cs="Arial"/>
          <w:b/>
          <w:i/>
          <w:iCs/>
          <w:sz w:val="24"/>
          <w:szCs w:val="24"/>
          <w:lang w:val="sr-Latn-ME"/>
        </w:rPr>
        <w:lastRenderedPageBreak/>
        <w:t>Strategije prevencije i zaštite djece od nasilja 202</w:t>
      </w:r>
      <w:r w:rsidR="004A172B">
        <w:rPr>
          <w:rFonts w:eastAsia="Times New Roman" w:cs="Arial"/>
          <w:b/>
          <w:i/>
          <w:iCs/>
          <w:sz w:val="24"/>
          <w:szCs w:val="24"/>
          <w:lang w:val="sr-Latn-ME"/>
        </w:rPr>
        <w:t>5</w:t>
      </w:r>
      <w:r w:rsidRPr="00676E25">
        <w:rPr>
          <w:rFonts w:eastAsia="Times New Roman" w:cs="Arial"/>
          <w:b/>
          <w:i/>
          <w:iCs/>
          <w:sz w:val="24"/>
          <w:szCs w:val="24"/>
          <w:lang w:val="sr-Latn-ME"/>
        </w:rPr>
        <w:t>-202</w:t>
      </w:r>
      <w:r w:rsidR="005B7D8D">
        <w:rPr>
          <w:rFonts w:eastAsia="Times New Roman" w:cs="Arial"/>
          <w:b/>
          <w:i/>
          <w:iCs/>
          <w:sz w:val="24"/>
          <w:szCs w:val="24"/>
          <w:lang w:val="sr-Latn-ME"/>
        </w:rPr>
        <w:t>8</w:t>
      </w:r>
      <w:r w:rsidRPr="00676E25">
        <w:rPr>
          <w:rFonts w:eastAsia="Times New Roman" w:cs="Arial"/>
          <w:b/>
          <w:i/>
          <w:iCs/>
          <w:sz w:val="24"/>
          <w:szCs w:val="24"/>
          <w:lang w:val="sr-Latn-ME"/>
        </w:rPr>
        <w:t>. godine</w:t>
      </w:r>
      <w:r>
        <w:rPr>
          <w:rFonts w:eastAsia="Times New Roman" w:cs="Arial"/>
          <w:b/>
          <w:i/>
          <w:iCs/>
          <w:sz w:val="24"/>
          <w:szCs w:val="24"/>
          <w:lang w:val="sr-Latn-ME"/>
        </w:rPr>
        <w:t>.</w:t>
      </w:r>
    </w:p>
    <w:p w14:paraId="6AC54E3B" w14:textId="77777777" w:rsidR="00676E25" w:rsidRDefault="00676E25" w:rsidP="00780738">
      <w:pPr>
        <w:jc w:val="both"/>
        <w:rPr>
          <w:rFonts w:eastAsia="Times New Roman" w:cs="Arial"/>
          <w:b/>
          <w:i/>
          <w:iCs/>
          <w:sz w:val="24"/>
          <w:szCs w:val="24"/>
          <w:lang w:val="sr-Latn-ME"/>
        </w:rPr>
      </w:pPr>
    </w:p>
    <w:p w14:paraId="22C092B1" w14:textId="041E1CF1" w:rsidR="00676E25" w:rsidRDefault="00676E25" w:rsidP="00676E25">
      <w:pPr>
        <w:jc w:val="both"/>
        <w:rPr>
          <w:rFonts w:eastAsia="Times New Roman" w:cs="Arial"/>
          <w:iCs/>
          <w:sz w:val="24"/>
          <w:szCs w:val="24"/>
          <w:lang w:val="sr-Latn-ME"/>
        </w:rPr>
      </w:pPr>
      <w:r w:rsidRPr="00676E25">
        <w:rPr>
          <w:rFonts w:eastAsia="Times New Roman" w:cs="Arial"/>
          <w:iCs/>
          <w:sz w:val="24"/>
          <w:szCs w:val="24"/>
          <w:lang w:val="sr-Latn-ME"/>
        </w:rPr>
        <w:t xml:space="preserve">Strategija razvoja Sistema socijalne i dječije zaštite za period od 2024-2028. godine sa Akcionim planom </w:t>
      </w:r>
      <w:r w:rsidR="004A172B">
        <w:rPr>
          <w:rFonts w:eastAsia="Times New Roman" w:cs="Arial"/>
          <w:iCs/>
          <w:sz w:val="24"/>
          <w:szCs w:val="24"/>
          <w:lang w:val="sr-Latn-ME"/>
        </w:rPr>
        <w:t xml:space="preserve">za 2025. godinu obuhvata ciljeve </w:t>
      </w:r>
      <w:r w:rsidRPr="00676E25">
        <w:rPr>
          <w:rFonts w:eastAsia="Times New Roman" w:cs="Arial"/>
          <w:iCs/>
          <w:sz w:val="24"/>
          <w:szCs w:val="24"/>
          <w:lang w:val="sr-Latn-ME"/>
        </w:rPr>
        <w:t>Strategije prevencije i zaštite djece od nasilja 202</w:t>
      </w:r>
      <w:r w:rsidR="004A172B">
        <w:rPr>
          <w:rFonts w:eastAsia="Times New Roman" w:cs="Arial"/>
          <w:iCs/>
          <w:sz w:val="24"/>
          <w:szCs w:val="24"/>
          <w:lang w:val="sr-Latn-ME"/>
        </w:rPr>
        <w:t>5</w:t>
      </w:r>
      <w:r w:rsidRPr="00676E25">
        <w:rPr>
          <w:rFonts w:eastAsia="Times New Roman" w:cs="Arial"/>
          <w:iCs/>
          <w:sz w:val="24"/>
          <w:szCs w:val="24"/>
          <w:lang w:val="sr-Latn-ME"/>
        </w:rPr>
        <w:t>-202</w:t>
      </w:r>
      <w:r w:rsidR="005B7D8D">
        <w:rPr>
          <w:rFonts w:eastAsia="Times New Roman" w:cs="Arial"/>
          <w:iCs/>
          <w:sz w:val="24"/>
          <w:szCs w:val="24"/>
          <w:lang w:val="sr-Latn-ME"/>
        </w:rPr>
        <w:t>8</w:t>
      </w:r>
      <w:r w:rsidRPr="00676E25">
        <w:rPr>
          <w:rFonts w:eastAsia="Times New Roman" w:cs="Arial"/>
          <w:iCs/>
          <w:sz w:val="24"/>
          <w:szCs w:val="24"/>
          <w:lang w:val="sr-Latn-ME"/>
        </w:rPr>
        <w:t xml:space="preserve">. godine sa Akcionim planom </w:t>
      </w:r>
      <w:r w:rsidR="00CB1371">
        <w:rPr>
          <w:rFonts w:eastAsia="Times New Roman" w:cs="Arial"/>
          <w:iCs/>
          <w:sz w:val="24"/>
          <w:szCs w:val="24"/>
          <w:lang w:val="sr-Latn-ME"/>
        </w:rPr>
        <w:t xml:space="preserve">za </w:t>
      </w:r>
      <w:r w:rsidRPr="00676E25">
        <w:rPr>
          <w:rFonts w:eastAsia="Times New Roman" w:cs="Arial"/>
          <w:iCs/>
          <w:sz w:val="24"/>
          <w:szCs w:val="24"/>
          <w:lang w:val="sr-Latn-ME"/>
        </w:rPr>
        <w:t>202</w:t>
      </w:r>
      <w:r w:rsidR="004A172B">
        <w:rPr>
          <w:rFonts w:eastAsia="Times New Roman" w:cs="Arial"/>
          <w:iCs/>
          <w:sz w:val="24"/>
          <w:szCs w:val="24"/>
          <w:lang w:val="sr-Latn-ME"/>
        </w:rPr>
        <w:t>5</w:t>
      </w:r>
      <w:r w:rsidR="00CB1371">
        <w:rPr>
          <w:rFonts w:eastAsia="Times New Roman" w:cs="Arial"/>
          <w:iCs/>
          <w:sz w:val="24"/>
          <w:szCs w:val="24"/>
          <w:lang w:val="sr-Latn-ME"/>
        </w:rPr>
        <w:t>. godinu</w:t>
      </w:r>
      <w:r w:rsidRPr="00676E25">
        <w:rPr>
          <w:rFonts w:eastAsia="Times New Roman" w:cs="Arial"/>
          <w:iCs/>
          <w:sz w:val="24"/>
          <w:szCs w:val="24"/>
          <w:lang w:val="sr-Latn-ME"/>
        </w:rPr>
        <w:t xml:space="preserve"> i predstavlja nastavak politika koje se odno</w:t>
      </w:r>
      <w:r>
        <w:rPr>
          <w:rFonts w:eastAsia="Times New Roman" w:cs="Arial"/>
          <w:iCs/>
          <w:sz w:val="24"/>
          <w:szCs w:val="24"/>
          <w:lang w:val="sr-Latn-ME"/>
        </w:rPr>
        <w:t>se na zaštitu djece od nasilja:</w:t>
      </w:r>
    </w:p>
    <w:p w14:paraId="1EB1249B" w14:textId="77777777" w:rsidR="00676E25" w:rsidRPr="00676E25" w:rsidRDefault="00676E25" w:rsidP="00676E25">
      <w:pPr>
        <w:jc w:val="both"/>
        <w:rPr>
          <w:rFonts w:eastAsia="Times New Roman" w:cs="Arial"/>
          <w:iCs/>
          <w:sz w:val="24"/>
          <w:szCs w:val="24"/>
          <w:lang w:val="sr-Latn-ME"/>
        </w:rPr>
      </w:pPr>
    </w:p>
    <w:p w14:paraId="50C8431A" w14:textId="0844950D" w:rsidR="00676E25" w:rsidRPr="00676E25" w:rsidRDefault="00676E25" w:rsidP="00676E25">
      <w:pPr>
        <w:pStyle w:val="ListParagraph"/>
        <w:numPr>
          <w:ilvl w:val="0"/>
          <w:numId w:val="20"/>
        </w:numPr>
        <w:jc w:val="both"/>
        <w:rPr>
          <w:rFonts w:eastAsia="Times New Roman" w:cs="Arial"/>
          <w:iCs/>
          <w:sz w:val="24"/>
          <w:szCs w:val="24"/>
          <w:lang w:val="sr-Latn-ME"/>
        </w:rPr>
      </w:pPr>
      <w:r w:rsidRPr="00676E25">
        <w:rPr>
          <w:rFonts w:eastAsia="Times New Roman" w:cs="Arial"/>
          <w:iCs/>
          <w:sz w:val="24"/>
          <w:szCs w:val="24"/>
          <w:lang w:val="sr-Latn-ME"/>
        </w:rPr>
        <w:t>1.1 Operativni cilj: Podizanje svijesti i promjena društvenih normi koje odobravaju i podstiču nasilje nad djecom, naročito ranjivim grupama djece</w:t>
      </w:r>
    </w:p>
    <w:p w14:paraId="2DC31C21" w14:textId="77777777" w:rsidR="00676E25" w:rsidRPr="00676E25" w:rsidRDefault="00676E25" w:rsidP="00676E25">
      <w:pPr>
        <w:jc w:val="both"/>
        <w:rPr>
          <w:rFonts w:eastAsia="Times New Roman" w:cs="Arial"/>
          <w:iCs/>
          <w:sz w:val="24"/>
          <w:szCs w:val="24"/>
          <w:lang w:val="sr-Latn-ME"/>
        </w:rPr>
      </w:pPr>
    </w:p>
    <w:p w14:paraId="311AF61B" w14:textId="2353663D" w:rsidR="00676E25" w:rsidRPr="00676E25" w:rsidRDefault="00676E25" w:rsidP="00676E25">
      <w:pPr>
        <w:pStyle w:val="ListParagraph"/>
        <w:numPr>
          <w:ilvl w:val="0"/>
          <w:numId w:val="20"/>
        </w:numPr>
        <w:jc w:val="both"/>
        <w:rPr>
          <w:rFonts w:eastAsia="Times New Roman" w:cs="Arial"/>
          <w:iCs/>
          <w:sz w:val="24"/>
          <w:szCs w:val="24"/>
          <w:lang w:val="sr-Latn-ME"/>
        </w:rPr>
      </w:pPr>
      <w:r w:rsidRPr="00676E25">
        <w:rPr>
          <w:rFonts w:eastAsia="Times New Roman" w:cs="Arial"/>
          <w:iCs/>
          <w:sz w:val="24"/>
          <w:szCs w:val="24"/>
          <w:lang w:val="sr-Latn-ME"/>
        </w:rPr>
        <w:t>1.2 Operativni cilj: Stvaranje bezbjednog okruženja kod kuće, u predškolskom i školskom obrazovanju, društvu i onlajn okruženju i jačanje otpornosti djece</w:t>
      </w:r>
    </w:p>
    <w:p w14:paraId="726034A9" w14:textId="77777777" w:rsidR="00676E25" w:rsidRPr="00676E25" w:rsidRDefault="00676E25" w:rsidP="00676E25">
      <w:pPr>
        <w:jc w:val="both"/>
        <w:rPr>
          <w:rFonts w:eastAsia="Times New Roman" w:cs="Arial"/>
          <w:iCs/>
          <w:sz w:val="24"/>
          <w:szCs w:val="24"/>
          <w:lang w:val="sr-Latn-ME"/>
        </w:rPr>
      </w:pPr>
    </w:p>
    <w:p w14:paraId="42CAC513" w14:textId="17103886" w:rsidR="00676E25" w:rsidRPr="00676E25" w:rsidRDefault="00676E25" w:rsidP="00676E25">
      <w:pPr>
        <w:pStyle w:val="ListParagraph"/>
        <w:numPr>
          <w:ilvl w:val="0"/>
          <w:numId w:val="20"/>
        </w:numPr>
        <w:jc w:val="both"/>
        <w:rPr>
          <w:rFonts w:eastAsia="Times New Roman" w:cs="Arial"/>
          <w:iCs/>
          <w:sz w:val="24"/>
          <w:szCs w:val="24"/>
          <w:lang w:val="sr-Latn-ME"/>
        </w:rPr>
      </w:pPr>
      <w:r w:rsidRPr="00676E25">
        <w:rPr>
          <w:rFonts w:eastAsia="Times New Roman" w:cs="Arial"/>
          <w:iCs/>
          <w:sz w:val="24"/>
          <w:szCs w:val="24"/>
          <w:lang w:val="sr-Latn-ME"/>
        </w:rPr>
        <w:t>2.1 Operativni cilj: Unapređivanje normativnih okvira za bavljenje pitanjima nasilja i zaštite djece, u skladu s međunarodnim standardima</w:t>
      </w:r>
    </w:p>
    <w:p w14:paraId="4763A6E9" w14:textId="77777777" w:rsidR="00676E25" w:rsidRPr="00676E25" w:rsidRDefault="00676E25" w:rsidP="00676E25">
      <w:pPr>
        <w:pStyle w:val="ListParagraph"/>
        <w:rPr>
          <w:rFonts w:eastAsia="Times New Roman" w:cs="Arial"/>
          <w:iCs/>
          <w:sz w:val="24"/>
          <w:szCs w:val="24"/>
          <w:lang w:val="sr-Latn-ME"/>
        </w:rPr>
      </w:pPr>
    </w:p>
    <w:p w14:paraId="77F742B0" w14:textId="60C0BD7E" w:rsidR="00676E25" w:rsidRPr="00676E25" w:rsidRDefault="00676E25" w:rsidP="00676E25">
      <w:pPr>
        <w:pStyle w:val="ListParagraph"/>
        <w:numPr>
          <w:ilvl w:val="0"/>
          <w:numId w:val="20"/>
        </w:numPr>
        <w:jc w:val="both"/>
        <w:rPr>
          <w:rFonts w:eastAsia="Times New Roman" w:cs="Arial"/>
          <w:iCs/>
          <w:sz w:val="24"/>
          <w:szCs w:val="24"/>
          <w:lang w:val="sr-Latn-ME"/>
        </w:rPr>
      </w:pPr>
      <w:r w:rsidRPr="00676E25">
        <w:rPr>
          <w:rFonts w:eastAsia="Times New Roman" w:cs="Arial"/>
          <w:iCs/>
          <w:sz w:val="24"/>
          <w:szCs w:val="24"/>
          <w:lang w:val="sr-Latn-ME"/>
        </w:rPr>
        <w:t>2.2 Operativni cilj: Unapređivanje kapaciteta stručnjaka i institucija za prevenciju, mehanizama za prijavljivanje i usluge podrške za odgovor na nasilje u svim sektorima</w:t>
      </w:r>
    </w:p>
    <w:p w14:paraId="63C66381" w14:textId="77777777" w:rsidR="00676E25" w:rsidRPr="00676E25" w:rsidRDefault="00676E25" w:rsidP="00676E25">
      <w:pPr>
        <w:jc w:val="both"/>
        <w:rPr>
          <w:rFonts w:eastAsia="Times New Roman" w:cs="Arial"/>
          <w:iCs/>
          <w:sz w:val="24"/>
          <w:szCs w:val="24"/>
          <w:lang w:val="sr-Latn-ME"/>
        </w:rPr>
      </w:pPr>
    </w:p>
    <w:p w14:paraId="6311F513" w14:textId="698796BA" w:rsidR="00676E25" w:rsidRPr="00676E25" w:rsidRDefault="00676E25" w:rsidP="00676E25">
      <w:pPr>
        <w:pStyle w:val="ListParagraph"/>
        <w:numPr>
          <w:ilvl w:val="0"/>
          <w:numId w:val="20"/>
        </w:numPr>
        <w:jc w:val="both"/>
        <w:rPr>
          <w:rFonts w:eastAsia="Times New Roman" w:cs="Arial"/>
          <w:iCs/>
          <w:sz w:val="24"/>
          <w:szCs w:val="24"/>
          <w:lang w:val="sr-Latn-ME"/>
        </w:rPr>
      </w:pPr>
      <w:r w:rsidRPr="00676E25">
        <w:rPr>
          <w:rFonts w:eastAsia="Times New Roman" w:cs="Arial"/>
          <w:iCs/>
          <w:sz w:val="24"/>
          <w:szCs w:val="24"/>
          <w:lang w:val="sr-Latn-ME"/>
        </w:rPr>
        <w:t>2.3 Operativni cilj: Uspostavljanje sistema za prikupljanje podataka, monitoring, evaluaciju i istraživanje.</w:t>
      </w:r>
    </w:p>
    <w:p w14:paraId="37D09ADE" w14:textId="77777777" w:rsidR="00676E25" w:rsidRDefault="00676E25" w:rsidP="00780738">
      <w:pPr>
        <w:jc w:val="both"/>
        <w:rPr>
          <w:rFonts w:eastAsia="Times New Roman" w:cs="Arial"/>
          <w:b/>
          <w:i/>
          <w:iCs/>
          <w:sz w:val="24"/>
          <w:szCs w:val="24"/>
          <w:lang w:val="sr-Latn-ME"/>
        </w:rPr>
      </w:pPr>
    </w:p>
    <w:p w14:paraId="72C688F0" w14:textId="742DDD94" w:rsidR="00D614D1" w:rsidRPr="00F96844" w:rsidRDefault="00D614D1" w:rsidP="00780738">
      <w:pPr>
        <w:jc w:val="both"/>
        <w:rPr>
          <w:rFonts w:eastAsia="Times New Roman" w:cs="Arial"/>
          <w:b/>
          <w:i/>
          <w:iCs/>
          <w:sz w:val="24"/>
          <w:szCs w:val="24"/>
          <w:lang w:val="sr-Latn-ME"/>
        </w:rPr>
      </w:pPr>
      <w:r w:rsidRPr="00F96844">
        <w:rPr>
          <w:rFonts w:eastAsia="Times New Roman" w:cs="Arial"/>
          <w:b/>
          <w:i/>
          <w:iCs/>
          <w:sz w:val="24"/>
          <w:szCs w:val="24"/>
          <w:lang w:val="sr-Latn-ME"/>
        </w:rPr>
        <w:t>Strategija inkluzivnog obrazovanja 2019</w:t>
      </w:r>
      <w:r w:rsidR="001B37FF" w:rsidRPr="001B37FF">
        <w:rPr>
          <w:rFonts w:eastAsia="Times New Roman" w:cs="Arial"/>
          <w:b/>
          <w:i/>
          <w:iCs/>
          <w:sz w:val="24"/>
          <w:szCs w:val="24"/>
          <w:lang w:val="sr-Latn-ME"/>
        </w:rPr>
        <w:t>‒</w:t>
      </w:r>
      <w:r w:rsidRPr="00F96844">
        <w:rPr>
          <w:rFonts w:eastAsia="Times New Roman" w:cs="Arial"/>
          <w:b/>
          <w:i/>
          <w:iCs/>
          <w:sz w:val="24"/>
          <w:szCs w:val="24"/>
          <w:lang w:val="sr-Latn-ME"/>
        </w:rPr>
        <w:t>2025</w:t>
      </w:r>
      <w:r w:rsidR="00FD5566" w:rsidRPr="00F96844">
        <w:rPr>
          <w:rFonts w:eastAsia="Times New Roman" w:cs="Arial"/>
          <w:b/>
          <w:i/>
          <w:iCs/>
          <w:sz w:val="24"/>
          <w:szCs w:val="24"/>
          <w:lang w:val="sr-Latn-ME"/>
        </w:rPr>
        <w:t>.</w:t>
      </w:r>
    </w:p>
    <w:p w14:paraId="458066E2" w14:textId="77777777" w:rsidR="00A64A0A" w:rsidRPr="00F96844" w:rsidRDefault="00A64A0A" w:rsidP="00780738">
      <w:pPr>
        <w:jc w:val="both"/>
        <w:rPr>
          <w:rFonts w:eastAsia="Times New Roman" w:cs="Arial"/>
          <w:b/>
          <w:sz w:val="24"/>
          <w:szCs w:val="24"/>
          <w:lang w:val="sr-Latn-ME"/>
        </w:rPr>
      </w:pPr>
    </w:p>
    <w:p w14:paraId="69F7C424" w14:textId="77777777" w:rsidR="00D614D1" w:rsidRPr="00F96844" w:rsidRDefault="00D614D1" w:rsidP="001B37FF">
      <w:pPr>
        <w:jc w:val="both"/>
        <w:rPr>
          <w:rFonts w:eastAsia="Times New Roman" w:cs="Arial"/>
          <w:sz w:val="24"/>
          <w:szCs w:val="24"/>
          <w:lang w:val="sr-Latn-ME"/>
        </w:rPr>
      </w:pPr>
      <w:r w:rsidRPr="00F96844">
        <w:rPr>
          <w:rFonts w:eastAsia="Times New Roman" w:cs="Arial"/>
          <w:i/>
          <w:iCs/>
          <w:sz w:val="24"/>
          <w:szCs w:val="24"/>
          <w:lang w:val="sr-Latn-ME"/>
        </w:rPr>
        <w:t xml:space="preserve">Strategija </w:t>
      </w:r>
      <w:r w:rsidRPr="00F96844">
        <w:rPr>
          <w:rFonts w:eastAsia="Times New Roman" w:cs="Arial"/>
          <w:sz w:val="24"/>
          <w:szCs w:val="24"/>
          <w:lang w:val="sr-Latn-ME"/>
        </w:rPr>
        <w:t>uključuje principe, teorijska i praktična dostignuća u pravcu razvoja potencijala djece</w:t>
      </w:r>
      <w:r w:rsidR="004C5D23">
        <w:rPr>
          <w:rFonts w:eastAsia="Times New Roman" w:cs="Arial"/>
          <w:sz w:val="24"/>
          <w:szCs w:val="24"/>
          <w:lang w:val="sr-Latn-ME"/>
        </w:rPr>
        <w:t xml:space="preserve"> s p</w:t>
      </w:r>
      <w:r w:rsidRPr="00F96844">
        <w:rPr>
          <w:rFonts w:eastAsia="Times New Roman" w:cs="Arial"/>
          <w:sz w:val="24"/>
          <w:szCs w:val="24"/>
          <w:lang w:val="sr-Latn-ME"/>
        </w:rPr>
        <w:t>osebnim obrazovnim potrebama, ali i samog društva.</w:t>
      </w:r>
    </w:p>
    <w:p w14:paraId="612C8353" w14:textId="77777777" w:rsidR="00381A1C" w:rsidRPr="00F96844" w:rsidRDefault="00381A1C" w:rsidP="001B37FF">
      <w:pPr>
        <w:jc w:val="both"/>
        <w:rPr>
          <w:rFonts w:eastAsia="Times New Roman" w:cs="Arial"/>
          <w:sz w:val="24"/>
          <w:szCs w:val="24"/>
          <w:lang w:val="sr-Latn-ME"/>
        </w:rPr>
      </w:pPr>
      <w:r w:rsidRPr="00F96844">
        <w:rPr>
          <w:rFonts w:eastAsia="Times New Roman" w:cs="Arial"/>
          <w:sz w:val="24"/>
          <w:szCs w:val="24"/>
          <w:lang w:val="sr-Latn-ME"/>
        </w:rPr>
        <w:t>Primarni akcenat je na usklađenosti sa sl</w:t>
      </w:r>
      <w:r w:rsidR="00566215">
        <w:rPr>
          <w:rFonts w:eastAsia="Times New Roman" w:cs="Arial"/>
          <w:sz w:val="24"/>
          <w:szCs w:val="24"/>
          <w:lang w:val="sr-Latn-ME"/>
        </w:rPr>
        <w:t>j</w:t>
      </w:r>
      <w:r w:rsidRPr="00F96844">
        <w:rPr>
          <w:rFonts w:eastAsia="Times New Roman" w:cs="Arial"/>
          <w:sz w:val="24"/>
          <w:szCs w:val="24"/>
          <w:lang w:val="sr-Latn-ME"/>
        </w:rPr>
        <w:t>edećim</w:t>
      </w:r>
      <w:r w:rsidR="00566215">
        <w:rPr>
          <w:rFonts w:eastAsia="Times New Roman" w:cs="Arial"/>
          <w:sz w:val="24"/>
          <w:szCs w:val="24"/>
          <w:lang w:val="sr-Latn-ME"/>
        </w:rPr>
        <w:t xml:space="preserve"> operativnim</w:t>
      </w:r>
      <w:r w:rsidRPr="00F96844">
        <w:rPr>
          <w:rFonts w:eastAsia="Times New Roman" w:cs="Arial"/>
          <w:sz w:val="24"/>
          <w:szCs w:val="24"/>
          <w:lang w:val="sr-Latn-ME"/>
        </w:rPr>
        <w:t xml:space="preserve"> ciljevima</w:t>
      </w:r>
      <w:r w:rsidR="00142786" w:rsidRPr="00F96844">
        <w:rPr>
          <w:rStyle w:val="FootnoteReference"/>
          <w:rFonts w:eastAsia="Times New Roman" w:cs="Arial"/>
          <w:sz w:val="24"/>
          <w:szCs w:val="24"/>
          <w:lang w:val="sr-Latn-ME"/>
        </w:rPr>
        <w:footnoteReference w:id="15"/>
      </w:r>
      <w:r w:rsidRPr="00F96844">
        <w:rPr>
          <w:rFonts w:eastAsia="Times New Roman" w:cs="Arial"/>
          <w:sz w:val="24"/>
          <w:szCs w:val="24"/>
          <w:lang w:val="sr-Latn-ME"/>
        </w:rPr>
        <w:t>:</w:t>
      </w:r>
    </w:p>
    <w:p w14:paraId="03B6F6B9" w14:textId="77777777" w:rsidR="00821712" w:rsidRPr="00F96844" w:rsidRDefault="00821712" w:rsidP="00B6364D">
      <w:pPr>
        <w:jc w:val="both"/>
        <w:rPr>
          <w:rFonts w:cs="Arial"/>
          <w:sz w:val="24"/>
          <w:szCs w:val="24"/>
          <w:lang w:val="sr-Latn-ME"/>
        </w:rPr>
      </w:pPr>
      <w:r w:rsidRPr="00F96844">
        <w:rPr>
          <w:rFonts w:cs="Arial"/>
          <w:bCs/>
          <w:sz w:val="24"/>
          <w:szCs w:val="24"/>
          <w:lang w:val="sr-Latn-ME"/>
        </w:rPr>
        <w:t>1.</w:t>
      </w:r>
      <w:r w:rsidR="004644CE" w:rsidRPr="00F96844">
        <w:rPr>
          <w:rFonts w:cs="Arial"/>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 xml:space="preserve"> Sprovesti istraživanje o znanju, stavovima i praksama u odnosu na </w:t>
      </w:r>
      <w:r w:rsidR="001B37FF">
        <w:rPr>
          <w:rFonts w:cs="Arial"/>
          <w:sz w:val="24"/>
          <w:szCs w:val="24"/>
          <w:lang w:val="sr-Latn-ME"/>
        </w:rPr>
        <w:t>dj</w:t>
      </w:r>
      <w:r w:rsidRPr="00F96844">
        <w:rPr>
          <w:rFonts w:cs="Arial"/>
          <w:sz w:val="24"/>
          <w:szCs w:val="24"/>
          <w:lang w:val="sr-Latn-ME"/>
        </w:rPr>
        <w:t>ecu sa smetnjama u razvoju i na bazi rezultata sprovesti aktivnosti, radionice i kampanje</w:t>
      </w:r>
      <w:r w:rsidR="00963C13">
        <w:rPr>
          <w:rFonts w:cs="Arial"/>
          <w:sz w:val="24"/>
          <w:szCs w:val="24"/>
          <w:lang w:val="sr-Latn-ME"/>
        </w:rPr>
        <w:t>;</w:t>
      </w:r>
    </w:p>
    <w:p w14:paraId="1D23DC71" w14:textId="77777777" w:rsidR="00821712" w:rsidRPr="00F96844" w:rsidRDefault="00821712" w:rsidP="00B6364D">
      <w:pPr>
        <w:jc w:val="both"/>
        <w:rPr>
          <w:rFonts w:cs="Arial"/>
          <w:sz w:val="24"/>
          <w:szCs w:val="24"/>
          <w:lang w:val="sr-Latn-ME"/>
        </w:rPr>
      </w:pPr>
      <w:r w:rsidRPr="00F96844">
        <w:rPr>
          <w:rFonts w:cs="Arial"/>
          <w:bCs/>
          <w:sz w:val="24"/>
          <w:szCs w:val="24"/>
          <w:lang w:val="sr-Latn-ME"/>
        </w:rPr>
        <w:t>2. Operativni cilj:</w:t>
      </w:r>
      <w:r w:rsidRPr="00F96844">
        <w:rPr>
          <w:rFonts w:cs="Arial"/>
          <w:b/>
          <w:bCs/>
          <w:sz w:val="24"/>
          <w:szCs w:val="24"/>
          <w:lang w:val="sr-Latn-ME"/>
        </w:rPr>
        <w:t xml:space="preserve"> </w:t>
      </w:r>
      <w:r w:rsidRPr="00F96844">
        <w:rPr>
          <w:rFonts w:cs="Arial"/>
          <w:sz w:val="24"/>
          <w:szCs w:val="24"/>
          <w:lang w:val="sr-Latn-ME"/>
        </w:rPr>
        <w:t>Određivanje stručnih radnika za dijete i porodicu u centrima za socijalni rad i razvoj kompetencija k</w:t>
      </w:r>
      <w:r w:rsidR="00963C13">
        <w:rPr>
          <w:rFonts w:cs="Arial"/>
          <w:sz w:val="24"/>
          <w:szCs w:val="24"/>
          <w:lang w:val="sr-Latn-ME"/>
        </w:rPr>
        <w:t>adra za rad</w:t>
      </w:r>
      <w:r w:rsidR="004C5D23">
        <w:rPr>
          <w:rFonts w:cs="Arial"/>
          <w:sz w:val="24"/>
          <w:szCs w:val="24"/>
          <w:lang w:val="sr-Latn-ME"/>
        </w:rPr>
        <w:t xml:space="preserve"> s o</w:t>
      </w:r>
      <w:r w:rsidR="00963C13">
        <w:rPr>
          <w:rFonts w:cs="Arial"/>
          <w:sz w:val="24"/>
          <w:szCs w:val="24"/>
          <w:lang w:val="sr-Latn-ME"/>
        </w:rPr>
        <w:t>vom populacijom;</w:t>
      </w:r>
    </w:p>
    <w:p w14:paraId="03CCAE9A" w14:textId="77777777" w:rsidR="00821712" w:rsidRPr="00F96844" w:rsidRDefault="00821712" w:rsidP="00B6364D">
      <w:pPr>
        <w:jc w:val="both"/>
        <w:rPr>
          <w:rFonts w:cs="Arial"/>
          <w:sz w:val="24"/>
          <w:szCs w:val="24"/>
          <w:lang w:val="sr-Latn-ME"/>
        </w:rPr>
      </w:pPr>
      <w:r w:rsidRPr="00F96844">
        <w:rPr>
          <w:rFonts w:cs="Arial"/>
          <w:bCs/>
          <w:sz w:val="24"/>
          <w:szCs w:val="24"/>
          <w:lang w:val="sr-Latn-ME"/>
        </w:rPr>
        <w:t>3.</w:t>
      </w:r>
      <w:r w:rsidR="004644CE" w:rsidRPr="00F96844">
        <w:rPr>
          <w:rFonts w:cs="Arial"/>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w:t>
      </w:r>
      <w:r w:rsidR="001B37FF">
        <w:rPr>
          <w:rFonts w:cs="Arial"/>
          <w:sz w:val="24"/>
          <w:szCs w:val="24"/>
          <w:lang w:val="sr-Latn-ME"/>
        </w:rPr>
        <w:t xml:space="preserve"> </w:t>
      </w:r>
      <w:r w:rsidRPr="00F96844">
        <w:rPr>
          <w:rFonts w:cs="Arial"/>
          <w:sz w:val="24"/>
          <w:szCs w:val="24"/>
          <w:lang w:val="sr-Latn-ME"/>
        </w:rPr>
        <w:t>Promocija zapošljavanja osoba</w:t>
      </w:r>
      <w:r w:rsidR="004C5D23">
        <w:rPr>
          <w:rFonts w:cs="Arial"/>
          <w:sz w:val="24"/>
          <w:szCs w:val="24"/>
          <w:lang w:val="sr-Latn-ME"/>
        </w:rPr>
        <w:t xml:space="preserve"> s p</w:t>
      </w:r>
      <w:r w:rsidRPr="00F96844">
        <w:rPr>
          <w:rFonts w:cs="Arial"/>
          <w:sz w:val="24"/>
          <w:szCs w:val="24"/>
          <w:lang w:val="sr-Latn-ME"/>
        </w:rPr>
        <w:t>osebnim obrazovnim potrebama</w:t>
      </w:r>
      <w:r w:rsidR="00963C13">
        <w:rPr>
          <w:rFonts w:cs="Arial"/>
          <w:sz w:val="24"/>
          <w:szCs w:val="24"/>
          <w:lang w:val="sr-Latn-ME"/>
        </w:rPr>
        <w:t>;</w:t>
      </w:r>
    </w:p>
    <w:p w14:paraId="5E52EB5D" w14:textId="77777777" w:rsidR="00821712" w:rsidRPr="00F96844" w:rsidRDefault="00821712" w:rsidP="00B6364D">
      <w:pPr>
        <w:jc w:val="both"/>
        <w:rPr>
          <w:rFonts w:cs="Arial"/>
          <w:sz w:val="24"/>
          <w:szCs w:val="24"/>
          <w:lang w:val="sr-Latn-ME"/>
        </w:rPr>
      </w:pPr>
      <w:r w:rsidRPr="00F96844">
        <w:rPr>
          <w:rFonts w:cs="Arial"/>
          <w:sz w:val="24"/>
          <w:szCs w:val="24"/>
          <w:lang w:val="sr-Latn-ME"/>
        </w:rPr>
        <w:t>4.</w:t>
      </w:r>
      <w:r w:rsidRPr="00F96844">
        <w:rPr>
          <w:rFonts w:cs="Arial"/>
          <w:b/>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 xml:space="preserve">: Razvoj i licenciranje usluge </w:t>
      </w:r>
      <w:r w:rsidR="001B37FF">
        <w:rPr>
          <w:rFonts w:cs="Arial"/>
          <w:sz w:val="24"/>
          <w:szCs w:val="24"/>
          <w:lang w:val="sr-Latn-ME"/>
        </w:rPr>
        <w:t>posrednika/posrednica</w:t>
      </w:r>
      <w:r w:rsidRPr="00F96844">
        <w:rPr>
          <w:rFonts w:cs="Arial"/>
          <w:sz w:val="24"/>
          <w:szCs w:val="24"/>
          <w:lang w:val="sr-Latn-ME"/>
        </w:rPr>
        <w:t xml:space="preserve"> (</w:t>
      </w:r>
      <w:r w:rsidR="001B37FF">
        <w:rPr>
          <w:rFonts w:cs="Arial"/>
          <w:sz w:val="24"/>
          <w:szCs w:val="24"/>
          <w:lang w:val="sr-Latn-ME"/>
        </w:rPr>
        <w:t>medijatora/medijatorki</w:t>
      </w:r>
      <w:r w:rsidRPr="00F96844">
        <w:rPr>
          <w:rFonts w:cs="Arial"/>
          <w:sz w:val="24"/>
          <w:szCs w:val="24"/>
          <w:lang w:val="sr-Latn-ME"/>
        </w:rPr>
        <w:t>) u kar</w:t>
      </w:r>
      <w:r w:rsidR="00963C13">
        <w:rPr>
          <w:rFonts w:cs="Arial"/>
          <w:sz w:val="24"/>
          <w:szCs w:val="24"/>
          <w:lang w:val="sr-Latn-ME"/>
        </w:rPr>
        <w:t>ijernom vođenju i zapošljavanju;</w:t>
      </w:r>
    </w:p>
    <w:p w14:paraId="2E1C2913" w14:textId="77777777" w:rsidR="00083439" w:rsidRPr="00F96844" w:rsidRDefault="00821712" w:rsidP="00B6364D">
      <w:pPr>
        <w:jc w:val="both"/>
        <w:rPr>
          <w:rFonts w:cs="Arial"/>
          <w:sz w:val="24"/>
          <w:szCs w:val="24"/>
          <w:lang w:val="sr-Latn-ME"/>
        </w:rPr>
      </w:pPr>
      <w:r w:rsidRPr="00F96844">
        <w:rPr>
          <w:rFonts w:cs="Arial"/>
          <w:sz w:val="24"/>
          <w:szCs w:val="24"/>
          <w:lang w:val="sr-Latn-ME"/>
        </w:rPr>
        <w:t>5</w:t>
      </w:r>
      <w:r w:rsidRPr="00F96844">
        <w:rPr>
          <w:rFonts w:cs="Arial"/>
          <w:bCs/>
          <w:sz w:val="24"/>
          <w:szCs w:val="24"/>
          <w:lang w:val="sr-Latn-ME"/>
        </w:rPr>
        <w:t>.</w:t>
      </w:r>
      <w:r w:rsidR="004644CE" w:rsidRPr="00F96844">
        <w:rPr>
          <w:rFonts w:cs="Arial"/>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 xml:space="preserve"> Evaluacija rada i izrada plana saradnje dnevnih boravaka sa školama, resursnim centrima i drugim uslugama u zajednici u skladu s UNCRPD.</w:t>
      </w:r>
    </w:p>
    <w:p w14:paraId="09609306" w14:textId="77777777" w:rsidR="00017463" w:rsidRPr="00F96844" w:rsidRDefault="00017463" w:rsidP="00780738">
      <w:pPr>
        <w:jc w:val="both"/>
        <w:rPr>
          <w:rFonts w:eastAsia="Times New Roman" w:cs="Arial"/>
          <w:sz w:val="24"/>
          <w:szCs w:val="24"/>
          <w:highlight w:val="green"/>
          <w:lang w:val="sr-Latn-ME"/>
        </w:rPr>
      </w:pPr>
    </w:p>
    <w:p w14:paraId="58F50DD7" w14:textId="77777777" w:rsidR="000945A3" w:rsidRPr="00F96844" w:rsidRDefault="000945A3" w:rsidP="00780738">
      <w:pPr>
        <w:jc w:val="both"/>
        <w:rPr>
          <w:rFonts w:eastAsia="Times New Roman" w:cs="Arial"/>
          <w:b/>
          <w:sz w:val="24"/>
          <w:szCs w:val="24"/>
          <w:lang w:val="sr-Latn-ME"/>
        </w:rPr>
      </w:pPr>
      <w:r w:rsidRPr="00F96844">
        <w:rPr>
          <w:rFonts w:eastAsia="Times New Roman" w:cs="Arial"/>
          <w:b/>
          <w:i/>
          <w:iCs/>
          <w:sz w:val="24"/>
          <w:szCs w:val="24"/>
          <w:lang w:val="sr-Latn-ME"/>
        </w:rPr>
        <w:t>Nacionalni plan za implementaciju Konvencije Savjeta Evrope o suzbijanju i sprečavanju nasilja nad ženama i nasilja u porodici (Istanbulska konvencija) za period 2023–2027. godine</w:t>
      </w:r>
      <w:r w:rsidRPr="00F96844">
        <w:rPr>
          <w:rFonts w:eastAsia="Times New Roman" w:cs="Arial"/>
          <w:b/>
          <w:sz w:val="24"/>
          <w:szCs w:val="24"/>
          <w:lang w:val="sr-Latn-ME"/>
        </w:rPr>
        <w:t>.</w:t>
      </w:r>
      <w:r w:rsidRPr="00B6364D">
        <w:rPr>
          <w:rFonts w:eastAsia="Times New Roman" w:cs="Arial"/>
          <w:bCs/>
          <w:sz w:val="24"/>
          <w:szCs w:val="24"/>
          <w:vertAlign w:val="superscript"/>
          <w:lang w:val="sr-Latn-ME"/>
        </w:rPr>
        <w:footnoteReference w:id="16"/>
      </w:r>
      <w:r w:rsidRPr="00B6364D">
        <w:rPr>
          <w:rFonts w:eastAsia="Times New Roman" w:cs="Arial"/>
          <w:bCs/>
          <w:sz w:val="24"/>
          <w:szCs w:val="24"/>
          <w:lang w:val="sr-Latn-ME"/>
        </w:rPr>
        <w:t xml:space="preserve"> </w:t>
      </w:r>
    </w:p>
    <w:p w14:paraId="4C20E7F1" w14:textId="77777777" w:rsidR="00A64A0A" w:rsidRPr="00F96844" w:rsidRDefault="00A64A0A" w:rsidP="00780738">
      <w:pPr>
        <w:jc w:val="both"/>
        <w:rPr>
          <w:rFonts w:eastAsia="Times New Roman" w:cs="Arial"/>
          <w:b/>
          <w:sz w:val="24"/>
          <w:szCs w:val="24"/>
          <w:lang w:val="sr-Latn-ME"/>
        </w:rPr>
      </w:pPr>
    </w:p>
    <w:p w14:paraId="256EE58A" w14:textId="097B20B9" w:rsidR="000945A3" w:rsidRPr="00F96844" w:rsidRDefault="000945A3" w:rsidP="00780738">
      <w:pPr>
        <w:jc w:val="both"/>
        <w:rPr>
          <w:rFonts w:eastAsia="Times New Roman" w:cs="Arial"/>
          <w:sz w:val="24"/>
          <w:szCs w:val="24"/>
          <w:lang w:val="sr-Latn-ME"/>
        </w:rPr>
      </w:pPr>
      <w:r w:rsidRPr="00F96844">
        <w:rPr>
          <w:rFonts w:eastAsia="Times New Roman" w:cs="Arial"/>
          <w:sz w:val="24"/>
          <w:szCs w:val="24"/>
          <w:lang w:val="sr-Latn-ME"/>
        </w:rPr>
        <w:lastRenderedPageBreak/>
        <w:t xml:space="preserve">Osnovna svrha i cilj Nacionalnog plana za implementaciju Konvencije Savjeta Evrope o suzbijanju i sprečavanju nasilja nad ženama i nasilja u porodici (Istanbulska konvencija) jeste osiguranje postizanja ciljeva Konvencije: </w:t>
      </w:r>
      <w:r w:rsidR="002D7E7F">
        <w:rPr>
          <w:rFonts w:eastAsia="Times New Roman" w:cs="Arial"/>
          <w:sz w:val="24"/>
          <w:szCs w:val="24"/>
          <w:lang w:val="sr-Latn-ME"/>
        </w:rPr>
        <w:t>a</w:t>
      </w:r>
      <w:r w:rsidRPr="00F96844">
        <w:rPr>
          <w:rFonts w:eastAsia="Times New Roman" w:cs="Arial"/>
          <w:sz w:val="24"/>
          <w:szCs w:val="24"/>
          <w:lang w:val="sr-Latn-ME"/>
        </w:rPr>
        <w:t xml:space="preserve">) Zaštita žena od svih vidova nasilja i sprečavanje, procesuiranje i eliminisanje nasilja nad ženama i nasilja u porodici. </w:t>
      </w:r>
      <w:r w:rsidR="002D7E7F">
        <w:rPr>
          <w:rFonts w:eastAsia="Times New Roman" w:cs="Arial"/>
          <w:sz w:val="24"/>
          <w:szCs w:val="24"/>
          <w:lang w:val="sr-Latn-ME"/>
        </w:rPr>
        <w:t>b</w:t>
      </w:r>
      <w:r w:rsidRPr="00F96844">
        <w:rPr>
          <w:rFonts w:eastAsia="Times New Roman" w:cs="Arial"/>
          <w:sz w:val="24"/>
          <w:szCs w:val="24"/>
          <w:lang w:val="sr-Latn-ME"/>
        </w:rPr>
        <w:t xml:space="preserve">) Doprinos suzbijanju svih oblika diskriminacije nad ženama i promovisanje suštinske jednakosti između žena i muškaraca, uključujući i osnaživanje žena. </w:t>
      </w:r>
      <w:r w:rsidR="002D7E7F">
        <w:rPr>
          <w:rFonts w:eastAsia="Times New Roman" w:cs="Arial"/>
          <w:sz w:val="24"/>
          <w:szCs w:val="24"/>
          <w:lang w:val="sr-Latn-ME"/>
        </w:rPr>
        <w:t>c</w:t>
      </w:r>
      <w:r w:rsidRPr="00F96844">
        <w:rPr>
          <w:rFonts w:eastAsia="Times New Roman" w:cs="Arial"/>
          <w:sz w:val="24"/>
          <w:szCs w:val="24"/>
          <w:lang w:val="sr-Latn-ME"/>
        </w:rPr>
        <w:t>) Izrada sveobuhvatnog okvira, politika i mjera zaštite i pomoći svim žrtvama nasilja nad ženama i nasilja u porodici</w:t>
      </w:r>
      <w:r w:rsidR="00142786" w:rsidRPr="00F96844">
        <w:rPr>
          <w:rStyle w:val="FootnoteReference"/>
          <w:rFonts w:eastAsia="Times New Roman" w:cs="Arial"/>
          <w:sz w:val="24"/>
          <w:szCs w:val="24"/>
          <w:lang w:val="sr-Latn-ME"/>
        </w:rPr>
        <w:footnoteReference w:id="17"/>
      </w:r>
      <w:r w:rsidRPr="00F96844">
        <w:rPr>
          <w:rFonts w:eastAsia="Times New Roman" w:cs="Arial"/>
          <w:sz w:val="24"/>
          <w:szCs w:val="24"/>
          <w:lang w:val="sr-Latn-ME"/>
        </w:rPr>
        <w:t xml:space="preserve">. </w:t>
      </w:r>
      <w:r w:rsidR="002D7E7F">
        <w:rPr>
          <w:rFonts w:eastAsia="Times New Roman" w:cs="Arial"/>
          <w:sz w:val="24"/>
          <w:szCs w:val="24"/>
          <w:lang w:val="sr-Latn-ME"/>
        </w:rPr>
        <w:t>d</w:t>
      </w:r>
      <w:r w:rsidRPr="00F96844">
        <w:rPr>
          <w:rFonts w:eastAsia="Times New Roman" w:cs="Arial"/>
          <w:sz w:val="24"/>
          <w:szCs w:val="24"/>
          <w:lang w:val="sr-Latn-ME"/>
        </w:rPr>
        <w:t xml:space="preserve">) Unapređenje međunarodne saradnje u pogledu eliminisanja nasilja nad ženama i nasilja u porodici. </w:t>
      </w:r>
      <w:r w:rsidR="002D7E7F">
        <w:rPr>
          <w:rFonts w:eastAsia="Times New Roman" w:cs="Arial"/>
          <w:sz w:val="24"/>
          <w:szCs w:val="24"/>
          <w:lang w:val="sr-Latn-ME"/>
        </w:rPr>
        <w:t>e</w:t>
      </w:r>
      <w:r w:rsidRPr="00F96844">
        <w:rPr>
          <w:rFonts w:eastAsia="Times New Roman" w:cs="Arial"/>
          <w:sz w:val="24"/>
          <w:szCs w:val="24"/>
          <w:lang w:val="sr-Latn-ME"/>
        </w:rPr>
        <w:t>) Pružanje podrške i pomoći organizacijama i organima unutrašnjih poslova u djelotvornoj saradnji da bi se usvojio obuhvatni pristup eliminisanju nasilja nad ženama i nasilja u porodici. Nacionalni plan predviđa niz mjera za sprovođenje</w:t>
      </w:r>
      <w:r w:rsidR="001B37FF">
        <w:rPr>
          <w:rFonts w:eastAsia="Times New Roman" w:cs="Arial"/>
          <w:sz w:val="24"/>
          <w:szCs w:val="24"/>
          <w:lang w:val="sr-Latn-ME"/>
        </w:rPr>
        <w:t>,</w:t>
      </w:r>
      <w:r w:rsidRPr="00F96844">
        <w:rPr>
          <w:rFonts w:eastAsia="Times New Roman" w:cs="Arial"/>
          <w:sz w:val="24"/>
          <w:szCs w:val="24"/>
          <w:lang w:val="sr-Latn-ME"/>
        </w:rPr>
        <w:t xml:space="preserve"> dok su svi organi zaduženi za implementaciju mjera i ak</w:t>
      </w:r>
      <w:r w:rsidR="00017587">
        <w:rPr>
          <w:rFonts w:eastAsia="Times New Roman" w:cs="Arial"/>
          <w:sz w:val="24"/>
          <w:szCs w:val="24"/>
          <w:lang w:val="sr-Latn-ME"/>
        </w:rPr>
        <w:t>t</w:t>
      </w:r>
      <w:r w:rsidRPr="00F96844">
        <w:rPr>
          <w:rFonts w:eastAsia="Times New Roman" w:cs="Arial"/>
          <w:sz w:val="24"/>
          <w:szCs w:val="24"/>
          <w:lang w:val="sr-Latn-ME"/>
        </w:rPr>
        <w:t xml:space="preserve">ivnosti iz </w:t>
      </w:r>
      <w:r w:rsidRPr="005B7D8D">
        <w:rPr>
          <w:rFonts w:eastAsia="Times New Roman" w:cs="Arial"/>
          <w:sz w:val="24"/>
          <w:szCs w:val="24"/>
          <w:lang w:val="sr-Latn-ME"/>
        </w:rPr>
        <w:t xml:space="preserve">domena ovog dokumenta dužni da na godišnjem nivou izvijeste Ministarstvo </w:t>
      </w:r>
      <w:r w:rsidR="00422BC1" w:rsidRPr="005B7D8D">
        <w:rPr>
          <w:rFonts w:eastAsia="Times New Roman" w:cs="Arial"/>
          <w:sz w:val="24"/>
          <w:szCs w:val="24"/>
          <w:lang w:val="sr-Latn-ME"/>
        </w:rPr>
        <w:t>socijalnog staranja, brig</w:t>
      </w:r>
      <w:r w:rsidR="002927B1" w:rsidRPr="005B7D8D">
        <w:rPr>
          <w:rFonts w:eastAsia="Times New Roman" w:cs="Arial"/>
          <w:sz w:val="24"/>
          <w:szCs w:val="24"/>
          <w:lang w:val="sr-Latn-ME"/>
        </w:rPr>
        <w:t>e</w:t>
      </w:r>
      <w:r w:rsidR="00422BC1" w:rsidRPr="005B7D8D">
        <w:rPr>
          <w:rFonts w:eastAsia="Times New Roman" w:cs="Arial"/>
          <w:sz w:val="24"/>
          <w:szCs w:val="24"/>
          <w:lang w:val="sr-Latn-ME"/>
        </w:rPr>
        <w:t xml:space="preserve"> o porodici i demografij</w:t>
      </w:r>
      <w:r w:rsidR="002927B1" w:rsidRPr="005B7D8D">
        <w:rPr>
          <w:rFonts w:eastAsia="Times New Roman" w:cs="Arial"/>
          <w:sz w:val="24"/>
          <w:szCs w:val="24"/>
          <w:lang w:val="sr-Latn-ME"/>
        </w:rPr>
        <w:t>e</w:t>
      </w:r>
      <w:r w:rsidRPr="005B7D8D">
        <w:rPr>
          <w:rFonts w:eastAsia="Times New Roman" w:cs="Arial"/>
          <w:sz w:val="24"/>
          <w:szCs w:val="24"/>
          <w:lang w:val="sr-Latn-ME"/>
        </w:rPr>
        <w:t>,</w:t>
      </w:r>
      <w:r w:rsidRPr="00F96844">
        <w:rPr>
          <w:rFonts w:eastAsia="Times New Roman" w:cs="Arial"/>
          <w:sz w:val="24"/>
          <w:szCs w:val="24"/>
          <w:lang w:val="sr-Latn-ME"/>
        </w:rPr>
        <w:t xml:space="preserve"> a svake </w:t>
      </w:r>
      <w:r w:rsidR="002D7E7F">
        <w:rPr>
          <w:rFonts w:eastAsia="Times New Roman" w:cs="Arial"/>
          <w:sz w:val="24"/>
          <w:szCs w:val="24"/>
          <w:lang w:val="sr-Latn-ME"/>
        </w:rPr>
        <w:t>naredne</w:t>
      </w:r>
      <w:r w:rsidRPr="00F96844">
        <w:rPr>
          <w:rFonts w:eastAsia="Times New Roman" w:cs="Arial"/>
          <w:sz w:val="24"/>
          <w:szCs w:val="24"/>
          <w:lang w:val="sr-Latn-ME"/>
        </w:rPr>
        <w:t xml:space="preserve"> godine Ministarstvo pravde, Ministarstvo unutrašnjih poslova i Ministarstvo zdravlja o rezultatima i utrošenim sredstvima.</w:t>
      </w:r>
    </w:p>
    <w:p w14:paraId="2A68A292" w14:textId="77777777" w:rsidR="00EA320B" w:rsidRPr="00F96844" w:rsidRDefault="00EA320B" w:rsidP="00780738">
      <w:pPr>
        <w:jc w:val="both"/>
        <w:rPr>
          <w:rFonts w:eastAsia="Times New Roman" w:cs="Arial"/>
          <w:b/>
          <w:i/>
          <w:sz w:val="24"/>
          <w:szCs w:val="24"/>
          <w:lang w:val="sr-Latn-ME"/>
        </w:rPr>
      </w:pPr>
    </w:p>
    <w:p w14:paraId="0B3180CD" w14:textId="77777777" w:rsidR="00D614D1" w:rsidRPr="00F96844" w:rsidRDefault="00D614D1" w:rsidP="00780738">
      <w:pPr>
        <w:rPr>
          <w:rFonts w:cs="Arial"/>
          <w:b/>
          <w:i/>
          <w:sz w:val="24"/>
          <w:szCs w:val="24"/>
          <w:lang w:val="sr-Latn-ME"/>
        </w:rPr>
      </w:pPr>
      <w:r w:rsidRPr="00F96844">
        <w:rPr>
          <w:rFonts w:cs="Arial"/>
          <w:b/>
          <w:i/>
          <w:sz w:val="24"/>
          <w:szCs w:val="24"/>
          <w:lang w:val="sr-Latn-ME"/>
        </w:rPr>
        <w:t>Strategija</w:t>
      </w:r>
      <w:r w:rsidRPr="00F96844">
        <w:rPr>
          <w:rFonts w:cs="Arial"/>
          <w:b/>
          <w:i/>
          <w:spacing w:val="-4"/>
          <w:sz w:val="24"/>
          <w:szCs w:val="24"/>
          <w:lang w:val="sr-Latn-ME"/>
        </w:rPr>
        <w:t xml:space="preserve"> </w:t>
      </w:r>
      <w:r w:rsidRPr="00F96844">
        <w:rPr>
          <w:rFonts w:cs="Arial"/>
          <w:b/>
          <w:i/>
          <w:sz w:val="24"/>
          <w:szCs w:val="24"/>
          <w:lang w:val="sr-Latn-ME"/>
        </w:rPr>
        <w:t>socijalne</w:t>
      </w:r>
      <w:r w:rsidRPr="00F96844">
        <w:rPr>
          <w:rFonts w:cs="Arial"/>
          <w:b/>
          <w:i/>
          <w:spacing w:val="-3"/>
          <w:sz w:val="24"/>
          <w:szCs w:val="24"/>
          <w:lang w:val="sr-Latn-ME"/>
        </w:rPr>
        <w:t xml:space="preserve"> </w:t>
      </w:r>
      <w:r w:rsidRPr="00F96844">
        <w:rPr>
          <w:rFonts w:cs="Arial"/>
          <w:b/>
          <w:i/>
          <w:sz w:val="24"/>
          <w:szCs w:val="24"/>
          <w:lang w:val="sr-Latn-ME"/>
        </w:rPr>
        <w:t>inkluzije</w:t>
      </w:r>
      <w:r w:rsidRPr="00F96844">
        <w:rPr>
          <w:rFonts w:cs="Arial"/>
          <w:b/>
          <w:i/>
          <w:spacing w:val="-3"/>
          <w:sz w:val="24"/>
          <w:szCs w:val="24"/>
          <w:lang w:val="sr-Latn-ME"/>
        </w:rPr>
        <w:t xml:space="preserve"> </w:t>
      </w:r>
      <w:r w:rsidRPr="00F96844">
        <w:rPr>
          <w:rFonts w:cs="Arial"/>
          <w:b/>
          <w:i/>
          <w:sz w:val="24"/>
          <w:szCs w:val="24"/>
          <w:lang w:val="sr-Latn-ME"/>
        </w:rPr>
        <w:t>Roma</w:t>
      </w:r>
      <w:r w:rsidRPr="00F96844">
        <w:rPr>
          <w:rFonts w:cs="Arial"/>
          <w:b/>
          <w:i/>
          <w:spacing w:val="-3"/>
          <w:sz w:val="24"/>
          <w:szCs w:val="24"/>
          <w:lang w:val="sr-Latn-ME"/>
        </w:rPr>
        <w:t xml:space="preserve"> </w:t>
      </w:r>
      <w:r w:rsidRPr="00F96844">
        <w:rPr>
          <w:rFonts w:cs="Arial"/>
          <w:b/>
          <w:i/>
          <w:sz w:val="24"/>
          <w:szCs w:val="24"/>
          <w:lang w:val="sr-Latn-ME"/>
        </w:rPr>
        <w:t>i</w:t>
      </w:r>
      <w:r w:rsidRPr="00F96844">
        <w:rPr>
          <w:rFonts w:cs="Arial"/>
          <w:b/>
          <w:i/>
          <w:spacing w:val="-4"/>
          <w:sz w:val="24"/>
          <w:szCs w:val="24"/>
          <w:lang w:val="sr-Latn-ME"/>
        </w:rPr>
        <w:t xml:space="preserve"> </w:t>
      </w:r>
      <w:r w:rsidRPr="00F96844">
        <w:rPr>
          <w:rFonts w:cs="Arial"/>
          <w:b/>
          <w:i/>
          <w:sz w:val="24"/>
          <w:szCs w:val="24"/>
          <w:lang w:val="sr-Latn-ME"/>
        </w:rPr>
        <w:t>Egipćana</w:t>
      </w:r>
      <w:r w:rsidRPr="00F96844">
        <w:rPr>
          <w:rFonts w:cs="Arial"/>
          <w:b/>
          <w:i/>
          <w:spacing w:val="-3"/>
          <w:sz w:val="24"/>
          <w:szCs w:val="24"/>
          <w:lang w:val="sr-Latn-ME"/>
        </w:rPr>
        <w:t xml:space="preserve"> </w:t>
      </w:r>
      <w:r w:rsidRPr="00F96844">
        <w:rPr>
          <w:rFonts w:cs="Arial"/>
          <w:b/>
          <w:i/>
          <w:sz w:val="24"/>
          <w:szCs w:val="24"/>
          <w:lang w:val="sr-Latn-ME"/>
        </w:rPr>
        <w:t>u</w:t>
      </w:r>
      <w:r w:rsidRPr="00F96844">
        <w:rPr>
          <w:rFonts w:cs="Arial"/>
          <w:b/>
          <w:i/>
          <w:spacing w:val="-2"/>
          <w:sz w:val="24"/>
          <w:szCs w:val="24"/>
          <w:lang w:val="sr-Latn-ME"/>
        </w:rPr>
        <w:t xml:space="preserve"> </w:t>
      </w:r>
      <w:r w:rsidRPr="00F96844">
        <w:rPr>
          <w:rFonts w:cs="Arial"/>
          <w:b/>
          <w:i/>
          <w:sz w:val="24"/>
          <w:szCs w:val="24"/>
          <w:lang w:val="sr-Latn-ME"/>
        </w:rPr>
        <w:t>Crnoj</w:t>
      </w:r>
      <w:r w:rsidRPr="00F96844">
        <w:rPr>
          <w:rFonts w:cs="Arial"/>
          <w:b/>
          <w:i/>
          <w:spacing w:val="-3"/>
          <w:sz w:val="24"/>
          <w:szCs w:val="24"/>
          <w:lang w:val="sr-Latn-ME"/>
        </w:rPr>
        <w:t xml:space="preserve"> </w:t>
      </w:r>
      <w:r w:rsidRPr="00F96844">
        <w:rPr>
          <w:rFonts w:cs="Arial"/>
          <w:b/>
          <w:i/>
          <w:sz w:val="24"/>
          <w:szCs w:val="24"/>
          <w:lang w:val="sr-Latn-ME"/>
        </w:rPr>
        <w:t>Gori</w:t>
      </w:r>
      <w:r w:rsidRPr="00F96844">
        <w:rPr>
          <w:rFonts w:cs="Arial"/>
          <w:b/>
          <w:i/>
          <w:spacing w:val="-4"/>
          <w:sz w:val="24"/>
          <w:szCs w:val="24"/>
          <w:lang w:val="sr-Latn-ME"/>
        </w:rPr>
        <w:t xml:space="preserve"> </w:t>
      </w:r>
      <w:r w:rsidRPr="00F96844">
        <w:rPr>
          <w:rFonts w:cs="Arial"/>
          <w:b/>
          <w:i/>
          <w:sz w:val="24"/>
          <w:szCs w:val="24"/>
          <w:lang w:val="sr-Latn-ME"/>
        </w:rPr>
        <w:t>2021–2025</w:t>
      </w:r>
      <w:r w:rsidR="00FD5566" w:rsidRPr="00F96844">
        <w:rPr>
          <w:rFonts w:cs="Arial"/>
          <w:b/>
          <w:i/>
          <w:sz w:val="24"/>
          <w:szCs w:val="24"/>
          <w:lang w:val="sr-Latn-ME"/>
        </w:rPr>
        <w:t>.</w:t>
      </w:r>
    </w:p>
    <w:p w14:paraId="0526F013" w14:textId="77777777" w:rsidR="009E4EC0" w:rsidRPr="00F96844" w:rsidRDefault="009E4EC0" w:rsidP="00780738">
      <w:pPr>
        <w:rPr>
          <w:sz w:val="24"/>
          <w:szCs w:val="24"/>
          <w:lang w:val="sr-Latn-ME"/>
        </w:rPr>
      </w:pPr>
    </w:p>
    <w:p w14:paraId="41D4B3D6" w14:textId="77777777" w:rsidR="009E4EC0" w:rsidRPr="00F96844" w:rsidRDefault="00127BD3" w:rsidP="00780738">
      <w:pPr>
        <w:jc w:val="both"/>
        <w:rPr>
          <w:sz w:val="24"/>
          <w:szCs w:val="24"/>
          <w:lang w:val="sr-Latn-ME"/>
        </w:rPr>
      </w:pPr>
      <w:r w:rsidRPr="00F96844">
        <w:rPr>
          <w:sz w:val="24"/>
          <w:szCs w:val="24"/>
          <w:lang w:val="sr-Latn-ME"/>
        </w:rPr>
        <w:t xml:space="preserve">Uzimajući u obzir ugroženost </w:t>
      </w:r>
      <w:r w:rsidR="00623924">
        <w:rPr>
          <w:sz w:val="24"/>
          <w:szCs w:val="24"/>
          <w:lang w:val="sr-Latn-ME"/>
        </w:rPr>
        <w:t>r</w:t>
      </w:r>
      <w:r w:rsidRPr="00F96844">
        <w:rPr>
          <w:sz w:val="24"/>
          <w:szCs w:val="24"/>
          <w:lang w:val="sr-Latn-ME"/>
        </w:rPr>
        <w:t xml:space="preserve">omske i </w:t>
      </w:r>
      <w:r w:rsidR="00623924">
        <w:rPr>
          <w:sz w:val="24"/>
          <w:szCs w:val="24"/>
          <w:lang w:val="sr-Latn-ME"/>
        </w:rPr>
        <w:t>e</w:t>
      </w:r>
      <w:r w:rsidRPr="00F96844">
        <w:rPr>
          <w:sz w:val="24"/>
          <w:szCs w:val="24"/>
          <w:lang w:val="sr-Latn-ME"/>
        </w:rPr>
        <w:t xml:space="preserve">gipćanske zajednice u Crnoj Gori, ovim strateškim dokumentom se, ukazuje na </w:t>
      </w:r>
      <w:r w:rsidR="00565A1E" w:rsidRPr="00F96844">
        <w:rPr>
          <w:sz w:val="24"/>
          <w:szCs w:val="24"/>
          <w:lang w:val="sr-Latn-ME"/>
        </w:rPr>
        <w:t>usklađenost sa socijalnim politikama u dijelu</w:t>
      </w:r>
    </w:p>
    <w:p w14:paraId="1803F5A8" w14:textId="77777777" w:rsidR="009E4EC0" w:rsidRPr="00F96844" w:rsidRDefault="00127BD3" w:rsidP="00780738">
      <w:pPr>
        <w:pStyle w:val="ListParagraph"/>
        <w:numPr>
          <w:ilvl w:val="0"/>
          <w:numId w:val="6"/>
        </w:numPr>
        <w:jc w:val="both"/>
        <w:rPr>
          <w:sz w:val="24"/>
          <w:szCs w:val="24"/>
          <w:lang w:val="sr-Latn-ME"/>
        </w:rPr>
      </w:pPr>
      <w:r w:rsidRPr="00F96844">
        <w:rPr>
          <w:sz w:val="24"/>
          <w:szCs w:val="24"/>
          <w:lang w:val="sr-Latn-ME"/>
        </w:rPr>
        <w:t>(Operativni cilj 1) unapređenja institucionalne i društvene borbe protiv svih oblika diskriminacije i anticiganizma s kojima se suočava romska i egipćanska zajednica</w:t>
      </w:r>
      <w:r w:rsidR="00565A1E" w:rsidRPr="00F96844">
        <w:rPr>
          <w:sz w:val="24"/>
          <w:szCs w:val="24"/>
          <w:lang w:val="sr-Latn-ME"/>
        </w:rPr>
        <w:t>.</w:t>
      </w:r>
      <w:r w:rsidRPr="00F96844">
        <w:rPr>
          <w:sz w:val="24"/>
          <w:szCs w:val="24"/>
          <w:lang w:val="sr-Latn-ME"/>
        </w:rPr>
        <w:t xml:space="preserve"> </w:t>
      </w:r>
      <w:r w:rsidR="00565A1E" w:rsidRPr="00F96844">
        <w:rPr>
          <w:sz w:val="24"/>
          <w:szCs w:val="24"/>
          <w:lang w:val="sr-Latn-ME"/>
        </w:rPr>
        <w:t>Indikator učinka: S</w:t>
      </w:r>
      <w:r w:rsidRPr="00F96844">
        <w:rPr>
          <w:sz w:val="24"/>
          <w:szCs w:val="24"/>
          <w:lang w:val="sr-Latn-ME"/>
        </w:rPr>
        <w:t>manjenje procenta pripadnika romske i egipćanske zajednice koji su se suočili</w:t>
      </w:r>
      <w:r w:rsidR="00867803">
        <w:rPr>
          <w:sz w:val="24"/>
          <w:szCs w:val="24"/>
          <w:lang w:val="sr-Latn-ME"/>
        </w:rPr>
        <w:t xml:space="preserve"> s n</w:t>
      </w:r>
      <w:r w:rsidRPr="00F96844">
        <w:rPr>
          <w:sz w:val="24"/>
          <w:szCs w:val="24"/>
          <w:lang w:val="sr-Latn-ME"/>
        </w:rPr>
        <w:t>ekim od oblika diskriminacije na 53% planiranih za 2025. godinu</w:t>
      </w:r>
      <w:r w:rsidR="001B37FF">
        <w:rPr>
          <w:sz w:val="24"/>
          <w:szCs w:val="24"/>
          <w:lang w:val="sr-Latn-ME"/>
        </w:rPr>
        <w:t>;</w:t>
      </w:r>
      <w:r w:rsidR="00142786" w:rsidRPr="00F96844">
        <w:rPr>
          <w:rStyle w:val="FootnoteReference"/>
          <w:sz w:val="24"/>
          <w:szCs w:val="24"/>
          <w:lang w:val="sr-Latn-ME"/>
        </w:rPr>
        <w:footnoteReference w:id="18"/>
      </w:r>
      <w:r w:rsidR="00E25B9C" w:rsidRPr="00F96844">
        <w:rPr>
          <w:sz w:val="24"/>
          <w:szCs w:val="24"/>
          <w:lang w:val="sr-Latn-ME"/>
        </w:rPr>
        <w:t xml:space="preserve"> </w:t>
      </w:r>
    </w:p>
    <w:p w14:paraId="6AF3EA7F" w14:textId="77777777" w:rsidR="001B37FF" w:rsidRPr="00B6364D" w:rsidRDefault="00127BD3" w:rsidP="00780738">
      <w:pPr>
        <w:pStyle w:val="ListParagraph"/>
        <w:numPr>
          <w:ilvl w:val="0"/>
          <w:numId w:val="6"/>
        </w:numPr>
        <w:jc w:val="both"/>
        <w:rPr>
          <w:sz w:val="24"/>
          <w:szCs w:val="24"/>
          <w:lang w:val="sr-Latn-ME"/>
        </w:rPr>
      </w:pPr>
      <w:r w:rsidRPr="00F96844">
        <w:rPr>
          <w:rFonts w:eastAsia="Calibri" w:cs="Arial"/>
          <w:bCs/>
          <w:sz w:val="24"/>
          <w:szCs w:val="24"/>
          <w:lang w:val="sr-Latn-ME"/>
        </w:rPr>
        <w:t>(Operativni cilj 2) smanjenja nivoa siromaštva, socijalne ekskluzije i postojećeg socio-ekonomskog jaza između romske i egipćanske populacije i većinskog stanovništva</w:t>
      </w:r>
      <w:r w:rsidR="00565A1E" w:rsidRPr="00F96844">
        <w:rPr>
          <w:rFonts w:eastAsia="Calibri" w:cs="Arial"/>
          <w:bCs/>
          <w:sz w:val="24"/>
          <w:szCs w:val="24"/>
          <w:lang w:val="sr-Latn-ME"/>
        </w:rPr>
        <w:t>.</w:t>
      </w:r>
      <w:r w:rsidRPr="00F96844">
        <w:rPr>
          <w:rFonts w:eastAsia="Calibri" w:cs="Arial"/>
          <w:bCs/>
          <w:sz w:val="24"/>
          <w:szCs w:val="24"/>
          <w:lang w:val="sr-Latn-ME"/>
        </w:rPr>
        <w:t xml:space="preserve"> </w:t>
      </w:r>
      <w:r w:rsidR="00565A1E" w:rsidRPr="00F96844">
        <w:rPr>
          <w:rFonts w:eastAsia="Calibri" w:cs="Arial"/>
          <w:bCs/>
          <w:sz w:val="24"/>
          <w:szCs w:val="24"/>
          <w:lang w:val="sr-Latn-ME"/>
        </w:rPr>
        <w:t>Indikator učinka:</w:t>
      </w:r>
      <w:r w:rsidRPr="00F96844">
        <w:rPr>
          <w:rFonts w:eastAsia="Calibri" w:cs="Arial"/>
          <w:bCs/>
          <w:sz w:val="24"/>
          <w:szCs w:val="24"/>
          <w:lang w:val="sr-Latn-ME"/>
        </w:rPr>
        <w:t xml:space="preserve"> </w:t>
      </w:r>
      <w:r w:rsidR="00565A1E" w:rsidRPr="00F96844">
        <w:rPr>
          <w:rFonts w:eastAsia="Calibri" w:cs="Arial"/>
          <w:bCs/>
          <w:sz w:val="24"/>
          <w:szCs w:val="24"/>
          <w:lang w:val="sr-Latn-ME"/>
        </w:rPr>
        <w:t>S</w:t>
      </w:r>
      <w:r w:rsidRPr="00F96844">
        <w:rPr>
          <w:rFonts w:eastAsia="Calibri" w:cs="Arial"/>
          <w:bCs/>
          <w:sz w:val="24"/>
          <w:szCs w:val="24"/>
          <w:lang w:val="sr-Latn-ME"/>
        </w:rPr>
        <w:t>manjenje materijalne deprivacije romske i egipćanske populacije</w:t>
      </w:r>
      <w:r w:rsidR="000B2A93">
        <w:rPr>
          <w:rFonts w:eastAsia="Calibri" w:cs="Arial"/>
          <w:bCs/>
          <w:sz w:val="24"/>
          <w:szCs w:val="24"/>
          <w:lang w:val="sr-Latn-ME"/>
        </w:rPr>
        <w:t>,</w:t>
      </w:r>
      <w:r w:rsidRPr="00F96844">
        <w:rPr>
          <w:rFonts w:eastAsia="Calibri" w:cs="Arial"/>
          <w:bCs/>
          <w:sz w:val="24"/>
          <w:szCs w:val="24"/>
          <w:lang w:val="sr-Latn-ME"/>
        </w:rPr>
        <w:t xml:space="preserve"> kao i razlik</w:t>
      </w:r>
      <w:r w:rsidR="001B37FF">
        <w:rPr>
          <w:rFonts w:eastAsia="Calibri" w:cs="Arial"/>
          <w:bCs/>
          <w:sz w:val="24"/>
          <w:szCs w:val="24"/>
          <w:lang w:val="sr-Latn-ME"/>
        </w:rPr>
        <w:t>e</w:t>
      </w:r>
      <w:r w:rsidRPr="00F96844">
        <w:rPr>
          <w:rFonts w:eastAsia="Calibri" w:cs="Arial"/>
          <w:bCs/>
          <w:sz w:val="24"/>
          <w:szCs w:val="24"/>
          <w:lang w:val="sr-Latn-ME"/>
        </w:rPr>
        <w:t xml:space="preserve"> u izloženosti siromaštvu u odnosu na generalnu populaciju na 85% i 47% (jaz) planiranih za 2025. godinu</w:t>
      </w:r>
      <w:r w:rsidR="001B37FF">
        <w:rPr>
          <w:rFonts w:eastAsia="Calibri" w:cs="Arial"/>
          <w:bCs/>
          <w:sz w:val="24"/>
          <w:szCs w:val="24"/>
          <w:lang w:val="sr-Latn-ME"/>
        </w:rPr>
        <w:t>;</w:t>
      </w:r>
      <w:r w:rsidR="00142786" w:rsidRPr="00F96844">
        <w:rPr>
          <w:rStyle w:val="FootnoteReference"/>
          <w:rFonts w:eastAsia="Calibri" w:cs="Arial"/>
          <w:bCs/>
          <w:sz w:val="24"/>
          <w:szCs w:val="24"/>
          <w:lang w:val="sr-Latn-ME"/>
        </w:rPr>
        <w:footnoteReference w:id="19"/>
      </w:r>
      <w:r w:rsidR="00B37C87" w:rsidRPr="00F96844">
        <w:rPr>
          <w:rFonts w:eastAsia="Calibri" w:cs="Arial"/>
          <w:bCs/>
          <w:sz w:val="24"/>
          <w:szCs w:val="24"/>
          <w:lang w:val="sr-Latn-ME"/>
        </w:rPr>
        <w:t xml:space="preserve"> </w:t>
      </w:r>
    </w:p>
    <w:p w14:paraId="2A77FA62" w14:textId="77777777" w:rsidR="001B37FF" w:rsidRPr="00B6364D" w:rsidRDefault="00127BD3" w:rsidP="00780738">
      <w:pPr>
        <w:pStyle w:val="ListParagraph"/>
        <w:numPr>
          <w:ilvl w:val="0"/>
          <w:numId w:val="6"/>
        </w:numPr>
        <w:jc w:val="both"/>
        <w:rPr>
          <w:sz w:val="24"/>
          <w:szCs w:val="24"/>
          <w:lang w:val="sr-Latn-ME"/>
        </w:rPr>
      </w:pPr>
      <w:r w:rsidRPr="00F96844">
        <w:rPr>
          <w:rFonts w:eastAsia="Calibri" w:cs="Arial"/>
          <w:bCs/>
          <w:sz w:val="24"/>
          <w:szCs w:val="24"/>
          <w:lang w:val="sr-Latn-ME"/>
        </w:rPr>
        <w:t>(Operativni cilj 9) unapređenja pravne i institucionalne zaštite Romkinja i Egipćanki od rodno zasnovanog nasilja</w:t>
      </w:r>
      <w:r w:rsidR="001B37FF">
        <w:rPr>
          <w:rFonts w:eastAsia="Calibri" w:cs="Arial"/>
          <w:bCs/>
          <w:sz w:val="24"/>
          <w:szCs w:val="24"/>
          <w:lang w:val="sr-Latn-ME"/>
        </w:rPr>
        <w:t>.</w:t>
      </w:r>
      <w:r w:rsidR="00B37C87" w:rsidRPr="00F96844">
        <w:rPr>
          <w:rFonts w:eastAsia="Calibri" w:cs="Arial"/>
          <w:bCs/>
          <w:sz w:val="24"/>
          <w:szCs w:val="24"/>
          <w:lang w:val="sr-Latn-ME"/>
        </w:rPr>
        <w:t xml:space="preserve"> </w:t>
      </w:r>
      <w:r w:rsidR="00565A1E" w:rsidRPr="00F96844">
        <w:rPr>
          <w:rFonts w:eastAsia="Calibri" w:cs="Arial"/>
          <w:bCs/>
          <w:sz w:val="24"/>
          <w:szCs w:val="24"/>
          <w:lang w:val="sr-Latn-ME"/>
        </w:rPr>
        <w:t>Indikator učinka:</w:t>
      </w:r>
      <w:r w:rsidR="00B37C87" w:rsidRPr="00F96844">
        <w:rPr>
          <w:rFonts w:eastAsia="Calibri" w:cs="Arial"/>
          <w:bCs/>
          <w:sz w:val="24"/>
          <w:szCs w:val="24"/>
          <w:lang w:val="sr-Latn-ME"/>
        </w:rPr>
        <w:t xml:space="preserve"> </w:t>
      </w:r>
      <w:r w:rsidR="00565A1E" w:rsidRPr="00F96844">
        <w:rPr>
          <w:rFonts w:eastAsia="Calibri" w:cs="Arial"/>
          <w:bCs/>
          <w:sz w:val="24"/>
          <w:szCs w:val="24"/>
          <w:lang w:val="sr-Latn-ME"/>
        </w:rPr>
        <w:t>S</w:t>
      </w:r>
      <w:r w:rsidRPr="00F96844">
        <w:rPr>
          <w:rFonts w:eastAsia="Calibri" w:cs="Arial"/>
          <w:bCs/>
          <w:sz w:val="24"/>
          <w:szCs w:val="24"/>
          <w:lang w:val="sr-Latn-ME"/>
        </w:rPr>
        <w:t>manjenje procenta odraslih u romskim i egipćan</w:t>
      </w:r>
      <w:r w:rsidR="00685D62">
        <w:rPr>
          <w:rFonts w:eastAsia="Calibri" w:cs="Arial"/>
          <w:bCs/>
          <w:sz w:val="24"/>
          <w:szCs w:val="24"/>
          <w:lang w:val="sr-Latn-ME"/>
        </w:rPr>
        <w:t>s</w:t>
      </w:r>
      <w:r w:rsidRPr="00F96844">
        <w:rPr>
          <w:rFonts w:eastAsia="Calibri" w:cs="Arial"/>
          <w:bCs/>
          <w:sz w:val="24"/>
          <w:szCs w:val="24"/>
          <w:lang w:val="sr-Latn-ME"/>
        </w:rPr>
        <w:t xml:space="preserve">kim naseljima koji opravdavaju fizičko nasilje nad suprugom na 15% za žene i 11 % za muškarce planiranih za 2025. </w:t>
      </w:r>
      <w:r w:rsidR="001B37FF">
        <w:rPr>
          <w:rFonts w:eastAsia="Calibri" w:cs="Arial"/>
          <w:bCs/>
          <w:sz w:val="24"/>
          <w:szCs w:val="24"/>
          <w:lang w:val="sr-Latn-ME"/>
        </w:rPr>
        <w:t>g</w:t>
      </w:r>
      <w:r w:rsidRPr="00F96844">
        <w:rPr>
          <w:rFonts w:eastAsia="Calibri" w:cs="Arial"/>
          <w:bCs/>
          <w:sz w:val="24"/>
          <w:szCs w:val="24"/>
          <w:lang w:val="sr-Latn-ME"/>
        </w:rPr>
        <w:t>odinu, procenat žena starosti 20</w:t>
      </w:r>
      <w:r w:rsidR="001B37FF" w:rsidRPr="001B37FF">
        <w:rPr>
          <w:rFonts w:eastAsia="Calibri" w:cs="Arial"/>
          <w:b/>
          <w:bCs/>
          <w:i/>
          <w:sz w:val="24"/>
          <w:szCs w:val="24"/>
          <w:lang w:val="sr-Latn-ME"/>
        </w:rPr>
        <w:t>‒</w:t>
      </w:r>
      <w:r w:rsidRPr="00F96844">
        <w:rPr>
          <w:rFonts w:eastAsia="Calibri" w:cs="Arial"/>
          <w:bCs/>
          <w:sz w:val="24"/>
          <w:szCs w:val="24"/>
          <w:lang w:val="sr-Latn-ME"/>
        </w:rPr>
        <w:t>24 godine koje su stupile u brak prije svoje 15 odnosno prije svoje 18 godine na 10% (prije 15. godine) i 20% (prije 18. godine) planiranih za 2025. godinu</w:t>
      </w:r>
      <w:r w:rsidR="00142786" w:rsidRPr="00F96844">
        <w:rPr>
          <w:rStyle w:val="FootnoteReference"/>
          <w:rFonts w:eastAsia="Calibri" w:cs="Arial"/>
          <w:bCs/>
          <w:sz w:val="24"/>
          <w:szCs w:val="24"/>
          <w:lang w:val="sr-Latn-ME"/>
        </w:rPr>
        <w:footnoteReference w:id="20"/>
      </w:r>
      <w:r w:rsidRPr="00F96844">
        <w:rPr>
          <w:rFonts w:eastAsia="Calibri" w:cs="Arial"/>
          <w:bCs/>
          <w:sz w:val="24"/>
          <w:szCs w:val="24"/>
          <w:lang w:val="sr-Latn-ME"/>
        </w:rPr>
        <w:t>; </w:t>
      </w:r>
    </w:p>
    <w:p w14:paraId="57CD38F9" w14:textId="77777777" w:rsidR="00127BD3" w:rsidRPr="00F96844" w:rsidRDefault="00127BD3" w:rsidP="00780738">
      <w:pPr>
        <w:pStyle w:val="ListParagraph"/>
        <w:numPr>
          <w:ilvl w:val="0"/>
          <w:numId w:val="6"/>
        </w:numPr>
        <w:jc w:val="both"/>
        <w:rPr>
          <w:sz w:val="24"/>
          <w:szCs w:val="24"/>
          <w:lang w:val="sr-Latn-ME"/>
        </w:rPr>
      </w:pPr>
      <w:r w:rsidRPr="00F96844">
        <w:rPr>
          <w:rFonts w:eastAsia="Calibri" w:cs="Arial"/>
          <w:bCs/>
          <w:sz w:val="24"/>
          <w:szCs w:val="24"/>
          <w:lang w:val="sr-Latn-ME"/>
        </w:rPr>
        <w:t>(Operativni cilj 10) potrebu za obezbjeđenjem socijalne i pravne zaštite romske i egipćanske djece od nasilja u porodici, dječjeg braka i prosjačenja</w:t>
      </w:r>
      <w:r w:rsidR="00565A1E" w:rsidRPr="00F96844">
        <w:rPr>
          <w:rFonts w:eastAsia="Calibri" w:cs="Arial"/>
          <w:bCs/>
          <w:sz w:val="24"/>
          <w:szCs w:val="24"/>
          <w:lang w:val="sr-Latn-ME"/>
        </w:rPr>
        <w:t>.</w:t>
      </w:r>
      <w:r w:rsidR="00B37C87" w:rsidRPr="00F96844">
        <w:rPr>
          <w:rFonts w:eastAsia="Calibri" w:cs="Arial"/>
          <w:bCs/>
          <w:sz w:val="24"/>
          <w:szCs w:val="24"/>
          <w:lang w:val="sr-Latn-ME"/>
        </w:rPr>
        <w:t xml:space="preserve"> </w:t>
      </w:r>
      <w:r w:rsidR="00565A1E" w:rsidRPr="00F96844">
        <w:rPr>
          <w:rFonts w:eastAsia="Calibri" w:cs="Arial"/>
          <w:bCs/>
          <w:sz w:val="24"/>
          <w:szCs w:val="24"/>
          <w:lang w:val="sr-Latn-ME"/>
        </w:rPr>
        <w:t>Indikator učinka:</w:t>
      </w:r>
      <w:r w:rsidRPr="00F96844">
        <w:rPr>
          <w:rFonts w:eastAsia="Calibri" w:cs="Arial"/>
          <w:bCs/>
          <w:sz w:val="24"/>
          <w:szCs w:val="24"/>
          <w:lang w:val="sr-Latn-ME"/>
        </w:rPr>
        <w:t xml:space="preserve"> </w:t>
      </w:r>
      <w:r w:rsidR="00565A1E" w:rsidRPr="00F96844">
        <w:rPr>
          <w:rFonts w:eastAsia="Calibri" w:cs="Arial"/>
          <w:bCs/>
          <w:sz w:val="24"/>
          <w:szCs w:val="24"/>
          <w:lang w:val="sr-Latn-ME"/>
        </w:rPr>
        <w:t>U</w:t>
      </w:r>
      <w:r w:rsidRPr="00F96844">
        <w:rPr>
          <w:rFonts w:eastAsia="Calibri" w:cs="Arial"/>
          <w:bCs/>
          <w:sz w:val="24"/>
          <w:szCs w:val="24"/>
          <w:lang w:val="sr-Latn-ME"/>
        </w:rPr>
        <w:t xml:space="preserve">spostavljanje specijalizovanih servisa za djecu žrtve dječjeg </w:t>
      </w:r>
      <w:r w:rsidRPr="00F96844">
        <w:rPr>
          <w:rFonts w:eastAsia="Calibri" w:cs="Arial"/>
          <w:bCs/>
          <w:sz w:val="24"/>
          <w:szCs w:val="24"/>
          <w:lang w:val="sr-Latn-ME"/>
        </w:rPr>
        <w:lastRenderedPageBreak/>
        <w:t>nedozvoljenog i ugovorenog braka i djecu koja žive i/ili rade na ulici ili su u riziku da to postanu – 3 svratišta planiran</w:t>
      </w:r>
      <w:r w:rsidR="001B37FF">
        <w:rPr>
          <w:rFonts w:eastAsia="Calibri" w:cs="Arial"/>
          <w:bCs/>
          <w:sz w:val="24"/>
          <w:szCs w:val="24"/>
          <w:lang w:val="sr-Latn-ME"/>
        </w:rPr>
        <w:t>a</w:t>
      </w:r>
      <w:r w:rsidRPr="00F96844">
        <w:rPr>
          <w:rFonts w:eastAsia="Calibri" w:cs="Arial"/>
          <w:bCs/>
          <w:sz w:val="24"/>
          <w:szCs w:val="24"/>
          <w:lang w:val="sr-Latn-ME"/>
        </w:rPr>
        <w:t xml:space="preserve"> za 2025. godinu</w:t>
      </w:r>
      <w:r w:rsidR="0083127B" w:rsidRPr="00F96844">
        <w:rPr>
          <w:rStyle w:val="FootnoteReference"/>
          <w:rFonts w:eastAsia="Calibri" w:cs="Arial"/>
          <w:bCs/>
          <w:sz w:val="24"/>
          <w:szCs w:val="24"/>
          <w:lang w:val="sr-Latn-ME"/>
        </w:rPr>
        <w:footnoteReference w:id="21"/>
      </w:r>
      <w:r w:rsidRPr="00F96844">
        <w:rPr>
          <w:rFonts w:eastAsia="Calibri" w:cs="Arial"/>
          <w:bCs/>
          <w:sz w:val="24"/>
          <w:szCs w:val="24"/>
          <w:lang w:val="sr-Latn-ME"/>
        </w:rPr>
        <w:t>.</w:t>
      </w:r>
    </w:p>
    <w:p w14:paraId="770F8B36" w14:textId="77777777" w:rsidR="00CE3581" w:rsidRPr="00F96844" w:rsidRDefault="00CE3581" w:rsidP="00780738">
      <w:pPr>
        <w:jc w:val="both"/>
        <w:rPr>
          <w:sz w:val="24"/>
          <w:szCs w:val="24"/>
          <w:highlight w:val="green"/>
          <w:lang w:val="sr-Latn-ME"/>
        </w:rPr>
      </w:pPr>
    </w:p>
    <w:p w14:paraId="2A5C7FE5" w14:textId="77777777" w:rsidR="00D614D1" w:rsidRPr="00F96844" w:rsidRDefault="00D614D1" w:rsidP="00780738">
      <w:pPr>
        <w:rPr>
          <w:b/>
          <w:i/>
          <w:sz w:val="24"/>
          <w:szCs w:val="24"/>
          <w:lang w:val="sr-Latn-ME"/>
        </w:rPr>
      </w:pPr>
      <w:r w:rsidRPr="00F96844">
        <w:rPr>
          <w:b/>
          <w:i/>
          <w:sz w:val="24"/>
          <w:szCs w:val="24"/>
          <w:lang w:val="sr-Latn-ME"/>
        </w:rPr>
        <w:t>Nacionalna</w:t>
      </w:r>
      <w:r w:rsidRPr="00F96844">
        <w:rPr>
          <w:b/>
          <w:i/>
          <w:spacing w:val="-6"/>
          <w:sz w:val="24"/>
          <w:szCs w:val="24"/>
          <w:lang w:val="sr-Latn-ME"/>
        </w:rPr>
        <w:t xml:space="preserve"> </w:t>
      </w:r>
      <w:r w:rsidRPr="00F96844">
        <w:rPr>
          <w:b/>
          <w:i/>
          <w:sz w:val="24"/>
          <w:szCs w:val="24"/>
          <w:lang w:val="sr-Latn-ME"/>
        </w:rPr>
        <w:t>strategija</w:t>
      </w:r>
      <w:r w:rsidRPr="00F96844">
        <w:rPr>
          <w:b/>
          <w:i/>
          <w:spacing w:val="-6"/>
          <w:sz w:val="24"/>
          <w:szCs w:val="24"/>
          <w:lang w:val="sr-Latn-ME"/>
        </w:rPr>
        <w:t xml:space="preserve"> </w:t>
      </w:r>
      <w:r w:rsidRPr="00F96844">
        <w:rPr>
          <w:b/>
          <w:i/>
          <w:sz w:val="24"/>
          <w:szCs w:val="24"/>
          <w:lang w:val="sr-Latn-ME"/>
        </w:rPr>
        <w:t>rodne</w:t>
      </w:r>
      <w:r w:rsidRPr="00F96844">
        <w:rPr>
          <w:b/>
          <w:i/>
          <w:spacing w:val="-5"/>
          <w:sz w:val="24"/>
          <w:szCs w:val="24"/>
          <w:lang w:val="sr-Latn-ME"/>
        </w:rPr>
        <w:t xml:space="preserve"> </w:t>
      </w:r>
      <w:r w:rsidRPr="00F96844">
        <w:rPr>
          <w:b/>
          <w:i/>
          <w:sz w:val="24"/>
          <w:szCs w:val="24"/>
          <w:lang w:val="sr-Latn-ME"/>
        </w:rPr>
        <w:t>ravnopravnosti</w:t>
      </w:r>
      <w:r w:rsidRPr="00F96844">
        <w:rPr>
          <w:b/>
          <w:i/>
          <w:spacing w:val="-5"/>
          <w:sz w:val="24"/>
          <w:szCs w:val="24"/>
          <w:lang w:val="sr-Latn-ME"/>
        </w:rPr>
        <w:t xml:space="preserve"> </w:t>
      </w:r>
      <w:r w:rsidRPr="00F96844">
        <w:rPr>
          <w:b/>
          <w:i/>
          <w:sz w:val="24"/>
          <w:szCs w:val="24"/>
          <w:lang w:val="sr-Latn-ME"/>
        </w:rPr>
        <w:t>2021–2025</w:t>
      </w:r>
      <w:r w:rsidR="00FD5566" w:rsidRPr="00F96844">
        <w:rPr>
          <w:b/>
          <w:i/>
          <w:sz w:val="24"/>
          <w:szCs w:val="24"/>
          <w:lang w:val="sr-Latn-ME"/>
        </w:rPr>
        <w:t>.</w:t>
      </w:r>
    </w:p>
    <w:p w14:paraId="39A32F9C" w14:textId="77777777" w:rsidR="00A64A0A" w:rsidRPr="00F96844" w:rsidRDefault="00A64A0A" w:rsidP="00780738">
      <w:pPr>
        <w:rPr>
          <w:sz w:val="24"/>
          <w:szCs w:val="24"/>
          <w:lang w:val="sr-Latn-ME"/>
        </w:rPr>
      </w:pPr>
    </w:p>
    <w:p w14:paraId="44664F16" w14:textId="0DD82467" w:rsidR="006619C4" w:rsidRPr="00F96844" w:rsidRDefault="00A30CD4" w:rsidP="00780738">
      <w:pPr>
        <w:jc w:val="both"/>
        <w:rPr>
          <w:rFonts w:cs="Arial"/>
          <w:sz w:val="24"/>
          <w:szCs w:val="24"/>
          <w:lang w:val="sr-Latn-ME"/>
        </w:rPr>
      </w:pPr>
      <w:r w:rsidRPr="00F96844">
        <w:rPr>
          <w:rFonts w:cs="Arial"/>
          <w:sz w:val="24"/>
          <w:szCs w:val="24"/>
          <w:lang w:val="sr-Latn-ME"/>
        </w:rPr>
        <w:t>Nacionalna strategija rodne ravnopravnosti 2021</w:t>
      </w:r>
      <w:r w:rsidR="00627D91" w:rsidRPr="00627D91">
        <w:rPr>
          <w:rFonts w:cs="Arial"/>
          <w:b/>
          <w:i/>
          <w:sz w:val="24"/>
          <w:szCs w:val="24"/>
          <w:lang w:val="sr-Latn-ME"/>
        </w:rPr>
        <w:t>‒</w:t>
      </w:r>
      <w:r w:rsidRPr="00F96844">
        <w:rPr>
          <w:rFonts w:cs="Arial"/>
          <w:sz w:val="24"/>
          <w:szCs w:val="24"/>
          <w:lang w:val="sr-Latn-ME"/>
        </w:rPr>
        <w:t>2025</w:t>
      </w:r>
      <w:r w:rsidR="00331C1F">
        <w:rPr>
          <w:rFonts w:cs="Arial"/>
          <w:sz w:val="24"/>
          <w:szCs w:val="24"/>
          <w:lang w:val="sr-Latn-ME"/>
        </w:rPr>
        <w:t>.</w:t>
      </w:r>
      <w:r w:rsidRPr="00F96844">
        <w:rPr>
          <w:rFonts w:cs="Arial"/>
          <w:sz w:val="24"/>
          <w:szCs w:val="24"/>
          <w:lang w:val="sr-Latn-ME"/>
        </w:rPr>
        <w:t xml:space="preserve"> je četvrti po redu strateški dokument kojim se namjerava uspostaviti bolji okvir za postizanje rodne ravnopravnosti u Crnoj Gori. Kao centralni problem u ovoj oblasti prepoznat je nizak nivo rodne ravnopravnosti u Crnoj Gori, pa je u skladu s tim, definisan i glavni strateški cilj </w:t>
      </w:r>
      <w:r w:rsidR="00627D91" w:rsidRPr="00627D91">
        <w:rPr>
          <w:rFonts w:cs="Arial"/>
          <w:b/>
          <w:i/>
          <w:sz w:val="24"/>
          <w:szCs w:val="24"/>
          <w:lang w:val="sr-Latn-ME"/>
        </w:rPr>
        <w:t>‒</w:t>
      </w:r>
      <w:r w:rsidRPr="00F96844">
        <w:rPr>
          <w:rFonts w:cs="Arial"/>
          <w:sz w:val="24"/>
          <w:szCs w:val="24"/>
          <w:lang w:val="sr-Latn-ME"/>
        </w:rPr>
        <w:t xml:space="preserve"> podići nivo rodne ravnopravnosti u Crnoj Gori do 2025. godine</w:t>
      </w:r>
      <w:r w:rsidR="0083127B" w:rsidRPr="00F96844">
        <w:rPr>
          <w:rStyle w:val="FootnoteReference"/>
          <w:rFonts w:cs="Arial"/>
          <w:sz w:val="24"/>
          <w:szCs w:val="24"/>
          <w:lang w:val="sr-Latn-ME"/>
        </w:rPr>
        <w:footnoteReference w:id="22"/>
      </w:r>
      <w:r w:rsidRPr="00F96844">
        <w:rPr>
          <w:rFonts w:cs="Arial"/>
          <w:sz w:val="24"/>
          <w:szCs w:val="24"/>
          <w:lang w:val="sr-Latn-ME"/>
        </w:rPr>
        <w:t xml:space="preserve">. Postoji nekoliko operativnih ciljeva u akcionom planu za ovu strategiju, a za koje je nosilac aktivnosti </w:t>
      </w:r>
      <w:r w:rsidRPr="005B7D8D">
        <w:rPr>
          <w:rFonts w:cs="Arial"/>
          <w:sz w:val="24"/>
          <w:szCs w:val="24"/>
          <w:lang w:val="sr-Latn-ME"/>
        </w:rPr>
        <w:t xml:space="preserve">Ministarstvo </w:t>
      </w:r>
      <w:r w:rsidR="00422BC1" w:rsidRPr="005B7D8D">
        <w:rPr>
          <w:rFonts w:cs="Arial"/>
          <w:sz w:val="24"/>
          <w:szCs w:val="24"/>
          <w:lang w:val="sr-Latn-ME"/>
        </w:rPr>
        <w:t>socijalnog staranja, brig</w:t>
      </w:r>
      <w:r w:rsidR="005B7D8D" w:rsidRPr="005B7D8D">
        <w:rPr>
          <w:rFonts w:cs="Arial"/>
          <w:sz w:val="24"/>
          <w:szCs w:val="24"/>
          <w:lang w:val="sr-Latn-ME"/>
        </w:rPr>
        <w:t>e</w:t>
      </w:r>
      <w:r w:rsidR="00422BC1" w:rsidRPr="005B7D8D">
        <w:rPr>
          <w:rFonts w:cs="Arial"/>
          <w:sz w:val="24"/>
          <w:szCs w:val="24"/>
          <w:lang w:val="sr-Latn-ME"/>
        </w:rPr>
        <w:t xml:space="preserve"> o porodici i demografij</w:t>
      </w:r>
      <w:r w:rsidR="005B7D8D" w:rsidRPr="005B7D8D">
        <w:rPr>
          <w:rFonts w:cs="Arial"/>
          <w:sz w:val="24"/>
          <w:szCs w:val="24"/>
          <w:lang w:val="sr-Latn-ME"/>
        </w:rPr>
        <w:t>e</w:t>
      </w:r>
      <w:r w:rsidRPr="00F96844">
        <w:rPr>
          <w:rFonts w:cs="Arial"/>
          <w:sz w:val="24"/>
          <w:szCs w:val="24"/>
          <w:lang w:val="sr-Latn-ME"/>
        </w:rPr>
        <w:t>.</w:t>
      </w:r>
      <w:r w:rsidR="005B7D8D">
        <w:rPr>
          <w:rFonts w:cs="Arial"/>
          <w:sz w:val="24"/>
          <w:szCs w:val="24"/>
          <w:lang w:val="sr-Latn-ME"/>
        </w:rPr>
        <w:t xml:space="preserve"> </w:t>
      </w:r>
      <w:r w:rsidRPr="00F96844">
        <w:rPr>
          <w:rFonts w:cs="Arial"/>
          <w:sz w:val="24"/>
          <w:szCs w:val="24"/>
          <w:lang w:val="sr-Latn-ME"/>
        </w:rPr>
        <w:t xml:space="preserve">One su prikazane kroz Standardizovanje procedura za orodnjavanje javnih politika. Operativni ciljevi u kojima je </w:t>
      </w:r>
      <w:r w:rsidRPr="005B7D8D">
        <w:rPr>
          <w:rFonts w:cs="Arial"/>
          <w:sz w:val="24"/>
          <w:szCs w:val="24"/>
          <w:lang w:val="sr-Latn-ME"/>
        </w:rPr>
        <w:t xml:space="preserve">Ministarstvo </w:t>
      </w:r>
      <w:r w:rsidR="00422BC1" w:rsidRPr="005B7D8D">
        <w:rPr>
          <w:rFonts w:cs="Arial"/>
          <w:sz w:val="24"/>
          <w:szCs w:val="24"/>
          <w:lang w:val="sr-Latn-ME"/>
        </w:rPr>
        <w:t>socijalnog staranja, brig</w:t>
      </w:r>
      <w:r w:rsidR="005B7D8D" w:rsidRPr="005B7D8D">
        <w:rPr>
          <w:rFonts w:cs="Arial"/>
          <w:sz w:val="24"/>
          <w:szCs w:val="24"/>
          <w:lang w:val="sr-Latn-ME"/>
        </w:rPr>
        <w:t>e</w:t>
      </w:r>
      <w:r w:rsidR="00422BC1" w:rsidRPr="005B7D8D">
        <w:rPr>
          <w:rFonts w:cs="Arial"/>
          <w:sz w:val="24"/>
          <w:szCs w:val="24"/>
          <w:lang w:val="sr-Latn-ME"/>
        </w:rPr>
        <w:t xml:space="preserve"> o porodici i demografij</w:t>
      </w:r>
      <w:r w:rsidR="005B7D8D" w:rsidRPr="005B7D8D">
        <w:rPr>
          <w:rFonts w:cs="Arial"/>
          <w:sz w:val="24"/>
          <w:szCs w:val="24"/>
          <w:lang w:val="sr-Latn-ME"/>
        </w:rPr>
        <w:t>e</w:t>
      </w:r>
      <w:r w:rsidR="00422BC1" w:rsidRPr="005B7D8D">
        <w:rPr>
          <w:rFonts w:cs="Arial"/>
          <w:sz w:val="24"/>
          <w:szCs w:val="24"/>
          <w:lang w:val="sr-Latn-ME"/>
        </w:rPr>
        <w:t xml:space="preserve"> </w:t>
      </w:r>
      <w:r w:rsidRPr="005B7D8D">
        <w:rPr>
          <w:rFonts w:cs="Arial"/>
          <w:sz w:val="24"/>
          <w:szCs w:val="24"/>
          <w:lang w:val="sr-Latn-ME"/>
        </w:rPr>
        <w:t>jedan od nosilaca aktivosti su: OC1: Unaprijediti primjenu postojećeg normativnog okvira na sprovođenju politike rodne ravnopravnosti i zaštitu od diskriminacije po osnovu pola i rod</w:t>
      </w:r>
      <w:r w:rsidR="00627D91" w:rsidRPr="005B7D8D">
        <w:rPr>
          <w:rFonts w:cs="Arial"/>
          <w:sz w:val="24"/>
          <w:szCs w:val="24"/>
          <w:lang w:val="sr-Latn-ME"/>
        </w:rPr>
        <w:t>a</w:t>
      </w:r>
      <w:r w:rsidR="0083127B" w:rsidRPr="005B7D8D">
        <w:rPr>
          <w:rStyle w:val="FootnoteReference"/>
          <w:rFonts w:cs="Arial"/>
          <w:sz w:val="24"/>
          <w:szCs w:val="24"/>
          <w:lang w:val="sr-Latn-ME"/>
        </w:rPr>
        <w:footnoteReference w:id="23"/>
      </w:r>
      <w:r w:rsidRPr="005B7D8D">
        <w:rPr>
          <w:rFonts w:cs="Arial"/>
          <w:sz w:val="24"/>
          <w:szCs w:val="24"/>
          <w:lang w:val="sr-Latn-ME"/>
        </w:rPr>
        <w:t xml:space="preserve"> i OC3: Povećati nivo učešća žena i osoba drugačijih polnih i rodnih identiteta u oblastima koje omogućavaju pristup resursima i dobrobiti</w:t>
      </w:r>
      <w:r w:rsidRPr="00F96844">
        <w:rPr>
          <w:rFonts w:cs="Arial"/>
          <w:sz w:val="24"/>
          <w:szCs w:val="24"/>
          <w:lang w:val="sr-Latn-ME"/>
        </w:rPr>
        <w:t xml:space="preserve"> od korišćenja resursa</w:t>
      </w:r>
      <w:r w:rsidR="00627D91">
        <w:rPr>
          <w:rFonts w:cs="Arial"/>
          <w:sz w:val="24"/>
          <w:szCs w:val="24"/>
          <w:lang w:val="sr-Latn-ME"/>
        </w:rPr>
        <w:t>.</w:t>
      </w:r>
      <w:r w:rsidR="0083127B" w:rsidRPr="00F96844">
        <w:rPr>
          <w:rStyle w:val="FootnoteReference"/>
          <w:rFonts w:cs="Arial"/>
          <w:sz w:val="24"/>
          <w:szCs w:val="24"/>
          <w:lang w:val="sr-Latn-ME"/>
        </w:rPr>
        <w:footnoteReference w:id="24"/>
      </w:r>
      <w:r w:rsidRPr="00F96844">
        <w:rPr>
          <w:rFonts w:cs="Arial"/>
          <w:sz w:val="24"/>
          <w:szCs w:val="24"/>
          <w:lang w:val="sr-Latn-ME"/>
        </w:rPr>
        <w:t xml:space="preserve"> Indikator za prvi cilj je procenat sektorskih javnih politika u kojima je sprovedeno orodnjavanje. Planirani učinak za 2025. godinu je uvećanje od 10% u odnosu na početni procenat iz 2021. godine</w:t>
      </w:r>
      <w:r w:rsidR="0083127B" w:rsidRPr="00F96844">
        <w:rPr>
          <w:rStyle w:val="FootnoteReference"/>
          <w:rFonts w:cs="Arial"/>
          <w:sz w:val="24"/>
          <w:szCs w:val="24"/>
          <w:lang w:val="sr-Latn-ME"/>
        </w:rPr>
        <w:footnoteReference w:id="25"/>
      </w:r>
      <w:r w:rsidRPr="00F96844">
        <w:rPr>
          <w:rFonts w:cs="Arial"/>
          <w:sz w:val="24"/>
          <w:szCs w:val="24"/>
          <w:lang w:val="sr-Latn-ME"/>
        </w:rPr>
        <w:t xml:space="preserve">. Indikator za treći operativni cilj je vrijednost Indeksa rodne ravnopravnosti u domenu </w:t>
      </w:r>
      <w:r w:rsidRPr="00F96844">
        <w:rPr>
          <w:rFonts w:cs="Arial"/>
          <w:i/>
          <w:sz w:val="24"/>
          <w:szCs w:val="24"/>
          <w:lang w:val="sr-Latn-ME"/>
        </w:rPr>
        <w:t xml:space="preserve">Novac. </w:t>
      </w:r>
      <w:r w:rsidRPr="00F96844">
        <w:rPr>
          <w:rFonts w:cs="Arial"/>
          <w:sz w:val="24"/>
          <w:szCs w:val="24"/>
          <w:lang w:val="sr-Latn-ME"/>
        </w:rPr>
        <w:t>Planirano je da vrijednost Indeksa rodne ravnopravnosti u 2025. godini bude 62, što predstavlja uvećanje Indeksa u odnosu na početnu vrijednost iz 2021. godine,</w:t>
      </w:r>
      <w:r w:rsidR="00E25B9C" w:rsidRPr="00F96844">
        <w:rPr>
          <w:rFonts w:cs="Arial"/>
          <w:sz w:val="24"/>
          <w:szCs w:val="24"/>
          <w:lang w:val="sr-Latn-ME"/>
        </w:rPr>
        <w:t xml:space="preserve"> </w:t>
      </w:r>
      <w:r w:rsidRPr="00F96844">
        <w:rPr>
          <w:rFonts w:cs="Arial"/>
          <w:sz w:val="24"/>
          <w:szCs w:val="24"/>
          <w:lang w:val="sr-Latn-ME"/>
        </w:rPr>
        <w:t>kada je iznosio 59,7</w:t>
      </w:r>
      <w:r w:rsidR="00627D91">
        <w:rPr>
          <w:rFonts w:cs="Arial"/>
          <w:sz w:val="24"/>
          <w:szCs w:val="24"/>
          <w:lang w:val="sr-Latn-ME"/>
        </w:rPr>
        <w:t>.</w:t>
      </w:r>
      <w:r w:rsidR="0083127B" w:rsidRPr="00F96844">
        <w:rPr>
          <w:rStyle w:val="FootnoteReference"/>
          <w:rFonts w:cs="Arial"/>
          <w:sz w:val="24"/>
          <w:szCs w:val="24"/>
          <w:lang w:val="sr-Latn-ME"/>
        </w:rPr>
        <w:footnoteReference w:id="26"/>
      </w:r>
    </w:p>
    <w:p w14:paraId="23F4C98C" w14:textId="77777777" w:rsidR="00971856" w:rsidRPr="00F96844" w:rsidRDefault="00971856" w:rsidP="00780738">
      <w:pPr>
        <w:rPr>
          <w:sz w:val="24"/>
          <w:szCs w:val="24"/>
          <w:lang w:val="sr-Latn-ME"/>
        </w:rPr>
      </w:pPr>
    </w:p>
    <w:p w14:paraId="00E4CF70" w14:textId="77777777" w:rsidR="00D614D1" w:rsidRPr="00F96844" w:rsidRDefault="00D614D1" w:rsidP="00780738">
      <w:pPr>
        <w:jc w:val="both"/>
        <w:rPr>
          <w:rFonts w:cs="Arial"/>
          <w:b/>
          <w:i/>
          <w:sz w:val="24"/>
          <w:szCs w:val="24"/>
          <w:lang w:val="sr-Latn-ME"/>
        </w:rPr>
      </w:pPr>
      <w:r w:rsidRPr="00F96844">
        <w:rPr>
          <w:rFonts w:cs="Arial"/>
          <w:b/>
          <w:i/>
          <w:sz w:val="24"/>
          <w:szCs w:val="24"/>
          <w:lang w:val="sr-Latn-ME"/>
        </w:rPr>
        <w:t>Usklađenost</w:t>
      </w:r>
      <w:r w:rsidR="004C5D23">
        <w:rPr>
          <w:rFonts w:cs="Arial"/>
          <w:b/>
          <w:i/>
          <w:sz w:val="24"/>
          <w:szCs w:val="24"/>
          <w:lang w:val="sr-Latn-ME"/>
        </w:rPr>
        <w:t xml:space="preserve"> s o</w:t>
      </w:r>
      <w:r w:rsidR="00381A1C" w:rsidRPr="00F96844">
        <w:rPr>
          <w:rFonts w:cs="Arial"/>
          <w:b/>
          <w:i/>
          <w:sz w:val="24"/>
          <w:szCs w:val="24"/>
          <w:lang w:val="sr-Latn-ME"/>
        </w:rPr>
        <w:t>bavezama iz procesa pregovora s Evropskom unijom (EU)</w:t>
      </w:r>
    </w:p>
    <w:p w14:paraId="64F6AB6A" w14:textId="77777777" w:rsidR="00A64A0A" w:rsidRPr="00F96844" w:rsidRDefault="00A64A0A" w:rsidP="00780738">
      <w:pPr>
        <w:jc w:val="both"/>
        <w:rPr>
          <w:rFonts w:cs="Arial"/>
          <w:b/>
          <w:i/>
          <w:sz w:val="24"/>
          <w:szCs w:val="24"/>
          <w:lang w:val="sr-Latn-ME"/>
        </w:rPr>
      </w:pPr>
    </w:p>
    <w:p w14:paraId="661AF665" w14:textId="08D54AF4" w:rsidR="00D614D1" w:rsidRPr="00F96844" w:rsidRDefault="00CA10E8" w:rsidP="00780738">
      <w:pPr>
        <w:jc w:val="both"/>
        <w:rPr>
          <w:rFonts w:cs="Arial"/>
          <w:sz w:val="24"/>
          <w:szCs w:val="24"/>
          <w:lang w:val="sr-Latn-ME"/>
        </w:rPr>
      </w:pPr>
      <w:r w:rsidRPr="00CA10E8">
        <w:rPr>
          <w:rFonts w:cs="Arial"/>
          <w:sz w:val="24"/>
          <w:szCs w:val="24"/>
          <w:lang w:val="sr-Latn-ME"/>
        </w:rPr>
        <w:t>Pristupni pregovori s Crnom Gorom otvoreni su u junu 2012. godine. Do sada su otvorena 33 poglavlja, od kojih su tri privremeno zatvorena. Crna Gora je predvodnica u regionu u procesu evropskih integracija. Ministarstvo socijalnog staranja, brige o porodici i demografije</w:t>
      </w:r>
      <w:r w:rsidR="00736811">
        <w:rPr>
          <w:rFonts w:cs="Arial"/>
          <w:sz w:val="24"/>
          <w:szCs w:val="24"/>
          <w:lang w:val="sr-Latn-ME"/>
        </w:rPr>
        <w:t xml:space="preserve"> </w:t>
      </w:r>
      <w:r w:rsidRPr="00CA10E8">
        <w:rPr>
          <w:rFonts w:cs="Arial"/>
          <w:sz w:val="24"/>
          <w:szCs w:val="24"/>
          <w:lang w:val="sr-Latn-ME"/>
        </w:rPr>
        <w:t>Crne Gore je nadležno za pregovaračko poglavlje 19 – Socijalna politika i zapošljavanjei intenzivno radi na ispunjavanju završnih mjerila za zatvaranje ovog poglavlja. Pravna tekovina Evropske unije u oblasti socijalne politike i zapošljavanja tiče se područja radnog prava, zdravlja i sigurnosti na radu, ravnopravnosti muškaraca i žena u zapošljavanju i socijalnoj sigurnosti, socijalnog dijaloga, kao i u pogledu zabrane diskriminacije po osnovu rasne i etničke pripadnosti, religije i vjere, invaliditeta, starosne dobi i seksualne orijentacije.</w:t>
      </w:r>
      <w:r>
        <w:rPr>
          <w:rFonts w:cs="Arial"/>
          <w:sz w:val="24"/>
          <w:szCs w:val="24"/>
          <w:lang w:val="sr-Latn-ME"/>
        </w:rPr>
        <w:t xml:space="preserve"> </w:t>
      </w:r>
      <w:r w:rsidR="00D614D1" w:rsidRPr="00F96844">
        <w:rPr>
          <w:rFonts w:cs="Arial"/>
          <w:sz w:val="24"/>
          <w:szCs w:val="24"/>
          <w:lang w:val="sr-Latn-ME"/>
        </w:rPr>
        <w:t xml:space="preserve">Podoblasti u okviru poglavlja 19 su: 1) Radno pravo, 2) Zaštita i zdravlje na radu, 3) Socijalni dijalog, 4) Politika zapošljavanja, 5) Evropski socijalni fond, 6) Socijalna inkluzija i zaštita, 7) Deinstitucionalizacija, 8) Zabrana diskriminacije u zapošljavanju i socijalnoj politici i 9) Ravnopravnost između žena i </w:t>
      </w:r>
      <w:r w:rsidR="00D614D1" w:rsidRPr="00F96844">
        <w:rPr>
          <w:rFonts w:cs="Arial"/>
          <w:sz w:val="24"/>
          <w:szCs w:val="24"/>
          <w:lang w:val="sr-Latn-ME"/>
        </w:rPr>
        <w:lastRenderedPageBreak/>
        <w:t>muškaraca u zapošljavanju i socijalnoj politici.</w:t>
      </w:r>
      <w:r w:rsidR="00C25715">
        <w:rPr>
          <w:rFonts w:cs="Arial"/>
          <w:sz w:val="24"/>
          <w:szCs w:val="24"/>
          <w:lang w:val="sr-Latn-ME"/>
        </w:rPr>
        <w:t xml:space="preserve"> </w:t>
      </w:r>
      <w:r w:rsidR="00D614D1" w:rsidRPr="00F96844">
        <w:rPr>
          <w:rFonts w:cs="Arial"/>
          <w:sz w:val="24"/>
          <w:szCs w:val="24"/>
          <w:lang w:val="sr-Latn-ME"/>
        </w:rPr>
        <w:t xml:space="preserve">Poglavlje 19 </w:t>
      </w:r>
      <w:r w:rsidR="00C25715" w:rsidRPr="00C25715">
        <w:rPr>
          <w:rFonts w:cs="Arial"/>
          <w:b/>
          <w:i/>
          <w:sz w:val="24"/>
          <w:szCs w:val="24"/>
          <w:lang w:val="sr-Latn-ME"/>
        </w:rPr>
        <w:t>‒</w:t>
      </w:r>
      <w:r w:rsidR="00D614D1" w:rsidRPr="00F96844">
        <w:rPr>
          <w:rFonts w:cs="Arial"/>
          <w:sz w:val="24"/>
          <w:szCs w:val="24"/>
          <w:lang w:val="sr-Latn-ME"/>
        </w:rPr>
        <w:t xml:space="preserve"> Socijalna politika i zapošljavanje je otvoreno </w:t>
      </w:r>
      <w:r w:rsidR="00D614D1" w:rsidRPr="00F96844">
        <w:rPr>
          <w:rFonts w:cs="Arial"/>
          <w:bCs/>
          <w:sz w:val="24"/>
          <w:szCs w:val="24"/>
          <w:lang w:val="sr-Latn-ME"/>
        </w:rPr>
        <w:t>13. decembra 2016.</w:t>
      </w:r>
      <w:r w:rsidR="00D614D1" w:rsidRPr="00F96844">
        <w:rPr>
          <w:rFonts w:cs="Arial"/>
          <w:sz w:val="24"/>
          <w:szCs w:val="24"/>
          <w:lang w:val="sr-Latn-ME"/>
        </w:rPr>
        <w:t> godine na Međuvladinoj konferenciji u Briselu</w:t>
      </w:r>
      <w:r w:rsidR="00C25715">
        <w:rPr>
          <w:rFonts w:cs="Arial"/>
          <w:sz w:val="24"/>
          <w:szCs w:val="24"/>
          <w:lang w:val="sr-Latn-ME"/>
        </w:rPr>
        <w:t>.</w:t>
      </w:r>
      <w:r w:rsidR="0083127B" w:rsidRPr="00F96844">
        <w:rPr>
          <w:rStyle w:val="FootnoteReference"/>
          <w:rFonts w:cs="Arial"/>
          <w:sz w:val="24"/>
          <w:szCs w:val="24"/>
          <w:lang w:val="sr-Latn-ME"/>
        </w:rPr>
        <w:footnoteReference w:id="27"/>
      </w:r>
      <w:r w:rsidR="00D614D1" w:rsidRPr="00F96844">
        <w:rPr>
          <w:rFonts w:cs="Arial"/>
          <w:sz w:val="24"/>
          <w:szCs w:val="24"/>
          <w:lang w:val="sr-Latn-ME"/>
        </w:rPr>
        <w:t xml:space="preserve"> </w:t>
      </w:r>
    </w:p>
    <w:p w14:paraId="336B73C8" w14:textId="77777777" w:rsidR="00FD5566" w:rsidRPr="00F96844" w:rsidRDefault="00FD5566" w:rsidP="00780738">
      <w:pPr>
        <w:jc w:val="both"/>
        <w:rPr>
          <w:rFonts w:eastAsia="Times New Roman" w:cs="Arial"/>
          <w:sz w:val="24"/>
          <w:szCs w:val="24"/>
          <w:lang w:val="sr-Latn-ME"/>
        </w:rPr>
      </w:pPr>
    </w:p>
    <w:p w14:paraId="3C45997F" w14:textId="4D74ECCD" w:rsidR="00D614D1" w:rsidRPr="00F96844" w:rsidRDefault="00D614D1" w:rsidP="00780738">
      <w:pPr>
        <w:jc w:val="both"/>
        <w:rPr>
          <w:rFonts w:eastAsia="Times New Roman" w:cs="Arial"/>
          <w:sz w:val="24"/>
          <w:szCs w:val="24"/>
          <w:lang w:val="sr-Latn-ME"/>
        </w:rPr>
      </w:pPr>
      <w:r w:rsidRPr="00F96844">
        <w:rPr>
          <w:rFonts w:eastAsia="Times New Roman" w:cs="Arial"/>
          <w:sz w:val="24"/>
          <w:szCs w:val="24"/>
          <w:lang w:val="sr-Latn-ME"/>
        </w:rPr>
        <w:t xml:space="preserve">Evropske integracije u Crnoj Gori predstavljaju važan okvir za sprovođenje reformi i u oblasti socijalne i dječje zaštite. </w:t>
      </w:r>
      <w:r w:rsidRPr="00F96844">
        <w:rPr>
          <w:rFonts w:eastAsia="Times New Roman" w:cs="Arial"/>
          <w:color w:val="000000"/>
          <w:sz w:val="24"/>
          <w:szCs w:val="24"/>
          <w:lang w:val="sr-Latn-ME"/>
        </w:rPr>
        <w:t>Imajući u vidu ocjene iz Strategije o proširenju EU 2018. godine</w:t>
      </w:r>
      <w:r w:rsidR="00C25715">
        <w:rPr>
          <w:rFonts w:eastAsia="Times New Roman" w:cs="Arial"/>
          <w:color w:val="000000"/>
          <w:sz w:val="24"/>
          <w:szCs w:val="24"/>
          <w:lang w:val="sr-Latn-ME"/>
        </w:rPr>
        <w:t>,</w:t>
      </w:r>
      <w:r w:rsidRPr="00F96844">
        <w:rPr>
          <w:rFonts w:eastAsia="Times New Roman" w:cs="Arial"/>
          <w:color w:val="000000"/>
          <w:sz w:val="24"/>
          <w:szCs w:val="24"/>
          <w:lang w:val="sr-Latn-ME"/>
        </w:rPr>
        <w:t xml:space="preserve"> u kojoj se kao indikativni datum za pridruživanje Crne Gore pominje 2025. godina, Strategija uzima u obzir sve obaveze</w:t>
      </w:r>
      <w:r w:rsidR="00E25B9C" w:rsidRPr="00F96844">
        <w:rPr>
          <w:rFonts w:eastAsia="Times New Roman" w:cs="Arial"/>
          <w:color w:val="000000"/>
          <w:sz w:val="24"/>
          <w:szCs w:val="24"/>
          <w:lang w:val="sr-Latn-ME"/>
        </w:rPr>
        <w:t xml:space="preserve"> </w:t>
      </w:r>
      <w:r w:rsidRPr="00F96844">
        <w:rPr>
          <w:rFonts w:eastAsia="Times New Roman" w:cs="Arial"/>
          <w:color w:val="000000"/>
          <w:sz w:val="24"/>
          <w:szCs w:val="24"/>
          <w:lang w:val="sr-Latn-ME"/>
        </w:rPr>
        <w:t>iz procesa pregovora o pridruživanju – usklađivanje s evropskim zakonodavstvom i dobrim evropskim praksama u oblasti socijalne i dječje zaštite</w:t>
      </w:r>
      <w:r w:rsidRPr="00F96844">
        <w:rPr>
          <w:rFonts w:eastAsia="Times New Roman" w:cs="Arial"/>
          <w:sz w:val="24"/>
          <w:szCs w:val="24"/>
          <w:lang w:val="sr-Latn-ME"/>
        </w:rPr>
        <w:t>. Za reforme u oblasti socijalne i dječje zaštite poseb</w:t>
      </w:r>
      <w:r w:rsidR="00C25715">
        <w:rPr>
          <w:rFonts w:eastAsia="Times New Roman" w:cs="Arial"/>
          <w:sz w:val="24"/>
          <w:szCs w:val="24"/>
          <w:lang w:val="sr-Latn-ME"/>
        </w:rPr>
        <w:t>an</w:t>
      </w:r>
      <w:r w:rsidRPr="00F96844">
        <w:rPr>
          <w:rFonts w:eastAsia="Times New Roman" w:cs="Arial"/>
          <w:sz w:val="24"/>
          <w:szCs w:val="24"/>
          <w:lang w:val="sr-Latn-ME"/>
        </w:rPr>
        <w:t xml:space="preserve"> značaj imaju poglavlja: </w:t>
      </w:r>
      <w:r w:rsidRPr="00F96844">
        <w:rPr>
          <w:rFonts w:eastAsia="Times New Roman" w:cs="Arial"/>
          <w:i/>
          <w:iCs/>
          <w:sz w:val="24"/>
          <w:szCs w:val="24"/>
          <w:lang w:val="sr-Latn-ME"/>
        </w:rPr>
        <w:t>Sloboda kretanj</w:t>
      </w:r>
      <w:r w:rsidR="00C25715">
        <w:rPr>
          <w:rFonts w:eastAsia="Times New Roman" w:cs="Arial"/>
          <w:i/>
          <w:iCs/>
          <w:sz w:val="24"/>
          <w:szCs w:val="24"/>
          <w:lang w:val="sr-Latn-ME"/>
        </w:rPr>
        <w:t>a</w:t>
      </w:r>
      <w:r w:rsidRPr="00F96844">
        <w:rPr>
          <w:rFonts w:eastAsia="Times New Roman" w:cs="Arial"/>
          <w:i/>
          <w:iCs/>
          <w:sz w:val="24"/>
          <w:szCs w:val="24"/>
          <w:lang w:val="sr-Latn-ME"/>
        </w:rPr>
        <w:t xml:space="preserve"> radnika (pregovaračko poglavlje 2)</w:t>
      </w:r>
      <w:r w:rsidRPr="00F96844">
        <w:rPr>
          <w:rFonts w:eastAsia="Times New Roman" w:cs="Arial"/>
          <w:sz w:val="24"/>
          <w:szCs w:val="24"/>
          <w:lang w:val="sr-Latn-ME"/>
        </w:rPr>
        <w:t xml:space="preserve">, </w:t>
      </w:r>
      <w:r w:rsidRPr="00F96844">
        <w:rPr>
          <w:rFonts w:eastAsia="Times New Roman" w:cs="Arial"/>
          <w:i/>
          <w:iCs/>
          <w:sz w:val="24"/>
          <w:szCs w:val="24"/>
          <w:lang w:val="sr-Latn-ME"/>
        </w:rPr>
        <w:t>Zapošljavanje i socijalna politika (pregovaračko poglavlje 19)</w:t>
      </w:r>
      <w:r w:rsidR="00116019">
        <w:rPr>
          <w:rFonts w:eastAsia="Times New Roman" w:cs="Arial"/>
          <w:sz w:val="24"/>
          <w:szCs w:val="24"/>
          <w:lang w:val="sr-Latn-ME"/>
        </w:rPr>
        <w:t xml:space="preserve">, </w:t>
      </w:r>
      <w:r w:rsidRPr="00F96844">
        <w:rPr>
          <w:rFonts w:eastAsia="Times New Roman" w:cs="Arial"/>
          <w:i/>
          <w:iCs/>
          <w:sz w:val="24"/>
          <w:szCs w:val="24"/>
          <w:lang w:val="sr-Latn-ME"/>
        </w:rPr>
        <w:t>Pravosuđe i temeljna prava (pregovaračko poglavlje 23)</w:t>
      </w:r>
      <w:r w:rsidR="00116019">
        <w:rPr>
          <w:rFonts w:eastAsia="Times New Roman" w:cs="Arial"/>
          <w:i/>
          <w:iCs/>
          <w:sz w:val="24"/>
          <w:szCs w:val="24"/>
          <w:lang w:val="sr-Latn-ME"/>
        </w:rPr>
        <w:t xml:space="preserve"> i</w:t>
      </w:r>
      <w:r w:rsidR="00116019" w:rsidRPr="00116019">
        <w:t xml:space="preserve"> </w:t>
      </w:r>
      <w:r w:rsidR="00116019" w:rsidRPr="00116019">
        <w:rPr>
          <w:rFonts w:eastAsia="Times New Roman" w:cs="Arial"/>
          <w:i/>
          <w:iCs/>
          <w:sz w:val="24"/>
          <w:szCs w:val="24"/>
          <w:lang w:val="sr-Latn-ME"/>
        </w:rPr>
        <w:t>Pravda, sloboda i bezbjednost</w:t>
      </w:r>
      <w:r w:rsidR="00116019">
        <w:rPr>
          <w:rFonts w:eastAsia="Times New Roman" w:cs="Arial"/>
          <w:i/>
          <w:iCs/>
          <w:sz w:val="24"/>
          <w:szCs w:val="24"/>
          <w:lang w:val="sr-Latn-ME"/>
        </w:rPr>
        <w:t xml:space="preserve"> (pregovaračko poglavlje 24)</w:t>
      </w:r>
      <w:r w:rsidRPr="00F96844">
        <w:rPr>
          <w:rFonts w:eastAsia="Times New Roman" w:cs="Arial"/>
          <w:sz w:val="24"/>
          <w:szCs w:val="24"/>
          <w:lang w:val="sr-Latn-ME"/>
        </w:rPr>
        <w:t>. Pored toga, do članstva u EU Crna Gora bi trebalo da bude spremna da osigura sprovođenje i izvještavanje u vezi</w:t>
      </w:r>
      <w:r w:rsidR="004C5D23">
        <w:rPr>
          <w:rFonts w:eastAsia="Times New Roman" w:cs="Arial"/>
          <w:sz w:val="24"/>
          <w:szCs w:val="24"/>
          <w:lang w:val="sr-Latn-ME"/>
        </w:rPr>
        <w:t xml:space="preserve"> s p</w:t>
      </w:r>
      <w:r w:rsidRPr="00F96844">
        <w:rPr>
          <w:rFonts w:eastAsia="Times New Roman" w:cs="Arial"/>
          <w:sz w:val="24"/>
          <w:szCs w:val="24"/>
          <w:lang w:val="sr-Latn-ME"/>
        </w:rPr>
        <w:t xml:space="preserve">rincipima i ciljevima razvijenim u okviru Evropskog stuba socijalnih prava. </w:t>
      </w:r>
    </w:p>
    <w:p w14:paraId="551E6ECF" w14:textId="77777777" w:rsidR="00FD5566" w:rsidRPr="00F96844" w:rsidRDefault="00FD5566" w:rsidP="00780738">
      <w:pPr>
        <w:jc w:val="both"/>
        <w:rPr>
          <w:rFonts w:eastAsia="Times New Roman" w:cs="Arial"/>
          <w:bCs/>
          <w:i/>
          <w:iCs/>
          <w:sz w:val="24"/>
          <w:szCs w:val="24"/>
          <w:lang w:val="sr-Latn-ME"/>
        </w:rPr>
      </w:pPr>
    </w:p>
    <w:p w14:paraId="0B8DD498" w14:textId="77777777" w:rsidR="00D614D1" w:rsidRPr="00F96844" w:rsidRDefault="00D614D1" w:rsidP="00780738">
      <w:pPr>
        <w:jc w:val="both"/>
        <w:rPr>
          <w:rFonts w:eastAsia="Times New Roman" w:cs="Arial"/>
          <w:bCs/>
          <w:sz w:val="24"/>
          <w:szCs w:val="24"/>
          <w:lang w:val="sr-Latn-ME"/>
        </w:rPr>
      </w:pPr>
      <w:r w:rsidRPr="00F96844">
        <w:rPr>
          <w:rFonts w:eastAsia="Times New Roman" w:cs="Arial"/>
          <w:bCs/>
          <w:i/>
          <w:iCs/>
          <w:sz w:val="24"/>
          <w:szCs w:val="24"/>
          <w:lang w:val="sr-Latn-ME"/>
        </w:rPr>
        <w:t>Evropski stub socijalnih prava</w:t>
      </w:r>
      <w:r w:rsidR="0083127B" w:rsidRPr="00F96844">
        <w:rPr>
          <w:rStyle w:val="FootnoteReference"/>
          <w:rFonts w:eastAsia="Times New Roman" w:cs="Arial"/>
          <w:bCs/>
          <w:i/>
          <w:iCs/>
          <w:sz w:val="24"/>
          <w:szCs w:val="24"/>
          <w:lang w:val="sr-Latn-ME"/>
        </w:rPr>
        <w:footnoteReference w:id="28"/>
      </w:r>
      <w:r w:rsidRPr="00F96844">
        <w:rPr>
          <w:rFonts w:eastAsia="Times New Roman" w:cs="Arial"/>
          <w:bCs/>
          <w:sz w:val="24"/>
          <w:szCs w:val="24"/>
          <w:lang w:val="sr-Latn-ME"/>
        </w:rPr>
        <w:t xml:space="preserve"> je novi instrument EU koji osigurava standarde i koordinaciju u oblasti socijalnih prava. Članstvom u EU Crna Gora će biti u obavezi da razvije sistem koji će biti u stanju da sprovede ciljeve i politike definisane u Evropskom stubu socijalnih prava. Evropskim stubom socijalnih prava utvrđeno je 20 načela i prava za podršku tržištima rada i sistemima socijalne zaštite koji su pravedni i dobro funkcionišu, podijeljenih u tri kategorije: 1) jednake mogućnosti i pristup tržištu rada, 2) dinamična tržišta rada i pravedni uslovi rada i 3) socijalna zaštita i uključivanje. Evropski stub socijalnih prava učvršćuje postojeća prava u međunarodnoj i pravnoj tekovini EU i istovremeno ih dopunjuje</w:t>
      </w:r>
      <w:r w:rsidR="00C25715">
        <w:rPr>
          <w:rFonts w:eastAsia="Times New Roman" w:cs="Arial"/>
          <w:bCs/>
          <w:sz w:val="24"/>
          <w:szCs w:val="24"/>
          <w:lang w:val="sr-Latn-ME"/>
        </w:rPr>
        <w:t>,</w:t>
      </w:r>
      <w:r w:rsidRPr="00F96844">
        <w:rPr>
          <w:rFonts w:eastAsia="Times New Roman" w:cs="Arial"/>
          <w:bCs/>
          <w:sz w:val="24"/>
          <w:szCs w:val="24"/>
          <w:lang w:val="sr-Latn-ME"/>
        </w:rPr>
        <w:t xml:space="preserve"> kako bi se u obzir uzele aktuelne okolnosti.</w:t>
      </w:r>
    </w:p>
    <w:p w14:paraId="5B217314" w14:textId="77777777" w:rsidR="00FD5566" w:rsidRPr="00F96844" w:rsidRDefault="00FD5566" w:rsidP="00780738">
      <w:pPr>
        <w:jc w:val="both"/>
        <w:rPr>
          <w:rFonts w:eastAsia="Cambria" w:cs="Arial"/>
          <w:sz w:val="24"/>
          <w:szCs w:val="24"/>
          <w:lang w:val="sr-Latn-ME"/>
        </w:rPr>
      </w:pPr>
    </w:p>
    <w:p w14:paraId="2D48B862" w14:textId="77777777" w:rsidR="00D614D1" w:rsidRPr="00F96844" w:rsidRDefault="00D614D1" w:rsidP="00780738">
      <w:pPr>
        <w:jc w:val="both"/>
        <w:rPr>
          <w:rFonts w:eastAsia="Cambria" w:cs="Arial"/>
          <w:sz w:val="24"/>
          <w:szCs w:val="24"/>
          <w:lang w:val="sr-Latn-ME"/>
        </w:rPr>
      </w:pPr>
      <w:r w:rsidRPr="00F96844">
        <w:rPr>
          <w:rFonts w:eastAsia="Cambria" w:cs="Arial"/>
          <w:sz w:val="24"/>
          <w:szCs w:val="24"/>
          <w:lang w:val="sr-Latn-ME"/>
        </w:rPr>
        <w:t>Izvještaj Evropske komisije o napretku Crne Gore u procesu pristupanja EU za 2023. godinu, u Poglavlju 19 (zapošljavanje i socijalna politika) navodi da Crna Gora ima određeni nivo pripremljenosti u oblasti socijalne politike i zapošljavanja i da u narednoj godini treba</w:t>
      </w:r>
      <w:r w:rsidR="00801309">
        <w:rPr>
          <w:rFonts w:eastAsia="Cambria" w:cs="Arial"/>
          <w:sz w:val="24"/>
          <w:szCs w:val="24"/>
          <w:lang w:val="sr-Latn-ME"/>
        </w:rPr>
        <w:t xml:space="preserve"> da </w:t>
      </w:r>
      <w:r w:rsidRPr="00F96844">
        <w:rPr>
          <w:rFonts w:eastAsia="Cambria" w:cs="Arial"/>
          <w:sz w:val="24"/>
          <w:szCs w:val="24"/>
          <w:lang w:val="sr-Latn-ME"/>
        </w:rPr>
        <w:t>utvrdi jasan vremenski okvir i finansijsko planiranje za reformu sistema socijalne i dječje zaštite, te da započne sprovođenje tih reformi</w:t>
      </w:r>
      <w:r w:rsidR="00685D62">
        <w:rPr>
          <w:rFonts w:eastAsia="Cambria" w:cs="Arial"/>
          <w:sz w:val="24"/>
          <w:szCs w:val="24"/>
          <w:lang w:val="sr-Latn-ME"/>
        </w:rPr>
        <w:t>.</w:t>
      </w:r>
      <w:r w:rsidR="0083127B" w:rsidRPr="00F96844">
        <w:rPr>
          <w:rStyle w:val="FootnoteReference"/>
          <w:rFonts w:eastAsia="Cambria" w:cs="Arial"/>
          <w:sz w:val="24"/>
          <w:szCs w:val="24"/>
          <w:lang w:val="sr-Latn-ME"/>
        </w:rPr>
        <w:footnoteReference w:id="29"/>
      </w:r>
      <w:r w:rsidRPr="00F96844">
        <w:rPr>
          <w:rFonts w:eastAsia="Cambria" w:cs="Arial"/>
          <w:sz w:val="24"/>
          <w:szCs w:val="24"/>
          <w:lang w:val="sr-Latn-ME"/>
        </w:rPr>
        <w:t xml:space="preserve"> Takođe, Evropska komisija ocjenjuje da se sektor socijalne zaštite i inkluzije i dalje se suočava s ograničenjima ljudskih resursa i kapaciteta, kao i da centri za socijalni rad i dalje imaju manjak zaposlenih, dok im se obim posla povećava jer su uvedena nova prava. U izvještaju se dalje navodi da Zavod za socijalnu i dječju zaštitu nema dovoljno resursa, a njegova uloga u c</w:t>
      </w:r>
      <w:r w:rsidR="00C25715">
        <w:rPr>
          <w:rFonts w:eastAsia="Cambria" w:cs="Arial"/>
          <w:sz w:val="24"/>
          <w:szCs w:val="24"/>
          <w:lang w:val="sr-Latn-ME"/>
        </w:rPr>
        <w:t>j</w:t>
      </w:r>
      <w:r w:rsidRPr="00F96844">
        <w:rPr>
          <w:rFonts w:eastAsia="Cambria" w:cs="Arial"/>
          <w:sz w:val="24"/>
          <w:szCs w:val="24"/>
          <w:lang w:val="sr-Latn-ME"/>
        </w:rPr>
        <w:t>elokupnom sistemu socijalne zaštite bi trebalo da bude razjašnjena</w:t>
      </w:r>
      <w:r w:rsidR="00685D62">
        <w:rPr>
          <w:rFonts w:eastAsia="Cambria" w:cs="Arial"/>
          <w:sz w:val="24"/>
          <w:szCs w:val="24"/>
          <w:lang w:val="sr-Latn-ME"/>
        </w:rPr>
        <w:t>.</w:t>
      </w:r>
      <w:r w:rsidR="0083127B" w:rsidRPr="00F96844">
        <w:rPr>
          <w:rStyle w:val="FootnoteReference"/>
          <w:rFonts w:eastAsia="Cambria" w:cs="Arial"/>
          <w:sz w:val="24"/>
          <w:szCs w:val="24"/>
          <w:lang w:val="sr-Latn-ME"/>
        </w:rPr>
        <w:footnoteReference w:id="30"/>
      </w:r>
    </w:p>
    <w:p w14:paraId="59D65394" w14:textId="77777777" w:rsidR="00FD5566" w:rsidRPr="00F96844" w:rsidRDefault="00FD5566" w:rsidP="00780738">
      <w:pPr>
        <w:jc w:val="both"/>
        <w:rPr>
          <w:rFonts w:eastAsia="Cambria" w:cs="Arial"/>
          <w:sz w:val="24"/>
          <w:szCs w:val="24"/>
          <w:lang w:val="sr-Latn-ME"/>
        </w:rPr>
      </w:pPr>
    </w:p>
    <w:p w14:paraId="0E5135A7" w14:textId="77777777" w:rsidR="00D614D1" w:rsidRPr="00F96844" w:rsidRDefault="00D614D1" w:rsidP="00780738">
      <w:pPr>
        <w:jc w:val="both"/>
        <w:rPr>
          <w:rFonts w:eastAsia="Cambria" w:cs="Arial"/>
          <w:sz w:val="24"/>
          <w:szCs w:val="24"/>
          <w:lang w:val="sr-Latn-ME"/>
        </w:rPr>
      </w:pPr>
      <w:r w:rsidRPr="00F96844">
        <w:rPr>
          <w:rFonts w:eastAsia="Cambria" w:cs="Arial"/>
          <w:sz w:val="24"/>
          <w:szCs w:val="24"/>
          <w:lang w:val="sr-Latn-ME"/>
        </w:rPr>
        <w:t>Evropska komisija upozorava i da, s obzirom na nedavne prom</w:t>
      </w:r>
      <w:r w:rsidR="00C25715">
        <w:rPr>
          <w:rFonts w:eastAsia="Cambria" w:cs="Arial"/>
          <w:sz w:val="24"/>
          <w:szCs w:val="24"/>
          <w:lang w:val="sr-Latn-ME"/>
        </w:rPr>
        <w:t>j</w:t>
      </w:r>
      <w:r w:rsidRPr="00F96844">
        <w:rPr>
          <w:rFonts w:eastAsia="Cambria" w:cs="Arial"/>
          <w:sz w:val="24"/>
          <w:szCs w:val="24"/>
          <w:lang w:val="sr-Latn-ME"/>
        </w:rPr>
        <w:t>ene u pravnom i strateškom okviru, poreza i socijalnih davanja za djecu, c</w:t>
      </w:r>
      <w:r w:rsidR="00685D62">
        <w:rPr>
          <w:rFonts w:eastAsia="Cambria" w:cs="Arial"/>
          <w:sz w:val="24"/>
          <w:szCs w:val="24"/>
          <w:lang w:val="sr-Latn-ME"/>
        </w:rPr>
        <w:t>j</w:t>
      </w:r>
      <w:r w:rsidRPr="00F96844">
        <w:rPr>
          <w:rFonts w:eastAsia="Cambria" w:cs="Arial"/>
          <w:sz w:val="24"/>
          <w:szCs w:val="24"/>
          <w:lang w:val="sr-Latn-ME"/>
        </w:rPr>
        <w:t>elokupni sistem socijalne politike i zapošljavanja zaht</w:t>
      </w:r>
      <w:r w:rsidR="00C25715">
        <w:rPr>
          <w:rFonts w:eastAsia="Cambria" w:cs="Arial"/>
          <w:sz w:val="24"/>
          <w:szCs w:val="24"/>
          <w:lang w:val="sr-Latn-ME"/>
        </w:rPr>
        <w:t>i</w:t>
      </w:r>
      <w:r w:rsidRPr="00F96844">
        <w:rPr>
          <w:rFonts w:eastAsia="Cambria" w:cs="Arial"/>
          <w:sz w:val="24"/>
          <w:szCs w:val="24"/>
          <w:lang w:val="sr-Latn-ME"/>
        </w:rPr>
        <w:t>jeva temeljnu procjenu i reforme kako bi efikasno odgovorio na potrebe najugroženijih grupa, kao i da je potrebno mnogo više angažovanja, podrške i saradnje</w:t>
      </w:r>
      <w:r w:rsidR="004C5D23">
        <w:rPr>
          <w:rFonts w:eastAsia="Cambria" w:cs="Arial"/>
          <w:sz w:val="24"/>
          <w:szCs w:val="24"/>
          <w:lang w:val="sr-Latn-ME"/>
        </w:rPr>
        <w:t xml:space="preserve"> s c</w:t>
      </w:r>
      <w:r w:rsidRPr="00F96844">
        <w:rPr>
          <w:rFonts w:eastAsia="Cambria" w:cs="Arial"/>
          <w:sz w:val="24"/>
          <w:szCs w:val="24"/>
          <w:lang w:val="sr-Latn-ME"/>
        </w:rPr>
        <w:t xml:space="preserve">ivilnim društvom kako bi se postigli održivi i efikasni rezultati u sektoru </w:t>
      </w:r>
      <w:r w:rsidRPr="00F96844">
        <w:rPr>
          <w:rFonts w:eastAsia="Cambria" w:cs="Arial"/>
          <w:sz w:val="24"/>
          <w:szCs w:val="24"/>
          <w:lang w:val="sr-Latn-ME"/>
        </w:rPr>
        <w:lastRenderedPageBreak/>
        <w:t xml:space="preserve">socijalne zaštite, kako u planiranju i praćenju socijalnih politika tako i u njihovom sprovođenju putem socijalnih usluga, uključujući i na lokalnom nivou. Evropska komisija upozorava i da se djeca iz romske i </w:t>
      </w:r>
      <w:r w:rsidR="005B09F0">
        <w:rPr>
          <w:rFonts w:eastAsia="Cambria" w:cs="Arial"/>
          <w:sz w:val="24"/>
          <w:szCs w:val="24"/>
          <w:lang w:val="sr-Latn-ME"/>
        </w:rPr>
        <w:t>egipćanske</w:t>
      </w:r>
      <w:r w:rsidRPr="00F96844">
        <w:rPr>
          <w:rFonts w:eastAsia="Cambria" w:cs="Arial"/>
          <w:sz w:val="24"/>
          <w:szCs w:val="24"/>
          <w:lang w:val="sr-Latn-ME"/>
        </w:rPr>
        <w:t xml:space="preserve"> zajednice često bave prosjačenjem</w:t>
      </w:r>
      <w:r w:rsidR="00685D62">
        <w:rPr>
          <w:rFonts w:eastAsia="Cambria" w:cs="Arial"/>
          <w:sz w:val="24"/>
          <w:szCs w:val="24"/>
          <w:lang w:val="sr-Latn-ME"/>
        </w:rPr>
        <w:t>.</w:t>
      </w:r>
      <w:r w:rsidR="0083127B" w:rsidRPr="00F96844">
        <w:rPr>
          <w:rStyle w:val="FootnoteReference"/>
          <w:rFonts w:eastAsia="Cambria" w:cs="Arial"/>
          <w:sz w:val="24"/>
          <w:szCs w:val="24"/>
          <w:lang w:val="sr-Latn-ME"/>
        </w:rPr>
        <w:footnoteReference w:id="31"/>
      </w:r>
    </w:p>
    <w:p w14:paraId="5C83F5D3" w14:textId="77777777" w:rsidR="00FD5566" w:rsidRPr="00F96844" w:rsidRDefault="00FD5566" w:rsidP="00780738">
      <w:pPr>
        <w:jc w:val="both"/>
        <w:rPr>
          <w:rFonts w:eastAsia="Cambria" w:cs="Arial"/>
          <w:sz w:val="24"/>
          <w:szCs w:val="24"/>
          <w:lang w:val="sr-Latn-ME"/>
        </w:rPr>
      </w:pPr>
    </w:p>
    <w:p w14:paraId="4D7A754B" w14:textId="77777777" w:rsidR="00D614D1" w:rsidRPr="00F96844" w:rsidRDefault="00D614D1" w:rsidP="00780738">
      <w:pPr>
        <w:jc w:val="both"/>
        <w:rPr>
          <w:rFonts w:eastAsia="Cambria" w:cs="Arial"/>
          <w:sz w:val="24"/>
          <w:szCs w:val="24"/>
          <w:lang w:val="sr-Latn-ME"/>
        </w:rPr>
      </w:pPr>
      <w:r w:rsidRPr="00F96844">
        <w:rPr>
          <w:rFonts w:eastAsia="Cambria" w:cs="Arial"/>
          <w:sz w:val="24"/>
          <w:szCs w:val="24"/>
          <w:lang w:val="sr-Latn-ME"/>
        </w:rPr>
        <w:t>Evropska komisija smatra da kapacitet</w:t>
      </w:r>
      <w:r w:rsidR="00D26A81">
        <w:rPr>
          <w:rFonts w:eastAsia="Cambria" w:cs="Arial"/>
          <w:sz w:val="24"/>
          <w:szCs w:val="24"/>
          <w:lang w:val="sr-Latn-ME"/>
        </w:rPr>
        <w:t>e</w:t>
      </w:r>
      <w:r w:rsidRPr="00F96844">
        <w:rPr>
          <w:rFonts w:eastAsia="Cambria" w:cs="Arial"/>
          <w:sz w:val="24"/>
          <w:szCs w:val="24"/>
          <w:lang w:val="sr-Latn-ME"/>
        </w:rPr>
        <w:t xml:space="preserve"> indirektnih upravljačkih struktura treba dodatno ojačati kako bi se osiguralo da mogu efikasno da upravljaju u okviru procesa </w:t>
      </w:r>
      <w:r w:rsidRPr="00F96844">
        <w:rPr>
          <w:rFonts w:eastAsia="Cambria" w:cs="Arial"/>
          <w:i/>
          <w:iCs/>
          <w:sz w:val="24"/>
          <w:szCs w:val="24"/>
          <w:lang w:val="sr-Latn-ME"/>
        </w:rPr>
        <w:t>ex-post</w:t>
      </w:r>
      <w:r w:rsidRPr="00F96844">
        <w:rPr>
          <w:rFonts w:eastAsia="Cambria" w:cs="Arial"/>
          <w:sz w:val="24"/>
          <w:szCs w:val="24"/>
          <w:lang w:val="sr-Latn-ME"/>
        </w:rPr>
        <w:t xml:space="preserve"> kontrole. Dodatno, EK smatra da bi u narednoj godini Crna Gora trebalo da efikasnije obezb</w:t>
      </w:r>
      <w:r w:rsidR="00FB78DE">
        <w:rPr>
          <w:rFonts w:eastAsia="Cambria" w:cs="Arial"/>
          <w:sz w:val="24"/>
          <w:szCs w:val="24"/>
          <w:lang w:val="sr-Latn-ME"/>
        </w:rPr>
        <w:t>ij</w:t>
      </w:r>
      <w:r w:rsidRPr="00F96844">
        <w:rPr>
          <w:rFonts w:eastAsia="Cambria" w:cs="Arial"/>
          <w:sz w:val="24"/>
          <w:szCs w:val="24"/>
          <w:lang w:val="sr-Latn-ME"/>
        </w:rPr>
        <w:t>edi sredstva iz Instrumenta pretpristupne pomoći (IPA) putem povećanja i konsolidacije administrativnih kapaciteta centralnih</w:t>
      </w:r>
      <w:r w:rsidR="00FB78DE">
        <w:rPr>
          <w:rFonts w:eastAsia="Cambria" w:cs="Arial"/>
          <w:sz w:val="24"/>
          <w:szCs w:val="24"/>
          <w:lang w:val="sr-Latn-ME"/>
        </w:rPr>
        <w:t xml:space="preserve">, regionalnih </w:t>
      </w:r>
      <w:r w:rsidRPr="00F96844">
        <w:rPr>
          <w:rFonts w:eastAsia="Cambria" w:cs="Arial"/>
          <w:sz w:val="24"/>
          <w:szCs w:val="24"/>
          <w:lang w:val="sr-Latn-ME"/>
        </w:rPr>
        <w:t>i lokalnih t</w:t>
      </w:r>
      <w:r w:rsidR="00FB78DE">
        <w:rPr>
          <w:rFonts w:eastAsia="Cambria" w:cs="Arial"/>
          <w:sz w:val="24"/>
          <w:szCs w:val="24"/>
          <w:lang w:val="sr-Latn-ME"/>
        </w:rPr>
        <w:t>ij</w:t>
      </w:r>
      <w:r w:rsidRPr="00F96844">
        <w:rPr>
          <w:rFonts w:eastAsia="Cambria" w:cs="Arial"/>
          <w:sz w:val="24"/>
          <w:szCs w:val="24"/>
          <w:lang w:val="sr-Latn-ME"/>
        </w:rPr>
        <w:t>ela i uspostavljanja strukture za upravljanje administracijom budućih fondova kohezione politike, jačanja kapaciteta za nabavku, upravljanje i praćenje kapitalnih investicija, istovremeno jačajući postojeće mehanizme koordinacije</w:t>
      </w:r>
      <w:r w:rsidR="0083127B" w:rsidRPr="00F96844">
        <w:rPr>
          <w:rStyle w:val="FootnoteReference"/>
          <w:rFonts w:eastAsia="Cambria" w:cs="Arial"/>
          <w:sz w:val="24"/>
          <w:szCs w:val="24"/>
          <w:lang w:val="sr-Latn-ME"/>
        </w:rPr>
        <w:footnoteReference w:id="32"/>
      </w:r>
      <w:r w:rsidRPr="00F96844">
        <w:rPr>
          <w:rFonts w:eastAsia="Cambria" w:cs="Arial"/>
          <w:sz w:val="24"/>
          <w:szCs w:val="24"/>
          <w:lang w:val="sr-Latn-ME"/>
        </w:rPr>
        <w:t>. Što se tiče aktivnosti koje se odnose na pripreme za Evropski socijalni fond (ESF), u okviru pregovaračkog poglavlja 19, Evropska komisija naglašava da Crna Gora treba da odluči koje će institucije biti nadležne za ugovaranje i upravljanje radi uspostavljanja sektorskog operativnog programa za zapošljavanje i socijalnu inkluziju</w:t>
      </w:r>
      <w:r w:rsidR="00C25715">
        <w:rPr>
          <w:rFonts w:eastAsia="Cambria" w:cs="Arial"/>
          <w:sz w:val="24"/>
          <w:szCs w:val="24"/>
          <w:lang w:val="sr-Latn-ME"/>
        </w:rPr>
        <w:t>.</w:t>
      </w:r>
      <w:r w:rsidR="0083127B" w:rsidRPr="00F96844">
        <w:rPr>
          <w:rStyle w:val="FootnoteReference"/>
          <w:rFonts w:eastAsia="Cambria" w:cs="Arial"/>
          <w:sz w:val="24"/>
          <w:szCs w:val="24"/>
          <w:lang w:val="sr-Latn-ME"/>
        </w:rPr>
        <w:footnoteReference w:id="33"/>
      </w:r>
    </w:p>
    <w:p w14:paraId="6DF2AFAF" w14:textId="77777777" w:rsidR="00FD5566" w:rsidRPr="00F96844" w:rsidRDefault="00FD5566" w:rsidP="00780738">
      <w:pPr>
        <w:jc w:val="both"/>
        <w:rPr>
          <w:rFonts w:eastAsia="Times New Roman" w:cs="Arial"/>
          <w:color w:val="000000"/>
          <w:sz w:val="24"/>
          <w:szCs w:val="24"/>
          <w:lang w:val="sr-Latn-ME"/>
        </w:rPr>
      </w:pPr>
    </w:p>
    <w:p w14:paraId="124ACCEE" w14:textId="77777777" w:rsidR="00D614D1" w:rsidRPr="00F96844" w:rsidRDefault="00D614D1" w:rsidP="00780738">
      <w:pPr>
        <w:jc w:val="both"/>
        <w:rPr>
          <w:rFonts w:eastAsia="Times New Roman" w:cs="Arial"/>
          <w:color w:val="000000"/>
          <w:sz w:val="24"/>
          <w:szCs w:val="24"/>
          <w:lang w:val="sr-Latn-ME"/>
        </w:rPr>
      </w:pPr>
      <w:r w:rsidRPr="00F96844">
        <w:rPr>
          <w:rFonts w:eastAsia="Times New Roman" w:cs="Arial"/>
          <w:color w:val="000000"/>
          <w:sz w:val="24"/>
          <w:szCs w:val="24"/>
          <w:lang w:val="sr-Latn-ME"/>
        </w:rPr>
        <w:t xml:space="preserve">Savjet Evropske unije je sredinom 2021. godine usvojio </w:t>
      </w:r>
      <w:r w:rsidRPr="00F96844">
        <w:rPr>
          <w:rFonts w:eastAsia="Times New Roman" w:cs="Arial"/>
          <w:i/>
          <w:iCs/>
          <w:color w:val="000000"/>
          <w:sz w:val="24"/>
          <w:szCs w:val="24"/>
          <w:lang w:val="sr-Latn-ME"/>
        </w:rPr>
        <w:t>Preporuku</w:t>
      </w:r>
      <w:r w:rsidR="00E25B9C" w:rsidRPr="00F96844">
        <w:rPr>
          <w:rFonts w:eastAsia="Times New Roman" w:cs="Arial"/>
          <w:i/>
          <w:iCs/>
          <w:color w:val="000000"/>
          <w:sz w:val="24"/>
          <w:szCs w:val="24"/>
          <w:lang w:val="sr-Latn-ME"/>
        </w:rPr>
        <w:t xml:space="preserve"> </w:t>
      </w:r>
      <w:r w:rsidRPr="00F96844">
        <w:rPr>
          <w:rFonts w:eastAsia="Times New Roman" w:cs="Arial"/>
          <w:i/>
          <w:iCs/>
          <w:color w:val="000000"/>
          <w:sz w:val="24"/>
          <w:szCs w:val="24"/>
          <w:lang w:val="sr-Latn-ME"/>
        </w:rPr>
        <w:t>o uspostavljanju Evropske garancije za dijete,</w:t>
      </w:r>
      <w:r w:rsidR="004C5D23">
        <w:rPr>
          <w:rFonts w:eastAsia="Times New Roman" w:cs="Arial"/>
          <w:color w:val="000000"/>
          <w:sz w:val="24"/>
          <w:szCs w:val="24"/>
          <w:lang w:val="sr-Latn-ME"/>
        </w:rPr>
        <w:t xml:space="preserve"> s c</w:t>
      </w:r>
      <w:r w:rsidRPr="00F96844">
        <w:rPr>
          <w:rFonts w:eastAsia="Times New Roman" w:cs="Arial"/>
          <w:color w:val="000000"/>
          <w:sz w:val="24"/>
          <w:szCs w:val="24"/>
          <w:lang w:val="sr-Latn-ME"/>
        </w:rPr>
        <w:t xml:space="preserve">iljem da se najugroženijoj djeci omogući pristup zdravstvenoj zaštiti, obrazovanju, ranom razvoju i zbrinjavanju djece, adekvatnom stanovanju i ishrani. Garancije za dijete se odnose na najugroženiju djecu koja su u fokusu socijalne i dječje zaštite, a eksplicitno se prema preporuci pominju siromašna djeca, ali i djeca sa smetnjama i teškoćama u razvoju, djeca bez roditeljskog staranja, posebno u rezidencijalnim institucijama, djeca beskućnici, djeca koja žive u teškoj porodičnoj situaciji, djeca iz manjinskih grupa, prije svega romska djeca i sl. </w:t>
      </w:r>
    </w:p>
    <w:p w14:paraId="5AA47FC8" w14:textId="77777777" w:rsidR="00FD5566" w:rsidRPr="00F96844" w:rsidRDefault="00FD5566" w:rsidP="00780738">
      <w:pPr>
        <w:widowControl w:val="0"/>
        <w:autoSpaceDE w:val="0"/>
        <w:autoSpaceDN w:val="0"/>
        <w:adjustRightInd w:val="0"/>
        <w:jc w:val="both"/>
        <w:rPr>
          <w:rFonts w:eastAsia="Times New Roman" w:cs="Arial"/>
          <w:bCs/>
          <w:color w:val="000000"/>
          <w:sz w:val="24"/>
          <w:szCs w:val="24"/>
          <w:lang w:val="sr-Latn-ME"/>
        </w:rPr>
      </w:pPr>
    </w:p>
    <w:p w14:paraId="73C6F3C5" w14:textId="77777777" w:rsidR="0005175B" w:rsidRDefault="00D614D1" w:rsidP="00780738">
      <w:pPr>
        <w:widowControl w:val="0"/>
        <w:autoSpaceDE w:val="0"/>
        <w:autoSpaceDN w:val="0"/>
        <w:adjustRightInd w:val="0"/>
        <w:jc w:val="both"/>
        <w:rPr>
          <w:rFonts w:eastAsia="Times New Roman" w:cs="Arial"/>
          <w:sz w:val="24"/>
          <w:szCs w:val="24"/>
          <w:lang w:val="sr-Latn-ME"/>
        </w:rPr>
      </w:pPr>
      <w:r w:rsidRPr="00F96844">
        <w:rPr>
          <w:rFonts w:eastAsia="Times New Roman" w:cs="Arial"/>
          <w:bCs/>
          <w:color w:val="000000"/>
          <w:sz w:val="24"/>
          <w:szCs w:val="24"/>
          <w:lang w:val="sr-Latn-ME"/>
        </w:rPr>
        <w:t xml:space="preserve">Evropska unija će i u narednom periodu kroz pretpristupne fondove finansirati aktivnosti koje podržavaju dalji proces deinstitucionalizacije u Crnoj Gori. To se prije svega odnosi na </w:t>
      </w:r>
      <w:r w:rsidRPr="00F96844">
        <w:rPr>
          <w:rFonts w:eastAsia="Times New Roman" w:cs="Arial"/>
          <w:sz w:val="24"/>
          <w:szCs w:val="24"/>
          <w:lang w:val="sr-Latn-ME"/>
        </w:rPr>
        <w:t xml:space="preserve">projekte iz Programa IPA3 </w:t>
      </w:r>
      <w:r w:rsidRPr="00F96844">
        <w:rPr>
          <w:rFonts w:eastAsia="Times New Roman" w:cs="Arial"/>
          <w:i/>
          <w:iCs/>
          <w:sz w:val="24"/>
          <w:szCs w:val="24"/>
          <w:lang w:val="sr-Latn-ME"/>
        </w:rPr>
        <w:t>Deinstitucionalizacija i Garancije za mlade</w:t>
      </w:r>
      <w:r w:rsidRPr="00F96844">
        <w:rPr>
          <w:rFonts w:eastAsia="Times New Roman" w:cs="Arial"/>
          <w:sz w:val="24"/>
          <w:szCs w:val="24"/>
          <w:lang w:val="sr-Latn-ME"/>
        </w:rPr>
        <w:t>, kojima će dijelom biti finansirane određene aktivnosti predviđene Strategijom deinstitucionalizacije.</w:t>
      </w:r>
    </w:p>
    <w:p w14:paraId="3282BDC9" w14:textId="77777777" w:rsidR="0005175B" w:rsidRDefault="0005175B" w:rsidP="00780738">
      <w:pPr>
        <w:widowControl w:val="0"/>
        <w:autoSpaceDE w:val="0"/>
        <w:autoSpaceDN w:val="0"/>
        <w:adjustRightInd w:val="0"/>
        <w:jc w:val="both"/>
        <w:rPr>
          <w:rFonts w:eastAsia="Times New Roman" w:cs="Arial"/>
          <w:sz w:val="24"/>
          <w:szCs w:val="24"/>
          <w:lang w:val="sr-Latn-ME"/>
        </w:rPr>
      </w:pPr>
    </w:p>
    <w:p w14:paraId="5CB78D2D" w14:textId="77777777" w:rsidR="0005175B" w:rsidRPr="0005175B" w:rsidRDefault="0005175B" w:rsidP="0005175B">
      <w:pPr>
        <w:jc w:val="both"/>
        <w:rPr>
          <w:rFonts w:cs="Arial"/>
          <w:sz w:val="24"/>
          <w:szCs w:val="24"/>
        </w:rPr>
      </w:pPr>
      <w:r w:rsidRPr="0005175B">
        <w:rPr>
          <w:rFonts w:cs="Arial"/>
          <w:sz w:val="24"/>
          <w:szCs w:val="24"/>
        </w:rPr>
        <w:t xml:space="preserve">U cilju ubrzanja procesa proširenja, kao i podsticanja ekonomske konvergencije na nivou regiona Zapadnog Balkana (ZB), Evropska komisija (EK) je usvojila predlog novog </w:t>
      </w:r>
      <w:r w:rsidRPr="0005175B">
        <w:rPr>
          <w:rFonts w:cs="Arial"/>
          <w:i/>
          <w:sz w:val="24"/>
          <w:szCs w:val="24"/>
        </w:rPr>
        <w:t>Plana rasta EU za Zapadni Balkan</w:t>
      </w:r>
      <w:r w:rsidRPr="0005175B">
        <w:rPr>
          <w:rFonts w:cs="Arial"/>
          <w:sz w:val="24"/>
          <w:szCs w:val="24"/>
        </w:rPr>
        <w:t xml:space="preserve"> uz projekciju da će sprovođenje reformi i finansijska podrška EU imati pozitivan efekat na ekonomski rast ekonomija država kandidata. </w:t>
      </w:r>
    </w:p>
    <w:p w14:paraId="08AFEA4B" w14:textId="77777777" w:rsidR="0005175B" w:rsidRDefault="0005175B" w:rsidP="0005175B">
      <w:pPr>
        <w:jc w:val="both"/>
        <w:rPr>
          <w:rFonts w:cs="Arial"/>
          <w:sz w:val="24"/>
          <w:szCs w:val="24"/>
        </w:rPr>
      </w:pPr>
      <w:r w:rsidRPr="0005175B">
        <w:rPr>
          <w:rFonts w:cs="Arial"/>
          <w:sz w:val="24"/>
          <w:szCs w:val="24"/>
        </w:rPr>
        <w:t xml:space="preserve">Po usvajanju predloga Regulative o uspostavljanju </w:t>
      </w:r>
      <w:r>
        <w:rPr>
          <w:rFonts w:cs="Arial"/>
          <w:sz w:val="24"/>
          <w:szCs w:val="24"/>
        </w:rPr>
        <w:t>i</w:t>
      </w:r>
      <w:r w:rsidRPr="0005175B">
        <w:rPr>
          <w:rFonts w:cs="Arial"/>
          <w:sz w:val="24"/>
          <w:szCs w:val="24"/>
        </w:rPr>
        <w:t>nstrumenta EU za reforme i rast u novembru 2023, Vlada Crne Gore je nakon konsultacija sa nadležnim službama Evropske komisije identifikovala ključne četiri oblasti politika u kojima će dalje biti definisane reformske mjere:</w:t>
      </w:r>
    </w:p>
    <w:p w14:paraId="5FBBE4C9" w14:textId="77777777" w:rsidR="0005175B" w:rsidRPr="0005175B" w:rsidRDefault="0005175B" w:rsidP="0005175B">
      <w:pPr>
        <w:jc w:val="both"/>
        <w:rPr>
          <w:rFonts w:cs="Arial"/>
          <w:sz w:val="24"/>
          <w:szCs w:val="24"/>
        </w:rPr>
      </w:pPr>
    </w:p>
    <w:p w14:paraId="4644CCEF" w14:textId="77777777" w:rsidR="0005175B" w:rsidRPr="0005175B" w:rsidRDefault="0005175B" w:rsidP="0005175B">
      <w:pPr>
        <w:jc w:val="both"/>
        <w:rPr>
          <w:rFonts w:cs="Arial"/>
          <w:sz w:val="24"/>
          <w:szCs w:val="24"/>
        </w:rPr>
      </w:pPr>
      <w:r w:rsidRPr="0005175B">
        <w:rPr>
          <w:rFonts w:cs="Arial"/>
          <w:sz w:val="24"/>
          <w:szCs w:val="24"/>
        </w:rPr>
        <w:t>1. Poslovno okruženje i razvoj privatnog sektora;</w:t>
      </w:r>
    </w:p>
    <w:p w14:paraId="5876C577" w14:textId="77777777" w:rsidR="0005175B" w:rsidRPr="0005175B" w:rsidRDefault="0005175B" w:rsidP="0005175B">
      <w:pPr>
        <w:jc w:val="both"/>
        <w:rPr>
          <w:rFonts w:cs="Arial"/>
          <w:sz w:val="24"/>
          <w:szCs w:val="24"/>
        </w:rPr>
      </w:pPr>
      <w:r w:rsidRPr="0005175B">
        <w:rPr>
          <w:rFonts w:cs="Arial"/>
          <w:sz w:val="24"/>
          <w:szCs w:val="24"/>
        </w:rPr>
        <w:t>2. Digitalna i energetska/zelena tranzicija;</w:t>
      </w:r>
    </w:p>
    <w:p w14:paraId="5F823B7F" w14:textId="77777777" w:rsidR="0005175B" w:rsidRPr="0005175B" w:rsidRDefault="0005175B" w:rsidP="0005175B">
      <w:pPr>
        <w:jc w:val="both"/>
        <w:rPr>
          <w:rFonts w:cs="Arial"/>
          <w:sz w:val="24"/>
          <w:szCs w:val="24"/>
        </w:rPr>
      </w:pPr>
      <w:r w:rsidRPr="0005175B">
        <w:rPr>
          <w:rFonts w:cs="Arial"/>
          <w:sz w:val="24"/>
          <w:szCs w:val="24"/>
        </w:rPr>
        <w:t>3. Razvoj ljudskog kapitala i</w:t>
      </w:r>
    </w:p>
    <w:p w14:paraId="22316C1A" w14:textId="77777777" w:rsidR="0005175B" w:rsidRDefault="0005175B" w:rsidP="0005175B">
      <w:pPr>
        <w:jc w:val="both"/>
        <w:rPr>
          <w:rFonts w:cs="Arial"/>
          <w:sz w:val="24"/>
          <w:szCs w:val="24"/>
        </w:rPr>
      </w:pPr>
      <w:r w:rsidRPr="0005175B">
        <w:rPr>
          <w:rFonts w:cs="Arial"/>
          <w:sz w:val="24"/>
          <w:szCs w:val="24"/>
        </w:rPr>
        <w:lastRenderedPageBreak/>
        <w:t>4. Vladavina prava/temeljna prava.</w:t>
      </w:r>
    </w:p>
    <w:p w14:paraId="5D0CE9AD" w14:textId="77777777" w:rsidR="0005175B" w:rsidRPr="0005175B" w:rsidRDefault="0005175B" w:rsidP="0005175B">
      <w:pPr>
        <w:jc w:val="both"/>
        <w:rPr>
          <w:rFonts w:cs="Arial"/>
          <w:sz w:val="24"/>
          <w:szCs w:val="24"/>
        </w:rPr>
      </w:pPr>
    </w:p>
    <w:p w14:paraId="536D6F95" w14:textId="77777777" w:rsidR="0005175B" w:rsidRPr="0005175B" w:rsidRDefault="0005175B" w:rsidP="0005175B">
      <w:pPr>
        <w:jc w:val="both"/>
        <w:rPr>
          <w:rFonts w:cs="Arial"/>
          <w:sz w:val="24"/>
          <w:szCs w:val="24"/>
        </w:rPr>
      </w:pPr>
      <w:r w:rsidRPr="0005175B">
        <w:rPr>
          <w:rFonts w:cs="Arial"/>
          <w:sz w:val="24"/>
          <w:szCs w:val="24"/>
        </w:rPr>
        <w:t xml:space="preserve">Mjere iz oblasti </w:t>
      </w:r>
      <w:r w:rsidRPr="0005175B">
        <w:rPr>
          <w:rFonts w:cs="Arial"/>
          <w:b/>
          <w:sz w:val="24"/>
          <w:szCs w:val="24"/>
          <w:u w:val="single"/>
        </w:rPr>
        <w:t>Razvoj ljudskog kapitala</w:t>
      </w:r>
      <w:r w:rsidRPr="0005175B">
        <w:rPr>
          <w:rFonts w:cs="Arial"/>
          <w:sz w:val="24"/>
          <w:szCs w:val="24"/>
        </w:rPr>
        <w:t xml:space="preserve"> reflektuju se uglavnom kroz unapređenje mogućnosti za zapošljavanje, podršku za aktivaciju, reformu socijalnih i sistema dječije zaštite, ulaganje u sve nivoe obrazovanja i digitalno obrazovanje. U vezi sa navedenim definisana je indikativna reforma - Reformisanje sistema socijalne i dječije zaštite radi efikasnije, efektivnije i transparentnije upotrebe</w:t>
      </w:r>
      <w:r>
        <w:rPr>
          <w:rFonts w:cs="Arial"/>
          <w:sz w:val="24"/>
          <w:szCs w:val="24"/>
        </w:rPr>
        <w:t xml:space="preserve"> </w:t>
      </w:r>
      <w:r w:rsidRPr="0005175B">
        <w:rPr>
          <w:rFonts w:cs="Arial"/>
          <w:sz w:val="24"/>
          <w:szCs w:val="24"/>
        </w:rPr>
        <w:t xml:space="preserve">javnih sredstava kroz aktivnosti: </w:t>
      </w:r>
      <w:r>
        <w:rPr>
          <w:rFonts w:cs="Arial"/>
          <w:sz w:val="24"/>
          <w:szCs w:val="24"/>
        </w:rPr>
        <w:t>a</w:t>
      </w:r>
      <w:r w:rsidRPr="0005175B">
        <w:rPr>
          <w:rFonts w:cs="Arial"/>
          <w:sz w:val="24"/>
          <w:szCs w:val="24"/>
        </w:rPr>
        <w:t xml:space="preserve">ktivacija korisnika materijalnog obezbjeđenja, </w:t>
      </w:r>
      <w:r>
        <w:rPr>
          <w:rFonts w:cs="Arial"/>
          <w:sz w:val="24"/>
          <w:szCs w:val="24"/>
        </w:rPr>
        <w:t>u</w:t>
      </w:r>
      <w:r w:rsidRPr="0005175B">
        <w:rPr>
          <w:rFonts w:cs="Arial"/>
          <w:sz w:val="24"/>
          <w:szCs w:val="24"/>
        </w:rPr>
        <w:t xml:space="preserve">spostavljanje jedinstvenog inkluzivnog i objedinjenog novčanog transfera u vezi sa invaliditetom koji pokriva sva prava datog korisnika i obrađuje se putem elektronskog sistema; </w:t>
      </w:r>
      <w:r>
        <w:rPr>
          <w:rFonts w:cs="Arial"/>
          <w:sz w:val="24"/>
          <w:szCs w:val="24"/>
        </w:rPr>
        <w:t>s</w:t>
      </w:r>
      <w:r w:rsidRPr="0005175B">
        <w:rPr>
          <w:rFonts w:cs="Arial"/>
          <w:sz w:val="24"/>
          <w:szCs w:val="24"/>
        </w:rPr>
        <w:t xml:space="preserve">ve novčane nadoknade na nacionalnom nivou koje se odnose na socijalnu i dječiju zaštitu će biti uspostavljene i obračunate putem nadograđenog integrisanog informacionog sistema socijalne zaštite. Takođe, kroz indikativnu reformu - Smanjenje nivoa porodičnog nasilja u Crnoj Gori definisane su dvije aktivnosti i to: </w:t>
      </w:r>
      <w:r>
        <w:rPr>
          <w:rFonts w:cs="Arial"/>
          <w:sz w:val="24"/>
          <w:szCs w:val="24"/>
        </w:rPr>
        <w:t>j</w:t>
      </w:r>
      <w:r w:rsidRPr="0005175B">
        <w:rPr>
          <w:rFonts w:cs="Arial"/>
          <w:sz w:val="24"/>
          <w:szCs w:val="24"/>
        </w:rPr>
        <w:t>edinstvena baza podataka o nasilju u porodici obuhvata najmanje 95% slučajeva nasilja u porodici prijavljenih policiji ili kancelarijama centara za socijalni rad; Crna Gora ispunjava preporuke GREVIO/Istanbulske konvencije o uspostavljanju tri krizna centra za žrtve seksualnog nasilja u skladu sa standardima navedenim u konvenciji (tj. Integrisane zdravstvene, pravne i psihološke usluge za žrtve). Sve aktivnosti iz Plana rasta su implementirane u Startegiji razvoja sistema socijalne i dječje zaštite.</w:t>
      </w:r>
    </w:p>
    <w:p w14:paraId="285E89E3" w14:textId="77777777" w:rsidR="00381A1C" w:rsidRPr="00F96844" w:rsidRDefault="00381A1C" w:rsidP="00780738">
      <w:pPr>
        <w:jc w:val="both"/>
        <w:rPr>
          <w:rFonts w:eastAsia="Cambria" w:cs="Arial"/>
          <w:color w:val="000000"/>
          <w:sz w:val="24"/>
          <w:szCs w:val="24"/>
          <w:lang w:val="sr-Latn-ME"/>
        </w:rPr>
      </w:pPr>
    </w:p>
    <w:p w14:paraId="4DDC8C60" w14:textId="77777777" w:rsidR="00381A1C" w:rsidRPr="00F96844" w:rsidRDefault="00381A1C" w:rsidP="00780738">
      <w:pPr>
        <w:jc w:val="both"/>
        <w:rPr>
          <w:rFonts w:eastAsia="Cambria" w:cs="Arial"/>
          <w:b/>
          <w:i/>
          <w:color w:val="000000"/>
          <w:sz w:val="24"/>
          <w:szCs w:val="24"/>
          <w:lang w:val="sr-Latn-ME"/>
        </w:rPr>
      </w:pPr>
      <w:r w:rsidRPr="00F96844">
        <w:rPr>
          <w:rFonts w:eastAsia="Cambria" w:cs="Arial"/>
          <w:b/>
          <w:i/>
          <w:color w:val="000000"/>
          <w:sz w:val="24"/>
          <w:szCs w:val="24"/>
          <w:lang w:val="sr-Latn-ME"/>
        </w:rPr>
        <w:t>Druge međunarodne obaveze Crne Gore</w:t>
      </w:r>
    </w:p>
    <w:p w14:paraId="21022095" w14:textId="77777777" w:rsidR="00A64A0A" w:rsidRPr="00F96844" w:rsidRDefault="00A64A0A" w:rsidP="00780738">
      <w:pPr>
        <w:jc w:val="both"/>
        <w:rPr>
          <w:rFonts w:eastAsia="Cambria" w:cs="Arial"/>
          <w:b/>
          <w:i/>
          <w:color w:val="000000"/>
          <w:sz w:val="24"/>
          <w:szCs w:val="24"/>
          <w:lang w:val="sr-Latn-ME"/>
        </w:rPr>
      </w:pPr>
    </w:p>
    <w:p w14:paraId="69A8C892" w14:textId="77777777" w:rsidR="00381A1C" w:rsidRPr="00F96844" w:rsidRDefault="00381A1C" w:rsidP="00780738">
      <w:pPr>
        <w:jc w:val="both"/>
        <w:rPr>
          <w:rFonts w:eastAsia="Cambria" w:cs="Arial"/>
          <w:color w:val="000000"/>
          <w:sz w:val="24"/>
          <w:szCs w:val="24"/>
          <w:lang w:val="sr-Latn-ME"/>
        </w:rPr>
      </w:pPr>
      <w:r w:rsidRPr="00F96844">
        <w:rPr>
          <w:rFonts w:eastAsia="Cambria" w:cs="Arial"/>
          <w:color w:val="000000"/>
          <w:sz w:val="24"/>
          <w:szCs w:val="24"/>
          <w:lang w:val="sr-Latn-ME"/>
        </w:rPr>
        <w:t>Као članica UN i Savjeta Evrope, Crna Gora reformu sistema socijalne i dječje zaštite sprovodi imajući u vidu prava, normative i standarde utvrđene međunarodnim dokumentima.</w:t>
      </w:r>
    </w:p>
    <w:p w14:paraId="0B237E15" w14:textId="77777777" w:rsidR="00FD5566" w:rsidRPr="00F96844" w:rsidRDefault="00FD5566" w:rsidP="00780738">
      <w:pPr>
        <w:jc w:val="both"/>
        <w:rPr>
          <w:rFonts w:eastAsia="Cambria" w:cs="Arial"/>
          <w:color w:val="000000"/>
          <w:sz w:val="24"/>
          <w:szCs w:val="24"/>
          <w:lang w:val="sr-Latn-ME"/>
        </w:rPr>
      </w:pPr>
    </w:p>
    <w:p w14:paraId="6BA89476" w14:textId="77777777" w:rsidR="00D614D1" w:rsidRPr="00F96844" w:rsidRDefault="00D614D1" w:rsidP="00780738">
      <w:pPr>
        <w:jc w:val="both"/>
        <w:rPr>
          <w:rFonts w:cs="Arial"/>
          <w:i/>
          <w:sz w:val="24"/>
          <w:szCs w:val="24"/>
          <w:lang w:val="sr-Latn-ME"/>
        </w:rPr>
      </w:pPr>
      <w:r w:rsidRPr="00F96844">
        <w:rPr>
          <w:rFonts w:eastAsia="Cambria" w:cs="Arial"/>
          <w:color w:val="000000"/>
          <w:sz w:val="24"/>
          <w:szCs w:val="24"/>
          <w:lang w:val="sr-Latn-ME"/>
        </w:rPr>
        <w:t>Međunarodni dokumenti koji su važni u izradi ovog</w:t>
      </w:r>
      <w:r w:rsidR="00E25B9C" w:rsidRPr="00F96844">
        <w:rPr>
          <w:rFonts w:eastAsia="Cambria" w:cs="Arial"/>
          <w:color w:val="000000"/>
          <w:sz w:val="24"/>
          <w:szCs w:val="24"/>
          <w:lang w:val="sr-Latn-ME"/>
        </w:rPr>
        <w:t xml:space="preserve"> </w:t>
      </w:r>
      <w:r w:rsidRPr="00F96844">
        <w:rPr>
          <w:rFonts w:eastAsia="Cambria" w:cs="Arial"/>
          <w:color w:val="000000"/>
          <w:sz w:val="24"/>
          <w:szCs w:val="24"/>
          <w:lang w:val="sr-Latn-ME"/>
        </w:rPr>
        <w:t xml:space="preserve">strateškog dokumenata jesu: </w:t>
      </w:r>
      <w:r w:rsidRPr="00F96844">
        <w:rPr>
          <w:rFonts w:eastAsia="Cambria" w:cs="Arial"/>
          <w:i/>
          <w:iCs/>
          <w:color w:val="000000"/>
          <w:sz w:val="24"/>
          <w:szCs w:val="24"/>
          <w:lang w:val="sr-Latn-ME"/>
        </w:rPr>
        <w:t>Konvencija</w:t>
      </w:r>
      <w:r w:rsidRPr="00F96844">
        <w:rPr>
          <w:rFonts w:cs="Arial"/>
          <w:sz w:val="24"/>
          <w:szCs w:val="24"/>
          <w:lang w:val="sr-Latn-ME"/>
        </w:rPr>
        <w:t xml:space="preserve"> </w:t>
      </w:r>
      <w:r w:rsidRPr="00F96844">
        <w:rPr>
          <w:rFonts w:cs="Arial"/>
          <w:i/>
          <w:sz w:val="24"/>
          <w:szCs w:val="24"/>
          <w:lang w:val="sr-Latn-ME"/>
        </w:rPr>
        <w:t>UN</w:t>
      </w:r>
      <w:r w:rsidRPr="00F96844">
        <w:rPr>
          <w:rFonts w:eastAsia="Cambria" w:cs="Arial"/>
          <w:i/>
          <w:iCs/>
          <w:color w:val="000000"/>
          <w:sz w:val="24"/>
          <w:szCs w:val="24"/>
          <w:lang w:val="sr-Latn-ME"/>
        </w:rPr>
        <w:t xml:space="preserve"> o pravi</w:t>
      </w:r>
      <w:r w:rsidRPr="00F96844">
        <w:rPr>
          <w:rFonts w:eastAsia="Cambria" w:cs="Arial"/>
          <w:i/>
          <w:iCs/>
          <w:sz w:val="24"/>
          <w:szCs w:val="24"/>
          <w:lang w:val="sr-Latn-ME"/>
        </w:rPr>
        <w:t>ma djeteta</w:t>
      </w:r>
      <w:r w:rsidRPr="00F96844">
        <w:rPr>
          <w:rFonts w:eastAsia="Cambria" w:cs="Arial"/>
          <w:sz w:val="24"/>
          <w:szCs w:val="24"/>
          <w:lang w:val="sr-Latn-ME"/>
        </w:rPr>
        <w:t xml:space="preserve">, </w:t>
      </w:r>
      <w:r w:rsidRPr="00F96844">
        <w:rPr>
          <w:rFonts w:eastAsia="Cambria" w:cs="Arial"/>
          <w:i/>
          <w:iCs/>
          <w:color w:val="000000"/>
          <w:sz w:val="24"/>
          <w:szCs w:val="24"/>
          <w:lang w:val="sr-Latn-ME"/>
        </w:rPr>
        <w:t xml:space="preserve">Konvencija UN o pravima lica </w:t>
      </w:r>
      <w:r w:rsidR="00867803">
        <w:rPr>
          <w:rFonts w:eastAsia="Cambria" w:cs="Arial"/>
          <w:i/>
          <w:iCs/>
          <w:color w:val="000000"/>
          <w:sz w:val="24"/>
          <w:szCs w:val="24"/>
          <w:lang w:val="sr-Latn-ME"/>
        </w:rPr>
        <w:t>sa</w:t>
      </w:r>
      <w:r w:rsidRPr="00F96844">
        <w:rPr>
          <w:rFonts w:eastAsia="Cambria" w:cs="Arial"/>
          <w:i/>
          <w:iCs/>
          <w:color w:val="000000"/>
          <w:sz w:val="24"/>
          <w:szCs w:val="24"/>
          <w:lang w:val="sr-Latn-ME"/>
        </w:rPr>
        <w:t xml:space="preserve"> invaliditetom</w:t>
      </w:r>
      <w:r w:rsidRPr="00F96844">
        <w:rPr>
          <w:rFonts w:eastAsia="Cambria" w:cs="Arial"/>
          <w:color w:val="000000"/>
          <w:sz w:val="24"/>
          <w:szCs w:val="24"/>
          <w:lang w:val="sr-Latn-ME"/>
        </w:rPr>
        <w:t>,</w:t>
      </w:r>
      <w:r w:rsidRPr="00F96844">
        <w:rPr>
          <w:rFonts w:eastAsia="Times New Roman" w:cs="Arial"/>
          <w:i/>
          <w:iCs/>
          <w:sz w:val="24"/>
          <w:szCs w:val="24"/>
          <w:lang w:val="sr-Latn-ME"/>
        </w:rPr>
        <w:t xml:space="preserve"> Konvencija o sprečavanju i borbi protiv nasilja nad ženama i nasilja u porodici (Istanbulska konvencija)</w:t>
      </w:r>
      <w:r w:rsidRPr="00F96844">
        <w:rPr>
          <w:rFonts w:eastAsia="Times New Roman" w:cs="Arial"/>
          <w:sz w:val="24"/>
          <w:szCs w:val="24"/>
          <w:lang w:val="sr-Latn-ME"/>
        </w:rPr>
        <w:t>,</w:t>
      </w:r>
      <w:r w:rsidR="00E25B9C" w:rsidRPr="00F96844">
        <w:rPr>
          <w:rFonts w:eastAsia="Times New Roman" w:cs="Arial"/>
          <w:sz w:val="24"/>
          <w:szCs w:val="24"/>
          <w:lang w:val="sr-Latn-ME"/>
        </w:rPr>
        <w:t xml:space="preserve"> </w:t>
      </w:r>
      <w:r w:rsidRPr="00F96844">
        <w:rPr>
          <w:rFonts w:eastAsia="Times New Roman" w:cs="Arial"/>
          <w:i/>
          <w:iCs/>
          <w:sz w:val="24"/>
          <w:szCs w:val="24"/>
          <w:lang w:val="sr-Latn-ME"/>
        </w:rPr>
        <w:t>Konvencija o eliminaciji svih oblika diskriminacije žena (CEDAW)</w:t>
      </w:r>
      <w:r w:rsidRPr="00F96844">
        <w:rPr>
          <w:rFonts w:eastAsia="Times New Roman" w:cs="Arial"/>
          <w:sz w:val="24"/>
          <w:szCs w:val="24"/>
          <w:lang w:val="sr-Latn-ME"/>
        </w:rPr>
        <w:t>,</w:t>
      </w:r>
      <w:r w:rsidRPr="00F96844">
        <w:rPr>
          <w:rFonts w:eastAsia="Cambria" w:cs="Arial"/>
          <w:color w:val="000000"/>
          <w:sz w:val="24"/>
          <w:szCs w:val="24"/>
          <w:lang w:val="sr-Latn-ME"/>
        </w:rPr>
        <w:t xml:space="preserve"> </w:t>
      </w:r>
      <w:r w:rsidRPr="00F96844">
        <w:rPr>
          <w:rFonts w:eastAsia="Cambria" w:cs="Arial"/>
          <w:i/>
          <w:iCs/>
          <w:color w:val="000000"/>
          <w:sz w:val="24"/>
          <w:szCs w:val="24"/>
          <w:lang w:val="sr-Latn-ME"/>
        </w:rPr>
        <w:t xml:space="preserve">Revidirana Evropska socijalna povelja </w:t>
      </w:r>
      <w:r w:rsidRPr="00F96844">
        <w:rPr>
          <w:rFonts w:eastAsia="Cambria" w:cs="Arial"/>
          <w:color w:val="000000"/>
          <w:sz w:val="24"/>
          <w:szCs w:val="24"/>
          <w:lang w:val="sr-Latn-ME"/>
        </w:rPr>
        <w:t xml:space="preserve">(ECP, 2006), </w:t>
      </w:r>
      <w:r w:rsidRPr="00F96844">
        <w:rPr>
          <w:rFonts w:cs="Arial"/>
          <w:i/>
          <w:sz w:val="24"/>
          <w:szCs w:val="24"/>
          <w:lang w:val="sr-Latn-ME"/>
        </w:rPr>
        <w:t>Madridski međunarodni plan akcije o starenju i Politička deklaracija</w:t>
      </w:r>
      <w:r w:rsidRPr="00F96844">
        <w:rPr>
          <w:rFonts w:cs="Arial"/>
          <w:sz w:val="24"/>
          <w:szCs w:val="24"/>
          <w:lang w:val="sr-Latn-ME"/>
        </w:rPr>
        <w:t xml:space="preserve"> </w:t>
      </w:r>
      <w:r w:rsidRPr="00F96844">
        <w:rPr>
          <w:rFonts w:cs="Arial"/>
          <w:i/>
          <w:sz w:val="24"/>
          <w:szCs w:val="24"/>
          <w:lang w:val="sr-Latn-ME"/>
        </w:rPr>
        <w:t>o starenju, i dr.</w:t>
      </w:r>
    </w:p>
    <w:p w14:paraId="3D5472D8" w14:textId="77777777" w:rsidR="00FD5566" w:rsidRPr="00F96844" w:rsidRDefault="00FD5566" w:rsidP="00780738">
      <w:pPr>
        <w:jc w:val="both"/>
        <w:rPr>
          <w:rFonts w:cs="Arial"/>
          <w:sz w:val="24"/>
          <w:szCs w:val="24"/>
          <w:lang w:val="sr-Latn-ME"/>
        </w:rPr>
      </w:pPr>
    </w:p>
    <w:p w14:paraId="6BC6AB99" w14:textId="77777777" w:rsidR="00D614D1" w:rsidRPr="00152259" w:rsidRDefault="00D614D1" w:rsidP="00780738">
      <w:pPr>
        <w:jc w:val="both"/>
        <w:rPr>
          <w:rFonts w:eastAsia="Times New Roman" w:cs="Arial"/>
          <w:sz w:val="24"/>
          <w:szCs w:val="24"/>
          <w:lang w:val="sr-Latn-ME"/>
        </w:rPr>
      </w:pPr>
      <w:r w:rsidRPr="00F96844">
        <w:rPr>
          <w:rFonts w:eastAsia="Times New Roman" w:cs="Arial"/>
          <w:i/>
          <w:iCs/>
          <w:sz w:val="24"/>
          <w:szCs w:val="24"/>
          <w:lang w:val="sr-Latn-ME"/>
        </w:rPr>
        <w:t>Komitet UN za prava djeteta</w:t>
      </w:r>
      <w:r w:rsidRPr="00F96844">
        <w:rPr>
          <w:rFonts w:eastAsia="Times New Roman" w:cs="Arial"/>
          <w:sz w:val="24"/>
          <w:szCs w:val="24"/>
          <w:lang w:val="sr-Latn-ME"/>
        </w:rPr>
        <w:t xml:space="preserve"> pozdravio je opredijeljenost Crne Gore da svoje zakonodavstvo uskladi s Konvencijom UN o pravima djeteta. Ipak, Komitet je izrazio i zabrinutost zbog nepostojanja sveobuhvatnog zakona o djeci i nedovoljnih mjera koje su preduzete da bi se obezbijedila efikasna primjena zakona koji se odnose na prava d</w:t>
      </w:r>
      <w:r w:rsidR="00C25715">
        <w:rPr>
          <w:rFonts w:eastAsia="Times New Roman" w:cs="Arial"/>
          <w:sz w:val="24"/>
          <w:szCs w:val="24"/>
          <w:lang w:val="sr-Latn-ME"/>
        </w:rPr>
        <w:t>j</w:t>
      </w:r>
      <w:r w:rsidRPr="00F96844">
        <w:rPr>
          <w:rFonts w:eastAsia="Times New Roman" w:cs="Arial"/>
          <w:sz w:val="24"/>
          <w:szCs w:val="24"/>
          <w:lang w:val="sr-Latn-ME"/>
        </w:rPr>
        <w:t xml:space="preserve">eteta, uključujući izdvajanje dovoljnih resursa i redovnu procjenu relevantnih podzakonskih akata. </w:t>
      </w:r>
      <w:r w:rsidR="00183312" w:rsidRPr="00183312">
        <w:rPr>
          <w:rFonts w:eastAsia="Times New Roman" w:cs="Arial"/>
          <w:sz w:val="24"/>
          <w:szCs w:val="24"/>
          <w:lang w:val="sr-Latn-ME"/>
        </w:rPr>
        <w:t>Komitet UN za prava djeteta ističe da finansijsko i materijalno siromaštvo nikada ne bi trebalo da budu jedino opravdanje za izdvajanje djeteta iz roditeljskog doma, za smještaj djeteta u alternativno staranje ili za sprečavanje društvene reintegracije djeteta.</w:t>
      </w:r>
      <w:r w:rsidR="00183312">
        <w:rPr>
          <w:rFonts w:eastAsia="Times New Roman" w:cs="Arial"/>
          <w:sz w:val="24"/>
          <w:szCs w:val="24"/>
          <w:lang w:val="sr-Latn-ME"/>
        </w:rPr>
        <w:t xml:space="preserve"> </w:t>
      </w:r>
      <w:r w:rsidRPr="00F96844">
        <w:rPr>
          <w:rFonts w:eastAsia="Times New Roman" w:cs="Arial"/>
          <w:sz w:val="24"/>
          <w:szCs w:val="24"/>
          <w:lang w:val="sr-Latn-ME"/>
        </w:rPr>
        <w:t>Komitet je pozvao Crnu Goru da garantuje dovoljna izdvajanja iz budžeta u svim oblastima, posebno onima koje se odnose na zdravstvo, obrazovanje i d</w:t>
      </w:r>
      <w:r w:rsidR="00EB2F1D">
        <w:rPr>
          <w:rFonts w:eastAsia="Times New Roman" w:cs="Arial"/>
          <w:sz w:val="24"/>
          <w:szCs w:val="24"/>
          <w:lang w:val="sr-Latn-ME"/>
        </w:rPr>
        <w:t>ječj</w:t>
      </w:r>
      <w:r w:rsidRPr="00F96844">
        <w:rPr>
          <w:rFonts w:eastAsia="Times New Roman" w:cs="Arial"/>
          <w:sz w:val="24"/>
          <w:szCs w:val="24"/>
          <w:lang w:val="sr-Latn-ME"/>
        </w:rPr>
        <w:t xml:space="preserve">u zaštitu i definiše budžetske linije za </w:t>
      </w:r>
      <w:r w:rsidRPr="00152259">
        <w:rPr>
          <w:rFonts w:eastAsia="Times New Roman" w:cs="Arial"/>
          <w:sz w:val="24"/>
          <w:szCs w:val="24"/>
          <w:lang w:val="sr-Latn-ME"/>
        </w:rPr>
        <w:t>djecu u nepovoljnom ili ugroženom položaju, uključujući romsku</w:t>
      </w:r>
      <w:r w:rsidR="00D416D5" w:rsidRPr="00152259">
        <w:rPr>
          <w:rFonts w:eastAsia="Times New Roman" w:cs="Arial"/>
          <w:sz w:val="24"/>
          <w:szCs w:val="24"/>
          <w:lang w:val="sr-Latn-ME"/>
        </w:rPr>
        <w:t xml:space="preserve"> </w:t>
      </w:r>
      <w:r w:rsidRPr="00152259">
        <w:rPr>
          <w:rFonts w:eastAsia="Times New Roman" w:cs="Arial"/>
          <w:sz w:val="24"/>
          <w:szCs w:val="24"/>
          <w:lang w:val="sr-Latn-ME"/>
        </w:rPr>
        <w:t xml:space="preserve">i egipćansku djecu i djecu sa smetnjama i teškoćama u razvoju. </w:t>
      </w:r>
    </w:p>
    <w:p w14:paraId="3FB1F256" w14:textId="77777777" w:rsidR="00FD5566" w:rsidRPr="00152259" w:rsidRDefault="00FD5566" w:rsidP="005114FD">
      <w:pPr>
        <w:jc w:val="both"/>
        <w:rPr>
          <w:rFonts w:eastAsia="Times New Roman" w:cs="Arial"/>
          <w:sz w:val="24"/>
          <w:szCs w:val="24"/>
          <w:lang w:val="sr-Latn-ME"/>
        </w:rPr>
      </w:pPr>
    </w:p>
    <w:p w14:paraId="28AA9A7F" w14:textId="77777777" w:rsidR="00D614D1" w:rsidRPr="00152259" w:rsidRDefault="00D614D1" w:rsidP="00780738">
      <w:pPr>
        <w:jc w:val="both"/>
        <w:rPr>
          <w:rFonts w:eastAsia="Times New Roman" w:cs="Arial"/>
          <w:sz w:val="24"/>
          <w:szCs w:val="24"/>
          <w:lang w:val="sr-Latn-ME"/>
        </w:rPr>
      </w:pPr>
      <w:r w:rsidRPr="00152259">
        <w:rPr>
          <w:rFonts w:eastAsia="Times New Roman" w:cs="Arial"/>
          <w:i/>
          <w:sz w:val="24"/>
          <w:szCs w:val="24"/>
          <w:lang w:val="sr-Latn-ME"/>
        </w:rPr>
        <w:t>Komitet UN za prava lica s invaliditetom</w:t>
      </w:r>
      <w:r w:rsidRPr="00152259">
        <w:rPr>
          <w:rFonts w:eastAsia="Times New Roman" w:cs="Arial"/>
          <w:sz w:val="24"/>
          <w:szCs w:val="24"/>
          <w:lang w:val="sr-Latn-ME"/>
        </w:rPr>
        <w:t>,</w:t>
      </w:r>
      <w:r w:rsidR="00E25B9C" w:rsidRPr="00152259">
        <w:rPr>
          <w:rFonts w:eastAsia="Times New Roman" w:cs="Arial"/>
          <w:sz w:val="24"/>
          <w:szCs w:val="24"/>
          <w:vertAlign w:val="superscript"/>
          <w:lang w:val="sr-Latn-ME"/>
        </w:rPr>
        <w:t xml:space="preserve"> </w:t>
      </w:r>
      <w:r w:rsidRPr="00152259">
        <w:rPr>
          <w:rFonts w:eastAsia="Times New Roman" w:cs="Arial"/>
          <w:sz w:val="24"/>
          <w:szCs w:val="24"/>
          <w:lang w:val="sr-Latn-ME"/>
        </w:rPr>
        <w:t xml:space="preserve">u okviru Zaključnih </w:t>
      </w:r>
      <w:r w:rsidR="005A74EF" w:rsidRPr="00152259">
        <w:rPr>
          <w:rFonts w:eastAsia="Times New Roman" w:cs="Arial"/>
          <w:sz w:val="24"/>
          <w:szCs w:val="24"/>
          <w:lang w:val="sr-Latn-ME"/>
        </w:rPr>
        <w:t>razmatranja</w:t>
      </w:r>
      <w:r w:rsidRPr="00152259">
        <w:rPr>
          <w:rFonts w:eastAsia="Times New Roman" w:cs="Arial"/>
          <w:sz w:val="24"/>
          <w:szCs w:val="24"/>
          <w:lang w:val="sr-Latn-ME"/>
        </w:rPr>
        <w:t xml:space="preserve"> </w:t>
      </w:r>
      <w:r w:rsidR="00E93977" w:rsidRPr="00152259">
        <w:rPr>
          <w:rFonts w:eastAsia="Times New Roman" w:cs="Arial"/>
          <w:sz w:val="24"/>
          <w:szCs w:val="24"/>
          <w:lang w:val="sr-Latn-ME"/>
        </w:rPr>
        <w:t xml:space="preserve">o </w:t>
      </w:r>
      <w:r w:rsidRPr="00152259">
        <w:rPr>
          <w:rFonts w:eastAsia="Times New Roman" w:cs="Arial"/>
          <w:sz w:val="24"/>
          <w:szCs w:val="24"/>
          <w:lang w:val="sr-Latn-ME"/>
        </w:rPr>
        <w:t>Crnoj Gori je evidentirao da je potreban napredak u vezi s donošenjem zakona koji će biti u saglasnosti s Konvencijom i potrebi zamjene trenutnog medicinskog modela invaliditeta</w:t>
      </w:r>
      <w:r w:rsidR="004C5D23">
        <w:rPr>
          <w:rFonts w:eastAsia="Times New Roman" w:cs="Arial"/>
          <w:sz w:val="24"/>
          <w:szCs w:val="24"/>
          <w:lang w:val="sr-Latn-ME"/>
        </w:rPr>
        <w:t xml:space="preserve"> s p</w:t>
      </w:r>
      <w:r w:rsidRPr="00152259">
        <w:rPr>
          <w:rFonts w:eastAsia="Times New Roman" w:cs="Arial"/>
          <w:sz w:val="24"/>
          <w:szCs w:val="24"/>
          <w:lang w:val="sr-Latn-ME"/>
        </w:rPr>
        <w:t xml:space="preserve">ristupom zasnovanim na ljudskim pravima. Evidentiran je problem kontinuirane diskriminacije i nasilja nad ženama i djevojčicama s invaliditetom i uglavnom nedovoljnim mjerama prevencije i obeštećenja. Neophodno je i uključivanje žena s invaliditetom u svim fazama razvoja mjera i procesa donošenja propisa i strateških dokumenata kojima se uređuju prava i položaj žena, jačanje mjera zaštite žena i djevojčica s invaliditetom od svih oblika diskriminacije i nasilja u različitim okruženjima i stvaranje sigurne, osnažujuće sredine za njih. Pored navedenog, potrebno je pojačati napore i obezbijediti sva </w:t>
      </w:r>
      <w:r w:rsidR="008D50CD" w:rsidRPr="00152259">
        <w:rPr>
          <w:rFonts w:eastAsia="Times New Roman" w:cs="Arial"/>
          <w:sz w:val="24"/>
          <w:szCs w:val="24"/>
          <w:lang w:val="sr-Latn-ME"/>
        </w:rPr>
        <w:t xml:space="preserve">neophodna </w:t>
      </w:r>
      <w:r w:rsidRPr="00152259">
        <w:rPr>
          <w:rFonts w:eastAsia="Times New Roman" w:cs="Arial"/>
          <w:sz w:val="24"/>
          <w:szCs w:val="24"/>
          <w:lang w:val="sr-Latn-ME"/>
        </w:rPr>
        <w:t>sredstva za eliminaciju diskriminacije i isključivanja djece sa smetnjama i teškoćama u razvoju,</w:t>
      </w:r>
      <w:r w:rsidR="004C5D23">
        <w:rPr>
          <w:rFonts w:eastAsia="Times New Roman" w:cs="Arial"/>
          <w:sz w:val="24"/>
          <w:szCs w:val="24"/>
          <w:lang w:val="sr-Latn-ME"/>
        </w:rPr>
        <w:t xml:space="preserve"> s p</w:t>
      </w:r>
      <w:r w:rsidRPr="00152259">
        <w:rPr>
          <w:rFonts w:eastAsia="Times New Roman" w:cs="Arial"/>
          <w:sz w:val="24"/>
          <w:szCs w:val="24"/>
          <w:lang w:val="sr-Latn-ME"/>
        </w:rPr>
        <w:t>osebnim akcentom na djecu koja su u riziku od intersekcijske diskriminacije.</w:t>
      </w:r>
    </w:p>
    <w:p w14:paraId="33F5B807" w14:textId="77777777" w:rsidR="005A74EF" w:rsidRPr="00152259" w:rsidRDefault="005A74EF" w:rsidP="00780738">
      <w:pPr>
        <w:jc w:val="both"/>
        <w:rPr>
          <w:rFonts w:eastAsia="Times New Roman" w:cs="Arial"/>
          <w:sz w:val="24"/>
          <w:szCs w:val="24"/>
          <w:lang w:val="sr-Latn-ME"/>
        </w:rPr>
      </w:pPr>
    </w:p>
    <w:p w14:paraId="74A1BFBA" w14:textId="77777777" w:rsidR="005A74EF" w:rsidRPr="00F96844" w:rsidRDefault="005A74EF" w:rsidP="00780738">
      <w:pPr>
        <w:jc w:val="both"/>
        <w:rPr>
          <w:rFonts w:eastAsia="Times New Roman" w:cs="Arial"/>
          <w:sz w:val="24"/>
          <w:szCs w:val="24"/>
          <w:lang w:val="sr-Latn-ME"/>
        </w:rPr>
      </w:pPr>
      <w:r w:rsidRPr="00152259">
        <w:rPr>
          <w:rFonts w:eastAsia="Times New Roman" w:cs="Arial"/>
          <w:sz w:val="24"/>
          <w:szCs w:val="24"/>
          <w:lang w:val="sr-Latn-ME"/>
        </w:rPr>
        <w:t xml:space="preserve">Komitet je takođe istakao svoju zabrinutost zbog toga što Crna Gora nastavlja „Dodeljivanje sredstava za stvaranje manjih, iako i dalje segregiranih postavki, koji čine </w:t>
      </w:r>
      <w:r w:rsidRPr="00B6364D">
        <w:rPr>
          <w:rFonts w:eastAsia="Times New Roman" w:cs="Arial"/>
          <w:i/>
          <w:iCs/>
          <w:sz w:val="24"/>
          <w:szCs w:val="24"/>
          <w:lang w:val="sr-Latn-ME"/>
        </w:rPr>
        <w:t>de facto</w:t>
      </w:r>
      <w:r w:rsidRPr="00152259">
        <w:rPr>
          <w:rFonts w:eastAsia="Times New Roman" w:cs="Arial"/>
          <w:sz w:val="24"/>
          <w:szCs w:val="24"/>
          <w:lang w:val="sr-Latn-ME"/>
        </w:rPr>
        <w:t xml:space="preserve"> institucije, umjesto izdvajanja finansijskih sredstava za njegu zasnovanu na zajednici” (paragraf 36.c Zaključnih razmatranja). Komitet takođe preporučuje Crnoj Gori da „</w:t>
      </w:r>
      <w:r w:rsidR="004D5AD5">
        <w:rPr>
          <w:rFonts w:eastAsia="Times New Roman" w:cs="Arial"/>
          <w:sz w:val="24"/>
          <w:szCs w:val="24"/>
          <w:lang w:val="sr-Latn-ME"/>
        </w:rPr>
        <w:t>s</w:t>
      </w:r>
      <w:r w:rsidRPr="00152259">
        <w:rPr>
          <w:rFonts w:eastAsia="Times New Roman" w:cs="Arial"/>
          <w:sz w:val="24"/>
          <w:szCs w:val="24"/>
          <w:lang w:val="sr-Latn-ME"/>
        </w:rPr>
        <w:t xml:space="preserve">e obaveže da ne izgrađuje nove institucije ili druge oblike segregiranog okruženja i umjesto toga pruža širok spektar usluga zasnovanih na zajednici, uključujući i na lokalnom nivou, koji odgovaraju potrebama osoba </w:t>
      </w:r>
      <w:r w:rsidR="00867803">
        <w:rPr>
          <w:rFonts w:eastAsia="Times New Roman" w:cs="Arial"/>
          <w:sz w:val="24"/>
          <w:szCs w:val="24"/>
          <w:lang w:val="sr-Latn-ME"/>
        </w:rPr>
        <w:t>sa</w:t>
      </w:r>
      <w:r w:rsidRPr="00152259">
        <w:rPr>
          <w:rFonts w:eastAsia="Times New Roman" w:cs="Arial"/>
          <w:sz w:val="24"/>
          <w:szCs w:val="24"/>
          <w:lang w:val="sr-Latn-ME"/>
        </w:rPr>
        <w:t xml:space="preserve"> invaliditetom i poštuje autonomiju osobe, izbore, dostojanstvo i privatnost i koji uključuju vršnjačku podršku i druge alternative medicinskom modelu mentalnog zdravlja” (paragraf 37.a) i „redovno vrši monitoring troškova života osoba </w:t>
      </w:r>
      <w:r w:rsidR="00867803">
        <w:rPr>
          <w:rFonts w:eastAsia="Times New Roman" w:cs="Arial"/>
          <w:sz w:val="24"/>
          <w:szCs w:val="24"/>
          <w:lang w:val="sr-Latn-ME"/>
        </w:rPr>
        <w:t>s</w:t>
      </w:r>
      <w:r w:rsidRPr="00152259">
        <w:rPr>
          <w:rFonts w:eastAsia="Times New Roman" w:cs="Arial"/>
          <w:sz w:val="24"/>
          <w:szCs w:val="24"/>
          <w:lang w:val="sr-Latn-ME"/>
        </w:rPr>
        <w:t xml:space="preserve"> invaliditetom i, shodno tome, prilagođava naknade za invalidnost”</w:t>
      </w:r>
      <w:r w:rsidR="004D5AD5">
        <w:rPr>
          <w:rFonts w:eastAsia="Times New Roman" w:cs="Arial"/>
          <w:sz w:val="24"/>
          <w:szCs w:val="24"/>
          <w:lang w:val="sr-Latn-ME"/>
        </w:rPr>
        <w:t xml:space="preserve"> </w:t>
      </w:r>
      <w:r w:rsidRPr="00152259">
        <w:rPr>
          <w:rFonts w:eastAsia="Times New Roman" w:cs="Arial"/>
          <w:sz w:val="24"/>
          <w:szCs w:val="24"/>
          <w:lang w:val="sr-Latn-ME"/>
        </w:rPr>
        <w:t xml:space="preserve">(paragraf 52), kao i da „Obezbijedi učešće osoba </w:t>
      </w:r>
      <w:r w:rsidR="00867803">
        <w:rPr>
          <w:rFonts w:eastAsia="Times New Roman" w:cs="Arial"/>
          <w:sz w:val="24"/>
          <w:szCs w:val="24"/>
          <w:lang w:val="sr-Latn-ME"/>
        </w:rPr>
        <w:t>sa</w:t>
      </w:r>
      <w:r w:rsidRPr="00152259">
        <w:rPr>
          <w:rFonts w:eastAsia="Times New Roman" w:cs="Arial"/>
          <w:sz w:val="24"/>
          <w:szCs w:val="24"/>
          <w:lang w:val="sr-Latn-ME"/>
        </w:rPr>
        <w:t xml:space="preserve"> invaliditetom i njihovih reprezentativnih organizacija u svim fazama razvoja nezavisnih strategija života i šema” (paragraf 37.c).</w:t>
      </w:r>
    </w:p>
    <w:p w14:paraId="7C4544F1" w14:textId="77777777" w:rsidR="00FD5566" w:rsidRPr="00F96844" w:rsidRDefault="00FD5566" w:rsidP="00780738">
      <w:pPr>
        <w:jc w:val="both"/>
        <w:rPr>
          <w:rFonts w:eastAsia="Times New Roman" w:cs="Arial"/>
          <w:sz w:val="24"/>
          <w:szCs w:val="24"/>
          <w:lang w:val="sr-Latn-ME"/>
        </w:rPr>
      </w:pPr>
    </w:p>
    <w:p w14:paraId="0872D3DB" w14:textId="77777777" w:rsidR="00D614D1" w:rsidRPr="00F96844" w:rsidRDefault="00D614D1"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 xml:space="preserve">Crna Gora je posvećena </w:t>
      </w:r>
      <w:r w:rsidRPr="00F96844">
        <w:rPr>
          <w:rFonts w:eastAsia="Times New Roman" w:cs="Arial"/>
          <w:color w:val="000000" w:themeColor="text1"/>
          <w:sz w:val="24"/>
          <w:szCs w:val="24"/>
          <w:lang w:val="sr-Latn-ME"/>
        </w:rPr>
        <w:t>iskorjenjivanju</w:t>
      </w:r>
      <w:r w:rsidRPr="00F96844">
        <w:rPr>
          <w:rFonts w:eastAsia="Times New Roman" w:cs="Arial"/>
          <w:bCs/>
          <w:color w:val="000000" w:themeColor="text1"/>
          <w:sz w:val="24"/>
          <w:szCs w:val="24"/>
          <w:lang w:val="sr-Latn-ME"/>
        </w:rPr>
        <w:t xml:space="preserve"> nasilja nad ženama. Ratifikovala je </w:t>
      </w:r>
      <w:r w:rsidRPr="00F96844">
        <w:rPr>
          <w:rFonts w:eastAsia="Times New Roman" w:cs="Arial"/>
          <w:bCs/>
          <w:i/>
          <w:iCs/>
          <w:color w:val="000000" w:themeColor="text1"/>
          <w:sz w:val="24"/>
          <w:szCs w:val="24"/>
          <w:lang w:val="sr-Latn-ME"/>
        </w:rPr>
        <w:t>Konvenciju Savjeta Evrope o sprečavanju i borbi protiv nasilja nad ženama i nasilja u porodici</w:t>
      </w:r>
      <w:r w:rsidRPr="00F96844">
        <w:rPr>
          <w:rFonts w:eastAsia="Times New Roman" w:cs="Arial"/>
          <w:bCs/>
          <w:color w:val="000000" w:themeColor="text1"/>
          <w:sz w:val="24"/>
          <w:szCs w:val="24"/>
          <w:lang w:val="sr-Latn-ME"/>
        </w:rPr>
        <w:t xml:space="preserve"> (Istanbulska konvencija). I Krivični zakonik i Zakon o </w:t>
      </w:r>
      <w:r w:rsidR="00D56CAA">
        <w:rPr>
          <w:rFonts w:eastAsia="Times New Roman" w:cs="Arial"/>
          <w:bCs/>
          <w:color w:val="000000" w:themeColor="text1"/>
          <w:sz w:val="24"/>
          <w:szCs w:val="24"/>
          <w:lang w:val="sr-Latn-ME"/>
        </w:rPr>
        <w:t xml:space="preserve">zaštiti od </w:t>
      </w:r>
      <w:r w:rsidRPr="00F96844">
        <w:rPr>
          <w:rFonts w:eastAsia="Times New Roman" w:cs="Arial"/>
          <w:bCs/>
          <w:color w:val="000000" w:themeColor="text1"/>
          <w:sz w:val="24"/>
          <w:szCs w:val="24"/>
          <w:lang w:val="sr-Latn-ME"/>
        </w:rPr>
        <w:t>nasilja u porodici podržavaju sprovođenje članova 33</w:t>
      </w:r>
      <w:r w:rsidR="004D5AD5" w:rsidRPr="004D5AD5">
        <w:rPr>
          <w:rFonts w:eastAsia="Times New Roman" w:cs="Arial"/>
          <w:b/>
          <w:bCs/>
          <w:i/>
          <w:color w:val="000000" w:themeColor="text1"/>
          <w:sz w:val="24"/>
          <w:szCs w:val="24"/>
          <w:lang w:val="sr-Latn-ME"/>
        </w:rPr>
        <w:t>‒</w:t>
      </w:r>
      <w:r w:rsidRPr="00F96844">
        <w:rPr>
          <w:rFonts w:eastAsia="Times New Roman" w:cs="Arial"/>
          <w:bCs/>
          <w:color w:val="000000" w:themeColor="text1"/>
          <w:sz w:val="24"/>
          <w:szCs w:val="24"/>
          <w:lang w:val="sr-Latn-ME"/>
        </w:rPr>
        <w:t>40 Istanbulske konvencije. NSOR 2030 za Crnu Goru kao cilj prepoznaje eliminaciju svih oblika nasilja nad ženama i djevojčicama u privatnoj i javnoj sferi, uključujući trgovinu ljudima i seksualnu eksploataciju.</w:t>
      </w:r>
    </w:p>
    <w:p w14:paraId="3836273D" w14:textId="77777777" w:rsidR="008B2569" w:rsidRPr="00F96844" w:rsidRDefault="008B2569" w:rsidP="00780738">
      <w:pPr>
        <w:jc w:val="both"/>
        <w:rPr>
          <w:rFonts w:eastAsia="Times New Roman" w:cs="Arial"/>
          <w:bCs/>
          <w:color w:val="000000" w:themeColor="text1"/>
          <w:sz w:val="24"/>
          <w:szCs w:val="24"/>
          <w:lang w:val="sr-Latn-ME"/>
        </w:rPr>
      </w:pPr>
    </w:p>
    <w:p w14:paraId="108C2F39" w14:textId="77777777" w:rsidR="008B2569" w:rsidRPr="008E0C08" w:rsidRDefault="008B2569" w:rsidP="00780738">
      <w:pPr>
        <w:jc w:val="both"/>
        <w:rPr>
          <w:rFonts w:eastAsia="Times New Roman" w:cs="Arial"/>
          <w:b/>
          <w:color w:val="000000" w:themeColor="text1"/>
          <w:sz w:val="24"/>
          <w:szCs w:val="24"/>
          <w:lang w:val="sr-Latn-ME"/>
        </w:rPr>
      </w:pPr>
      <w:r w:rsidRPr="008E0C08">
        <w:rPr>
          <w:rFonts w:eastAsia="Times New Roman" w:cs="Arial"/>
          <w:b/>
          <w:color w:val="000000" w:themeColor="text1"/>
          <w:sz w:val="24"/>
          <w:szCs w:val="24"/>
          <w:lang w:val="sr-Latn-ME"/>
        </w:rPr>
        <w:t>UN Ciljevi održivog razvoja do 2030. godine</w:t>
      </w:r>
      <w:r w:rsidR="00A74A21" w:rsidRPr="008E0C08">
        <w:rPr>
          <w:rStyle w:val="FootnoteReference"/>
          <w:rFonts w:eastAsia="Times New Roman" w:cs="Arial"/>
          <w:b/>
          <w:color w:val="000000" w:themeColor="text1"/>
          <w:sz w:val="24"/>
          <w:szCs w:val="24"/>
          <w:lang w:val="sr-Latn-ME"/>
        </w:rPr>
        <w:footnoteReference w:id="34"/>
      </w:r>
    </w:p>
    <w:p w14:paraId="6CFC4BEF" w14:textId="77777777" w:rsidR="008B2569" w:rsidRPr="00F96844" w:rsidRDefault="008B2569" w:rsidP="00780738">
      <w:pPr>
        <w:jc w:val="both"/>
        <w:rPr>
          <w:rFonts w:eastAsia="Times New Roman" w:cs="Arial"/>
          <w:bCs/>
          <w:color w:val="000000" w:themeColor="text1"/>
          <w:sz w:val="24"/>
          <w:szCs w:val="24"/>
          <w:lang w:val="sr-Latn-ME"/>
        </w:rPr>
      </w:pPr>
    </w:p>
    <w:p w14:paraId="25FA12CD" w14:textId="77777777" w:rsidR="008B2569" w:rsidRPr="008046B8" w:rsidRDefault="008B2569" w:rsidP="00780738">
      <w:pPr>
        <w:suppressAutoHyphens/>
        <w:spacing w:after="120"/>
        <w:jc w:val="both"/>
        <w:rPr>
          <w:rFonts w:eastAsia="Times New Roman" w:cs="Arial"/>
          <w:sz w:val="24"/>
          <w:szCs w:val="24"/>
          <w:lang w:val="sr-Latn-ME"/>
        </w:rPr>
      </w:pPr>
      <w:r w:rsidRPr="008046B8">
        <w:rPr>
          <w:rFonts w:eastAsia="Times New Roman" w:cs="Arial"/>
          <w:sz w:val="24"/>
          <w:szCs w:val="24"/>
          <w:lang w:val="sr-Latn-ME"/>
        </w:rPr>
        <w:t>Ciljevi održivog razvoja, predstavljaju univerzalni poziv na djelovanje radi iskor</w:t>
      </w:r>
      <w:r w:rsidR="00685D62">
        <w:rPr>
          <w:rFonts w:eastAsia="Times New Roman" w:cs="Arial"/>
          <w:sz w:val="24"/>
          <w:szCs w:val="24"/>
          <w:lang w:val="sr-Latn-ME"/>
        </w:rPr>
        <w:t>j</w:t>
      </w:r>
      <w:r w:rsidRPr="008046B8">
        <w:rPr>
          <w:rFonts w:eastAsia="Times New Roman" w:cs="Arial"/>
          <w:sz w:val="24"/>
          <w:szCs w:val="24"/>
          <w:lang w:val="sr-Latn-ME"/>
        </w:rPr>
        <w:t>enjivanja siromaštva, zaštite životne sredine i obezb</w:t>
      </w:r>
      <w:r w:rsidR="004D5AD5">
        <w:rPr>
          <w:rFonts w:eastAsia="Times New Roman" w:cs="Arial"/>
          <w:sz w:val="24"/>
          <w:szCs w:val="24"/>
          <w:lang w:val="sr-Latn-ME"/>
        </w:rPr>
        <w:t>j</w:t>
      </w:r>
      <w:r w:rsidRPr="008046B8">
        <w:rPr>
          <w:rFonts w:eastAsia="Times New Roman" w:cs="Arial"/>
          <w:sz w:val="24"/>
          <w:szCs w:val="24"/>
          <w:lang w:val="sr-Latn-ME"/>
        </w:rPr>
        <w:t xml:space="preserve">eđivanja mira i prosperiteta za sve. U oblasti socijalne i dječje zaštite potrebno je ukazati na </w:t>
      </w:r>
      <w:r w:rsidR="009F661D">
        <w:rPr>
          <w:rFonts w:eastAsia="Times New Roman" w:cs="Arial"/>
          <w:sz w:val="24"/>
          <w:szCs w:val="24"/>
          <w:lang w:val="sr-Latn-ME"/>
        </w:rPr>
        <w:t>sljed</w:t>
      </w:r>
      <w:r w:rsidRPr="008046B8">
        <w:rPr>
          <w:rFonts w:eastAsia="Times New Roman" w:cs="Arial"/>
          <w:sz w:val="24"/>
          <w:szCs w:val="24"/>
          <w:lang w:val="sr-Latn-ME"/>
        </w:rPr>
        <w:t>eće ciljeve na čijem ostvarenju Crna Gora inte</w:t>
      </w:r>
      <w:r w:rsidR="00685D62">
        <w:rPr>
          <w:rFonts w:eastAsia="Times New Roman" w:cs="Arial"/>
          <w:sz w:val="24"/>
          <w:szCs w:val="24"/>
          <w:lang w:val="sr-Latn-ME"/>
        </w:rPr>
        <w:t>n</w:t>
      </w:r>
      <w:r w:rsidRPr="008046B8">
        <w:rPr>
          <w:rFonts w:eastAsia="Times New Roman" w:cs="Arial"/>
          <w:sz w:val="24"/>
          <w:szCs w:val="24"/>
          <w:lang w:val="sr-Latn-ME"/>
        </w:rPr>
        <w:t>zivno</w:t>
      </w:r>
      <w:r w:rsidR="003658EC" w:rsidRPr="008046B8">
        <w:rPr>
          <w:rFonts w:eastAsia="Times New Roman" w:cs="Arial"/>
          <w:sz w:val="24"/>
          <w:szCs w:val="24"/>
          <w:lang w:val="sr-Latn-ME"/>
        </w:rPr>
        <w:t xml:space="preserve"> djeluje</w:t>
      </w:r>
      <w:r w:rsidRPr="008046B8">
        <w:rPr>
          <w:rFonts w:eastAsia="Times New Roman" w:cs="Arial"/>
          <w:sz w:val="24"/>
          <w:szCs w:val="24"/>
          <w:lang w:val="sr-Latn-ME"/>
        </w:rPr>
        <w:t>:</w:t>
      </w:r>
    </w:p>
    <w:p w14:paraId="05B0096F" w14:textId="77777777" w:rsidR="008B2569" w:rsidRPr="00F96844" w:rsidRDefault="008B2569"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Cilj 1. Svijet bez siromaštva</w:t>
      </w:r>
    </w:p>
    <w:p w14:paraId="4D669B53" w14:textId="77777777" w:rsidR="008B2569" w:rsidRPr="00F96844" w:rsidRDefault="00A74A21" w:rsidP="00780738">
      <w:pPr>
        <w:pStyle w:val="ListParagraph"/>
        <w:numPr>
          <w:ilvl w:val="0"/>
          <w:numId w:val="6"/>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Uspostaviti nacionalno odgovarajuće sisteme i mjere socijalne zaštite za sve i do 2030. godine postići značajnu pokrivenost siromašnih i ugroženih</w:t>
      </w:r>
      <w:r w:rsidR="00405F46">
        <w:rPr>
          <w:rFonts w:eastAsia="Times New Roman" w:cs="Arial"/>
          <w:bCs/>
          <w:color w:val="000000" w:themeColor="text1"/>
          <w:sz w:val="24"/>
          <w:szCs w:val="24"/>
          <w:lang w:val="sr-Latn-ME"/>
        </w:rPr>
        <w:t>;</w:t>
      </w:r>
    </w:p>
    <w:p w14:paraId="74619B3D" w14:textId="77777777" w:rsidR="00A74A21" w:rsidRPr="00F96844" w:rsidRDefault="00A74A21" w:rsidP="00780738">
      <w:pPr>
        <w:pStyle w:val="ListParagraph"/>
        <w:jc w:val="both"/>
        <w:rPr>
          <w:rFonts w:eastAsia="Times New Roman" w:cs="Arial"/>
          <w:bCs/>
          <w:color w:val="000000" w:themeColor="text1"/>
          <w:sz w:val="24"/>
          <w:szCs w:val="24"/>
          <w:lang w:val="sr-Latn-ME"/>
        </w:rPr>
      </w:pPr>
    </w:p>
    <w:p w14:paraId="5F8D5610" w14:textId="77777777" w:rsidR="008B2569" w:rsidRPr="00F96844" w:rsidRDefault="008B2569"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Cilj 5. Rodna ravnopravnost</w:t>
      </w:r>
    </w:p>
    <w:p w14:paraId="4C2B9B06" w14:textId="77777777"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Prekinuti sve oblike diskriminacije svih žena i djevojaka svuda</w:t>
      </w:r>
      <w:r w:rsidR="00405F46">
        <w:rPr>
          <w:rFonts w:eastAsia="Times New Roman" w:cs="Arial"/>
          <w:bCs/>
          <w:color w:val="000000" w:themeColor="text1"/>
          <w:sz w:val="24"/>
          <w:szCs w:val="24"/>
          <w:lang w:val="sr-Latn-ME"/>
        </w:rPr>
        <w:t>;</w:t>
      </w:r>
    </w:p>
    <w:p w14:paraId="3FE70EA5" w14:textId="77777777"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Eliminisati sve oblike nasilja nad svim ženama i d</w:t>
      </w:r>
      <w:r w:rsidR="00685D62">
        <w:rPr>
          <w:rFonts w:eastAsia="Times New Roman" w:cs="Arial"/>
          <w:bCs/>
          <w:color w:val="000000" w:themeColor="text1"/>
          <w:sz w:val="24"/>
          <w:szCs w:val="24"/>
          <w:lang w:val="sr-Latn-ME"/>
        </w:rPr>
        <w:t>j</w:t>
      </w:r>
      <w:r w:rsidRPr="00F96844">
        <w:rPr>
          <w:rFonts w:eastAsia="Times New Roman" w:cs="Arial"/>
          <w:bCs/>
          <w:color w:val="000000" w:themeColor="text1"/>
          <w:sz w:val="24"/>
          <w:szCs w:val="24"/>
          <w:lang w:val="sr-Latn-ME"/>
        </w:rPr>
        <w:t>evojkama u javnoj i privatnoj sferi, uključujući trgovinu ljudima i seksualne i druge vidove eksploatacije</w:t>
      </w:r>
      <w:r w:rsidR="00405F46">
        <w:rPr>
          <w:rFonts w:eastAsia="Times New Roman" w:cs="Arial"/>
          <w:bCs/>
          <w:color w:val="000000" w:themeColor="text1"/>
          <w:sz w:val="24"/>
          <w:szCs w:val="24"/>
          <w:lang w:val="sr-Latn-ME"/>
        </w:rPr>
        <w:t>;</w:t>
      </w:r>
    </w:p>
    <w:p w14:paraId="1E29A523" w14:textId="77777777"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Eliminisati sve štetne prakse, kao što su dječji, rani i prisilni brakovi i sakaćenje ženskih genitalija</w:t>
      </w:r>
      <w:r w:rsidR="00405F46">
        <w:rPr>
          <w:rFonts w:eastAsia="Times New Roman" w:cs="Arial"/>
          <w:bCs/>
          <w:color w:val="000000" w:themeColor="text1"/>
          <w:sz w:val="24"/>
          <w:szCs w:val="24"/>
          <w:lang w:val="sr-Latn-ME"/>
        </w:rPr>
        <w:t>;</w:t>
      </w:r>
    </w:p>
    <w:p w14:paraId="3EB0F759" w14:textId="77777777"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Prepoznavanj</w:t>
      </w:r>
      <w:r w:rsidR="004D5AD5">
        <w:rPr>
          <w:rFonts w:eastAsia="Times New Roman" w:cs="Arial"/>
          <w:bCs/>
          <w:color w:val="000000" w:themeColor="text1"/>
          <w:sz w:val="24"/>
          <w:szCs w:val="24"/>
          <w:lang w:val="sr-Latn-ME"/>
        </w:rPr>
        <w:t>e</w:t>
      </w:r>
      <w:r w:rsidRPr="00F96844">
        <w:rPr>
          <w:rFonts w:eastAsia="Times New Roman" w:cs="Arial"/>
          <w:bCs/>
          <w:color w:val="000000" w:themeColor="text1"/>
          <w:sz w:val="24"/>
          <w:szCs w:val="24"/>
          <w:lang w:val="sr-Latn-ME"/>
        </w:rPr>
        <w:t xml:space="preserve"> i vrednovanj</w:t>
      </w:r>
      <w:r w:rsidR="004D5AD5">
        <w:rPr>
          <w:rFonts w:eastAsia="Times New Roman" w:cs="Arial"/>
          <w:bCs/>
          <w:color w:val="000000" w:themeColor="text1"/>
          <w:sz w:val="24"/>
          <w:szCs w:val="24"/>
          <w:lang w:val="sr-Latn-ME"/>
        </w:rPr>
        <w:t>e</w:t>
      </w:r>
      <w:r w:rsidRPr="00F96844">
        <w:rPr>
          <w:rFonts w:eastAsia="Times New Roman" w:cs="Arial"/>
          <w:bCs/>
          <w:color w:val="000000" w:themeColor="text1"/>
          <w:sz w:val="24"/>
          <w:szCs w:val="24"/>
          <w:lang w:val="sr-Latn-ME"/>
        </w:rPr>
        <w:t xml:space="preserve"> neplaćene njege i rada u kući kroz pružanje javnih usluga, infrastrukture i politike socijalne zaštite i promocij</w:t>
      </w:r>
      <w:r w:rsidR="004D5AD5">
        <w:rPr>
          <w:rFonts w:eastAsia="Times New Roman" w:cs="Arial"/>
          <w:bCs/>
          <w:color w:val="000000" w:themeColor="text1"/>
          <w:sz w:val="24"/>
          <w:szCs w:val="24"/>
          <w:lang w:val="sr-Latn-ME"/>
        </w:rPr>
        <w:t>a</w:t>
      </w:r>
      <w:r w:rsidRPr="00F96844">
        <w:rPr>
          <w:rFonts w:eastAsia="Times New Roman" w:cs="Arial"/>
          <w:bCs/>
          <w:color w:val="000000" w:themeColor="text1"/>
          <w:sz w:val="24"/>
          <w:szCs w:val="24"/>
          <w:lang w:val="sr-Latn-ME"/>
        </w:rPr>
        <w:t xml:space="preserve"> zajedničke odgovornosti u domaćinstvu i porodici u skladu</w:t>
      </w:r>
      <w:r w:rsidR="00867803">
        <w:rPr>
          <w:rFonts w:eastAsia="Times New Roman" w:cs="Arial"/>
          <w:bCs/>
          <w:color w:val="000000" w:themeColor="text1"/>
          <w:sz w:val="24"/>
          <w:szCs w:val="24"/>
          <w:lang w:val="sr-Latn-ME"/>
        </w:rPr>
        <w:t xml:space="preserve"> s n</w:t>
      </w:r>
      <w:r w:rsidRPr="00F96844">
        <w:rPr>
          <w:rFonts w:eastAsia="Times New Roman" w:cs="Arial"/>
          <w:bCs/>
          <w:color w:val="000000" w:themeColor="text1"/>
          <w:sz w:val="24"/>
          <w:szCs w:val="24"/>
          <w:lang w:val="sr-Latn-ME"/>
        </w:rPr>
        <w:t>acionalnim potrebama</w:t>
      </w:r>
      <w:r w:rsidR="00405F46">
        <w:rPr>
          <w:rFonts w:eastAsia="Times New Roman" w:cs="Arial"/>
          <w:bCs/>
          <w:color w:val="000000" w:themeColor="text1"/>
          <w:sz w:val="24"/>
          <w:szCs w:val="24"/>
          <w:lang w:val="sr-Latn-ME"/>
        </w:rPr>
        <w:t>;</w:t>
      </w:r>
    </w:p>
    <w:p w14:paraId="260DDDB0" w14:textId="77777777" w:rsidR="00A74A21" w:rsidRPr="00F96844" w:rsidRDefault="00A74A21" w:rsidP="00780738">
      <w:pPr>
        <w:jc w:val="both"/>
        <w:rPr>
          <w:rFonts w:eastAsia="Times New Roman" w:cs="Arial"/>
          <w:bCs/>
          <w:color w:val="000000" w:themeColor="text1"/>
          <w:sz w:val="24"/>
          <w:szCs w:val="24"/>
          <w:lang w:val="sr-Latn-ME"/>
        </w:rPr>
      </w:pPr>
    </w:p>
    <w:p w14:paraId="7CFE5FEE" w14:textId="77777777" w:rsidR="008B2569" w:rsidRPr="00F96844" w:rsidRDefault="008B2569"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Cilj 10. Smanjenje nejednakosti</w:t>
      </w:r>
    </w:p>
    <w:p w14:paraId="45B33A1A" w14:textId="77777777" w:rsidR="00A74A21" w:rsidRPr="00F96844" w:rsidRDefault="00A74A21" w:rsidP="00780738">
      <w:pPr>
        <w:pStyle w:val="ListParagraph"/>
        <w:numPr>
          <w:ilvl w:val="0"/>
          <w:numId w:val="14"/>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Do 2030. osnažiti i promovisati socijalno, ekonomsko i političko uključivanje svih, bez obzira na godine, pol, invaliditet, rasu, etničku pripadnost, porijeklo, vjeru ili ekonomski ili drugi status</w:t>
      </w:r>
      <w:r w:rsidR="00405F46">
        <w:rPr>
          <w:rFonts w:eastAsia="Times New Roman" w:cs="Arial"/>
          <w:bCs/>
          <w:color w:val="000000" w:themeColor="text1"/>
          <w:sz w:val="24"/>
          <w:szCs w:val="24"/>
          <w:lang w:val="sr-Latn-ME"/>
        </w:rPr>
        <w:t>;</w:t>
      </w:r>
    </w:p>
    <w:p w14:paraId="07C8CF0A" w14:textId="77777777" w:rsidR="008B2569" w:rsidRPr="00F96844" w:rsidRDefault="00A74A21" w:rsidP="00780738">
      <w:pPr>
        <w:pStyle w:val="ListParagraph"/>
        <w:numPr>
          <w:ilvl w:val="0"/>
          <w:numId w:val="14"/>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Osigurati jednake mogućnosti i smanjiti nejednakosti ishoda, uključujući eliminisanje diskriminatornih zakona, politika i praksi i promovisanje odgovarajućeg zakonodavstva, politika i akcija u tom pogledu</w:t>
      </w:r>
      <w:r w:rsidR="00405F46">
        <w:rPr>
          <w:rFonts w:eastAsia="Times New Roman" w:cs="Arial"/>
          <w:bCs/>
          <w:color w:val="000000" w:themeColor="text1"/>
          <w:sz w:val="24"/>
          <w:szCs w:val="24"/>
          <w:lang w:val="sr-Latn-ME"/>
        </w:rPr>
        <w:t>;</w:t>
      </w:r>
    </w:p>
    <w:p w14:paraId="3DBB7312" w14:textId="77777777" w:rsidR="00FD5566" w:rsidRPr="00F96844" w:rsidRDefault="00FD5566" w:rsidP="00780738">
      <w:pPr>
        <w:jc w:val="both"/>
        <w:rPr>
          <w:rFonts w:eastAsia="Times New Roman" w:cs="Arial"/>
          <w:bCs/>
          <w:color w:val="000000" w:themeColor="text1"/>
          <w:sz w:val="24"/>
          <w:szCs w:val="24"/>
          <w:lang w:val="sr-Latn-ME"/>
        </w:rPr>
      </w:pPr>
    </w:p>
    <w:p w14:paraId="5B3A5B78" w14:textId="77777777" w:rsidR="00D614D1" w:rsidRPr="00F96844" w:rsidRDefault="00D614D1" w:rsidP="00780738">
      <w:pPr>
        <w:jc w:val="both"/>
        <w:rPr>
          <w:rFonts w:eastAsia="Times New Roman" w:cs="Arial"/>
          <w:b/>
          <w:i/>
          <w:iCs/>
          <w:sz w:val="24"/>
          <w:szCs w:val="24"/>
          <w:lang w:val="sr-Latn-ME"/>
        </w:rPr>
      </w:pPr>
      <w:r w:rsidRPr="00F96844">
        <w:rPr>
          <w:rFonts w:eastAsia="Times New Roman" w:cs="Arial"/>
          <w:b/>
          <w:i/>
          <w:iCs/>
          <w:sz w:val="24"/>
          <w:szCs w:val="24"/>
          <w:lang w:val="sr-Latn-ME"/>
        </w:rPr>
        <w:t>Konvencija o eliminaciji svih oblika diskriminacije žena (CEDAW)</w:t>
      </w:r>
    </w:p>
    <w:p w14:paraId="68D3F3F1" w14:textId="77777777" w:rsidR="00A64A0A" w:rsidRPr="00F96844" w:rsidRDefault="00A64A0A" w:rsidP="00780738">
      <w:pPr>
        <w:jc w:val="both"/>
        <w:rPr>
          <w:rFonts w:eastAsia="Times New Roman" w:cs="Arial"/>
          <w:b/>
          <w:sz w:val="24"/>
          <w:szCs w:val="24"/>
          <w:lang w:val="sr-Latn-ME"/>
        </w:rPr>
      </w:pPr>
    </w:p>
    <w:p w14:paraId="26424D3A" w14:textId="77777777" w:rsidR="002858A8" w:rsidRPr="00F96844" w:rsidRDefault="002858A8" w:rsidP="00780738">
      <w:pPr>
        <w:jc w:val="both"/>
        <w:rPr>
          <w:rFonts w:eastAsia="Times New Roman" w:cs="Arial"/>
          <w:sz w:val="24"/>
          <w:szCs w:val="24"/>
          <w:lang w:val="sr-Latn-ME"/>
        </w:rPr>
      </w:pPr>
      <w:r w:rsidRPr="00F96844">
        <w:rPr>
          <w:rFonts w:eastAsia="Times New Roman" w:cs="Arial"/>
          <w:sz w:val="24"/>
          <w:szCs w:val="24"/>
          <w:lang w:val="sr-Latn-ME"/>
        </w:rPr>
        <w:t>Konvencija o eliminisanju svih oblika diskriminacije žena (CEDAW) je međunarodnopravni instrument čijom se ratifikacijom države članice obavezuju da će preduzimanjem odgovarajućih mjera spr</w:t>
      </w:r>
      <w:r w:rsidR="004D5AD5">
        <w:rPr>
          <w:rFonts w:eastAsia="Times New Roman" w:cs="Arial"/>
          <w:sz w:val="24"/>
          <w:szCs w:val="24"/>
          <w:lang w:val="sr-Latn-ME"/>
        </w:rPr>
        <w:t>ij</w:t>
      </w:r>
      <w:r w:rsidRPr="00F96844">
        <w:rPr>
          <w:rFonts w:eastAsia="Times New Roman" w:cs="Arial"/>
          <w:sz w:val="24"/>
          <w:szCs w:val="24"/>
          <w:lang w:val="sr-Latn-ME"/>
        </w:rPr>
        <w:t>ečiti svaki vid neposredne i posredne diskrimi</w:t>
      </w:r>
      <w:r w:rsidR="004D5AD5">
        <w:rPr>
          <w:rFonts w:eastAsia="Times New Roman" w:cs="Arial"/>
          <w:sz w:val="24"/>
          <w:szCs w:val="24"/>
          <w:lang w:val="sr-Latn-ME"/>
        </w:rPr>
        <w:t>n</w:t>
      </w:r>
      <w:r w:rsidRPr="00F96844">
        <w:rPr>
          <w:rFonts w:eastAsia="Times New Roman" w:cs="Arial"/>
          <w:sz w:val="24"/>
          <w:szCs w:val="24"/>
          <w:lang w:val="sr-Latn-ME"/>
        </w:rPr>
        <w:t>acije žena, obezb</w:t>
      </w:r>
      <w:r w:rsidR="004D5AD5">
        <w:rPr>
          <w:rFonts w:eastAsia="Times New Roman" w:cs="Arial"/>
          <w:sz w:val="24"/>
          <w:szCs w:val="24"/>
          <w:lang w:val="sr-Latn-ME"/>
        </w:rPr>
        <w:t>ij</w:t>
      </w:r>
      <w:r w:rsidRPr="00F96844">
        <w:rPr>
          <w:rFonts w:eastAsia="Times New Roman" w:cs="Arial"/>
          <w:sz w:val="24"/>
          <w:szCs w:val="24"/>
          <w:lang w:val="sr-Latn-ME"/>
        </w:rPr>
        <w:t>editi potpuni razvoj i napredak i na taj način garantovati ženama da ravno</w:t>
      </w:r>
      <w:r w:rsidR="004D5AD5">
        <w:rPr>
          <w:rFonts w:eastAsia="Times New Roman" w:cs="Arial"/>
          <w:sz w:val="24"/>
          <w:szCs w:val="24"/>
          <w:lang w:val="sr-Latn-ME"/>
        </w:rPr>
        <w:t>p</w:t>
      </w:r>
      <w:r w:rsidRPr="00F96844">
        <w:rPr>
          <w:rFonts w:eastAsia="Times New Roman" w:cs="Arial"/>
          <w:sz w:val="24"/>
          <w:szCs w:val="24"/>
          <w:lang w:val="sr-Latn-ME"/>
        </w:rPr>
        <w:t>ravno</w:t>
      </w:r>
      <w:r w:rsidR="00867803">
        <w:rPr>
          <w:rFonts w:eastAsia="Times New Roman" w:cs="Arial"/>
          <w:sz w:val="24"/>
          <w:szCs w:val="24"/>
          <w:lang w:val="sr-Latn-ME"/>
        </w:rPr>
        <w:t xml:space="preserve"> s m</w:t>
      </w:r>
      <w:r w:rsidRPr="00F96844">
        <w:rPr>
          <w:rFonts w:eastAsia="Times New Roman" w:cs="Arial"/>
          <w:sz w:val="24"/>
          <w:szCs w:val="24"/>
          <w:lang w:val="sr-Latn-ME"/>
        </w:rPr>
        <w:t>uškarcima ostvaruju i uživaju ljudska prava i osnovne slobode. Konvencija sadrži građa</w:t>
      </w:r>
      <w:r w:rsidR="004D5AD5">
        <w:rPr>
          <w:rFonts w:eastAsia="Times New Roman" w:cs="Arial"/>
          <w:sz w:val="24"/>
          <w:szCs w:val="24"/>
          <w:lang w:val="sr-Latn-ME"/>
        </w:rPr>
        <w:t>n</w:t>
      </w:r>
      <w:r w:rsidRPr="00F96844">
        <w:rPr>
          <w:rFonts w:eastAsia="Times New Roman" w:cs="Arial"/>
          <w:sz w:val="24"/>
          <w:szCs w:val="24"/>
          <w:lang w:val="sr-Latn-ME"/>
        </w:rPr>
        <w:t>ska i politička prava (izborno pravo, jednakost pred zakonom, pravo na državljanstvo), ali i ekonomska, socijalna i kulturna prava (pravo na rad, obrazovanje, zdravstvo, kao i relevantna prava u ekonomskom i socijalnom životu).</w:t>
      </w:r>
      <w:r w:rsidR="004D5AD5">
        <w:rPr>
          <w:rFonts w:eastAsia="Times New Roman" w:cs="Arial"/>
          <w:sz w:val="24"/>
          <w:szCs w:val="24"/>
          <w:lang w:val="sr-Latn-ME"/>
        </w:rPr>
        <w:t xml:space="preserve"> </w:t>
      </w:r>
      <w:r w:rsidRPr="00F96844">
        <w:rPr>
          <w:rFonts w:eastAsia="Times New Roman" w:cs="Arial"/>
          <w:sz w:val="24"/>
          <w:szCs w:val="24"/>
          <w:lang w:val="sr-Latn-ME"/>
        </w:rPr>
        <w:t>Od država potpisnica očekuje se da preduzmu odgovarajuće mjere za eliminaciju diskriminacije nad ženama u socijalnoj, kulturnoj, ekonomskoj, političkoj, građanskoj i drugim oblastima života, nezavisno od toga da li diskriminišuće ophođenje potiče od pojedinaca, institucija ili preduzeća</w:t>
      </w:r>
      <w:r w:rsidR="00017587">
        <w:rPr>
          <w:rFonts w:eastAsia="Times New Roman" w:cs="Arial"/>
          <w:sz w:val="24"/>
          <w:szCs w:val="24"/>
          <w:lang w:val="sr-Latn-ME"/>
        </w:rPr>
        <w:t>.</w:t>
      </w:r>
      <w:r w:rsidR="00FD7ACA" w:rsidRPr="00F96844">
        <w:rPr>
          <w:rStyle w:val="FootnoteReference"/>
          <w:rFonts w:eastAsia="Times New Roman" w:cs="Arial"/>
          <w:sz w:val="24"/>
          <w:szCs w:val="24"/>
          <w:lang w:val="sr-Latn-ME"/>
        </w:rPr>
        <w:footnoteReference w:id="35"/>
      </w:r>
    </w:p>
    <w:p w14:paraId="58997A64" w14:textId="77777777" w:rsidR="00FD5566" w:rsidRPr="00F96844" w:rsidRDefault="00FD5566" w:rsidP="00780738">
      <w:pPr>
        <w:jc w:val="both"/>
        <w:rPr>
          <w:rFonts w:eastAsia="Times New Roman" w:cs="Arial"/>
          <w:sz w:val="24"/>
          <w:szCs w:val="24"/>
          <w:lang w:val="sr-Latn-ME"/>
        </w:rPr>
      </w:pPr>
    </w:p>
    <w:p w14:paraId="12F943BE" w14:textId="77777777" w:rsidR="002858A8" w:rsidRPr="00F96844" w:rsidRDefault="002858A8" w:rsidP="00780738">
      <w:pPr>
        <w:jc w:val="both"/>
        <w:rPr>
          <w:rFonts w:eastAsia="Times New Roman" w:cs="Arial"/>
          <w:sz w:val="24"/>
          <w:szCs w:val="24"/>
          <w:lang w:val="sr-Latn-ME"/>
        </w:rPr>
      </w:pPr>
      <w:r w:rsidRPr="00F96844">
        <w:rPr>
          <w:rFonts w:eastAsia="Times New Roman" w:cs="Arial"/>
          <w:sz w:val="24"/>
          <w:szCs w:val="24"/>
          <w:lang w:val="sr-Latn-ME"/>
        </w:rPr>
        <w:t>Ove mjere uključuju:</w:t>
      </w:r>
      <w:r w:rsidR="00197787" w:rsidRPr="00F96844">
        <w:rPr>
          <w:rFonts w:eastAsia="Times New Roman" w:cs="Arial"/>
          <w:sz w:val="24"/>
          <w:szCs w:val="24"/>
          <w:lang w:val="sr-Latn-ME"/>
        </w:rPr>
        <w:t xml:space="preserve"> </w:t>
      </w:r>
      <w:r w:rsidRPr="00F96844">
        <w:rPr>
          <w:rFonts w:eastAsia="Times New Roman" w:cs="Arial"/>
          <w:sz w:val="24"/>
          <w:szCs w:val="24"/>
          <w:lang w:val="sr-Latn-ME"/>
        </w:rPr>
        <w:t>uvođenje principa jednakosti žena i muškaraca u državne ustave;</w:t>
      </w:r>
      <w:r w:rsidR="00E25B9C" w:rsidRPr="00F96844">
        <w:rPr>
          <w:rFonts w:eastAsia="Times New Roman" w:cs="Arial"/>
          <w:sz w:val="24"/>
          <w:szCs w:val="24"/>
          <w:lang w:val="sr-Latn-ME"/>
        </w:rPr>
        <w:t xml:space="preserve"> </w:t>
      </w:r>
      <w:r w:rsidRPr="00F96844">
        <w:rPr>
          <w:rFonts w:eastAsia="Times New Roman" w:cs="Arial"/>
          <w:sz w:val="24"/>
          <w:szCs w:val="24"/>
          <w:lang w:val="sr-Latn-ME"/>
        </w:rPr>
        <w:t>preduzimanje adekvatnih zakonodavnih i drugih mjera radi osiguravanja ostvarenja ovih principa u praksi;</w:t>
      </w:r>
      <w:r w:rsidR="00197787" w:rsidRPr="00F96844">
        <w:rPr>
          <w:rFonts w:eastAsia="Times New Roman" w:cs="Arial"/>
          <w:sz w:val="24"/>
          <w:szCs w:val="24"/>
          <w:lang w:val="sr-Latn-ME"/>
        </w:rPr>
        <w:t xml:space="preserve"> </w:t>
      </w:r>
      <w:r w:rsidRPr="00F96844">
        <w:rPr>
          <w:rFonts w:eastAsia="Times New Roman" w:cs="Arial"/>
          <w:sz w:val="24"/>
          <w:szCs w:val="24"/>
          <w:lang w:val="sr-Latn-ME"/>
        </w:rPr>
        <w:t>uspostavljanje kompetentnih tijela i odgovarajućih institucija za efikasnu zaštitu od diskriminacije;</w:t>
      </w:r>
      <w:r w:rsidR="00197787" w:rsidRPr="00F96844">
        <w:rPr>
          <w:rFonts w:eastAsia="Times New Roman" w:cs="Arial"/>
          <w:sz w:val="24"/>
          <w:szCs w:val="24"/>
          <w:lang w:val="sr-Latn-ME"/>
        </w:rPr>
        <w:t xml:space="preserve"> </w:t>
      </w:r>
      <w:r w:rsidRPr="00F96844">
        <w:rPr>
          <w:rFonts w:eastAsia="Times New Roman" w:cs="Arial"/>
          <w:sz w:val="24"/>
          <w:szCs w:val="24"/>
          <w:lang w:val="sr-Latn-ME"/>
        </w:rPr>
        <w:t>promjenu zakona, pravila i običaja iz prakse koji predstavljaju uzroke diskriminacije žena</w:t>
      </w:r>
      <w:r w:rsidR="00FD7ACA" w:rsidRPr="00F96844">
        <w:rPr>
          <w:rStyle w:val="FootnoteReference"/>
          <w:rFonts w:eastAsia="Times New Roman" w:cs="Arial"/>
          <w:sz w:val="24"/>
          <w:szCs w:val="24"/>
          <w:lang w:val="sr-Latn-ME"/>
        </w:rPr>
        <w:footnoteReference w:id="36"/>
      </w:r>
    </w:p>
    <w:p w14:paraId="7FA89BB3" w14:textId="77777777" w:rsidR="002858A8" w:rsidRPr="00F96844" w:rsidRDefault="002858A8" w:rsidP="00780738">
      <w:pPr>
        <w:jc w:val="both"/>
        <w:rPr>
          <w:rFonts w:eastAsia="Times New Roman" w:cs="Arial"/>
          <w:sz w:val="24"/>
          <w:szCs w:val="24"/>
          <w:lang w:val="sr-Latn-ME"/>
        </w:rPr>
      </w:pPr>
    </w:p>
    <w:p w14:paraId="026A0D67" w14:textId="77777777" w:rsidR="00D614D1" w:rsidRPr="00F96844" w:rsidRDefault="00D614D1" w:rsidP="00780738">
      <w:pPr>
        <w:jc w:val="both"/>
        <w:rPr>
          <w:rFonts w:eastAsia="Times New Roman" w:cs="Arial"/>
          <w:b/>
          <w:i/>
          <w:iCs/>
          <w:sz w:val="24"/>
          <w:szCs w:val="24"/>
          <w:lang w:val="sr-Latn-ME"/>
        </w:rPr>
      </w:pPr>
      <w:r w:rsidRPr="00F96844">
        <w:rPr>
          <w:rFonts w:eastAsia="Cambria" w:cs="Arial"/>
          <w:b/>
          <w:i/>
          <w:iCs/>
          <w:color w:val="000000"/>
          <w:sz w:val="24"/>
          <w:szCs w:val="24"/>
          <w:lang w:val="sr-Latn-ME"/>
        </w:rPr>
        <w:t xml:space="preserve">Revidirana Evropska socijalna povelja </w:t>
      </w:r>
      <w:r w:rsidRPr="00F96844">
        <w:rPr>
          <w:rFonts w:eastAsia="Cambria" w:cs="Arial"/>
          <w:b/>
          <w:color w:val="000000"/>
          <w:sz w:val="24"/>
          <w:szCs w:val="24"/>
          <w:lang w:val="sr-Latn-ME"/>
        </w:rPr>
        <w:t>(ECP, 2006</w:t>
      </w:r>
      <w:r w:rsidRPr="00B6364D">
        <w:rPr>
          <w:rFonts w:eastAsia="Times New Roman" w:cs="Arial"/>
          <w:b/>
          <w:sz w:val="24"/>
          <w:szCs w:val="24"/>
          <w:lang w:val="sr-Latn-ME"/>
        </w:rPr>
        <w:t>)</w:t>
      </w:r>
    </w:p>
    <w:p w14:paraId="3990E722" w14:textId="77777777" w:rsidR="00A64A0A" w:rsidRPr="00F96844" w:rsidRDefault="00A64A0A" w:rsidP="00780738">
      <w:pPr>
        <w:jc w:val="both"/>
        <w:rPr>
          <w:rFonts w:eastAsia="Times New Roman" w:cs="Arial"/>
          <w:b/>
          <w:sz w:val="24"/>
          <w:szCs w:val="24"/>
          <w:lang w:val="sr-Latn-ME"/>
        </w:rPr>
      </w:pPr>
    </w:p>
    <w:p w14:paraId="06FFDE78" w14:textId="77777777" w:rsidR="00E9462A" w:rsidRPr="00F96844" w:rsidRDefault="00E9462A"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lastRenderedPageBreak/>
        <w:t xml:space="preserve">Evropska komisija je 24. marta 2021. godine usvojila sveobuhvatnu Strategiju EU o pravima djeteta, kao i preporuku Savjeta kojom se uspostavlja </w:t>
      </w:r>
      <w:r w:rsidRPr="00F96844">
        <w:rPr>
          <w:rFonts w:eastAsia="Times New Roman" w:cs="Arial"/>
          <w:b/>
          <w:color w:val="000000"/>
          <w:sz w:val="24"/>
          <w:szCs w:val="24"/>
          <w:lang w:val="sr-Latn-ME" w:bidi="sv-SE"/>
        </w:rPr>
        <w:t>Evropska Garancija za djecu</w:t>
      </w:r>
      <w:r w:rsidRPr="00F96844">
        <w:rPr>
          <w:rFonts w:eastAsia="Times New Roman" w:cs="Arial"/>
          <w:color w:val="000000"/>
          <w:sz w:val="24"/>
          <w:szCs w:val="24"/>
          <w:lang w:val="sr-Latn-ME" w:bidi="sv-SE"/>
        </w:rPr>
        <w:t xml:space="preserve">, u cilju promovisanja jednakih mogućnosti za djecu koja su u riziku od siromaštva ili socijalne isključenosti. </w:t>
      </w:r>
    </w:p>
    <w:p w14:paraId="21066747" w14:textId="77777777" w:rsidR="00FD5566" w:rsidRPr="00F96844" w:rsidRDefault="00FD5566" w:rsidP="00780738">
      <w:pPr>
        <w:jc w:val="both"/>
        <w:rPr>
          <w:rFonts w:eastAsia="Times New Roman" w:cs="Arial"/>
          <w:color w:val="000000"/>
          <w:sz w:val="24"/>
          <w:szCs w:val="24"/>
          <w:lang w:val="sr-Latn-ME" w:bidi="sv-SE"/>
        </w:rPr>
      </w:pPr>
    </w:p>
    <w:p w14:paraId="0DB4E5CA" w14:textId="77777777" w:rsidR="00E9462A" w:rsidRPr="00F96844" w:rsidRDefault="00E9462A"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 xml:space="preserve">Direktno nadovezujući se na Strategiju, tj. na njenu drugu tematsku cjelinu – Socio-ekonomska uključenost djece, te uključenost u obrazovanje i zdravstvo, EK je izradila </w:t>
      </w:r>
      <w:r w:rsidRPr="00F96844">
        <w:rPr>
          <w:rFonts w:eastAsia="Times New Roman" w:cs="Arial"/>
          <w:b/>
          <w:color w:val="000000"/>
          <w:sz w:val="24"/>
          <w:szCs w:val="24"/>
          <w:lang w:val="sr-Latn-ME" w:bidi="sv-SE"/>
        </w:rPr>
        <w:t>Evropsku Garanciju za djecu</w:t>
      </w:r>
      <w:r w:rsidRPr="00F96844">
        <w:rPr>
          <w:rFonts w:eastAsia="Times New Roman" w:cs="Arial"/>
          <w:color w:val="000000"/>
          <w:sz w:val="24"/>
          <w:szCs w:val="24"/>
          <w:lang w:val="sr-Latn-ME" w:bidi="sv-SE"/>
        </w:rPr>
        <w:t xml:space="preserve"> (Europ</w:t>
      </w:r>
      <w:r w:rsidR="00940897">
        <w:rPr>
          <w:rFonts w:eastAsia="Times New Roman" w:cs="Arial"/>
          <w:color w:val="000000"/>
          <w:sz w:val="24"/>
          <w:szCs w:val="24"/>
          <w:lang w:val="sr-Latn-ME" w:bidi="sv-SE"/>
        </w:rPr>
        <w:t>e</w:t>
      </w:r>
      <w:r w:rsidRPr="00F96844">
        <w:rPr>
          <w:rFonts w:eastAsia="Times New Roman" w:cs="Arial"/>
          <w:color w:val="000000"/>
          <w:sz w:val="24"/>
          <w:szCs w:val="24"/>
          <w:lang w:val="sr-Latn-ME" w:bidi="sv-SE"/>
        </w:rPr>
        <w:t xml:space="preserve">an Child Guarantee). To je inicijativa kojom komisija pruža smjernice državama članicama kako da najranjivija djeca u EU imaju pristup zdravstvenoj zaštiti, obrazovanju, uslugama brige o djeci, adekvatnim uslovima stanovanja i kvalitetnoj ishrani. </w:t>
      </w:r>
    </w:p>
    <w:p w14:paraId="6FE0256F" w14:textId="77777777" w:rsidR="00FD5566" w:rsidRPr="00F96844" w:rsidRDefault="00FD5566" w:rsidP="00780738">
      <w:pPr>
        <w:jc w:val="both"/>
        <w:rPr>
          <w:rFonts w:eastAsia="Times New Roman" w:cs="Arial"/>
          <w:color w:val="000000"/>
          <w:sz w:val="24"/>
          <w:szCs w:val="24"/>
          <w:lang w:val="sr-Latn-ME" w:bidi="sv-SE"/>
        </w:rPr>
      </w:pPr>
    </w:p>
    <w:p w14:paraId="0509163A" w14:textId="77777777" w:rsidR="00AE7707" w:rsidRPr="00F96844" w:rsidRDefault="00AE7707"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Garancija za mlade se od 2013. godine realizuje u državama članicama Evropske unije i predstavlja inkluzivnu, aktivacionu šemu koja mladima omogućava efikasniju tranziciju iz obrazovanja u svijet rada. Garancija za mlade predstavlja obavezu Vlade da obezbijedi da mladi ljudi (15</w:t>
      </w:r>
      <w:r w:rsidR="00017587" w:rsidRPr="00017587">
        <w:rPr>
          <w:rFonts w:eastAsia="Times New Roman" w:cs="Arial"/>
          <w:color w:val="000000"/>
          <w:sz w:val="24"/>
          <w:szCs w:val="24"/>
          <w:lang w:bidi="sv-SE"/>
        </w:rPr>
        <w:t>‒</w:t>
      </w:r>
      <w:r w:rsidRPr="00F96844">
        <w:rPr>
          <w:rFonts w:eastAsia="Times New Roman" w:cs="Arial"/>
          <w:color w:val="000000"/>
          <w:sz w:val="24"/>
          <w:szCs w:val="24"/>
          <w:lang w:val="sr-Latn-ME" w:bidi="sv-SE"/>
        </w:rPr>
        <w:t>29 godina) dobiju kvalitetnu ponudu zaposlenja, kontinuiranog obrazovanja, pripravništva ili stručnog osposobljavanja</w:t>
      </w:r>
      <w:r w:rsidR="00FD7ACA" w:rsidRPr="00F96844">
        <w:rPr>
          <w:rStyle w:val="FootnoteReference"/>
          <w:rFonts w:eastAsia="Times New Roman" w:cs="Arial"/>
          <w:color w:val="000000"/>
          <w:sz w:val="24"/>
          <w:szCs w:val="24"/>
          <w:lang w:val="sr-Latn-ME" w:bidi="sv-SE"/>
        </w:rPr>
        <w:footnoteReference w:id="37"/>
      </w:r>
      <w:r w:rsidRPr="00F96844">
        <w:rPr>
          <w:rFonts w:eastAsia="Times New Roman" w:cs="Arial"/>
          <w:color w:val="000000"/>
          <w:sz w:val="24"/>
          <w:szCs w:val="24"/>
          <w:lang w:val="sr-Latn-ME" w:bidi="sv-SE"/>
        </w:rPr>
        <w:t>.</w:t>
      </w:r>
    </w:p>
    <w:p w14:paraId="48A66F22" w14:textId="77777777" w:rsidR="00FD5566" w:rsidRPr="00F96844" w:rsidRDefault="00FD5566" w:rsidP="00780738">
      <w:pPr>
        <w:jc w:val="both"/>
        <w:rPr>
          <w:rFonts w:eastAsia="Times New Roman" w:cs="Arial"/>
          <w:color w:val="000000"/>
          <w:sz w:val="24"/>
          <w:szCs w:val="24"/>
          <w:lang w:val="sr-Latn-ME" w:bidi="sv-SE"/>
        </w:rPr>
      </w:pPr>
    </w:p>
    <w:p w14:paraId="340250CE" w14:textId="77777777" w:rsidR="00AE7707" w:rsidRPr="00F96844" w:rsidRDefault="00AE7707"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Crna Gora je u julu 2021. godine usvojila Deklaraciju Zapadnog Balkana o obezbjeđivanju održive integracije mladih (15</w:t>
      </w:r>
      <w:r w:rsidR="00017587" w:rsidRPr="00017587">
        <w:rPr>
          <w:rFonts w:eastAsia="Times New Roman" w:cs="Arial"/>
          <w:color w:val="000000"/>
          <w:sz w:val="24"/>
          <w:szCs w:val="24"/>
          <w:lang w:bidi="sv-SE"/>
        </w:rPr>
        <w:t>‒</w:t>
      </w:r>
      <w:r w:rsidRPr="00F96844">
        <w:rPr>
          <w:rFonts w:eastAsia="Times New Roman" w:cs="Arial"/>
          <w:color w:val="000000"/>
          <w:sz w:val="24"/>
          <w:szCs w:val="24"/>
          <w:lang w:val="sr-Latn-ME" w:bidi="sv-SE"/>
        </w:rPr>
        <w:t>29) na tržište rada i obavezala se da će preduzeti konkretne korake za postepeno uvođenje i implementaciju Garancije za mlade</w:t>
      </w:r>
      <w:r w:rsidR="00FD7ACA" w:rsidRPr="00F96844">
        <w:rPr>
          <w:rStyle w:val="FootnoteReference"/>
          <w:rFonts w:eastAsia="Times New Roman" w:cs="Arial"/>
          <w:color w:val="000000"/>
          <w:sz w:val="24"/>
          <w:szCs w:val="24"/>
          <w:lang w:val="sr-Latn-ME" w:bidi="sv-SE"/>
        </w:rPr>
        <w:footnoteReference w:id="38"/>
      </w:r>
      <w:r w:rsidRPr="00F96844">
        <w:rPr>
          <w:rFonts w:eastAsia="Times New Roman" w:cs="Arial"/>
          <w:color w:val="000000"/>
          <w:sz w:val="24"/>
          <w:szCs w:val="24"/>
          <w:lang w:val="sr-Latn-ME" w:bidi="sv-SE"/>
        </w:rPr>
        <w:t>.</w:t>
      </w:r>
    </w:p>
    <w:p w14:paraId="57E2C66D" w14:textId="77777777" w:rsidR="00AE7707" w:rsidRPr="00F96844" w:rsidRDefault="00AE7707" w:rsidP="00780738">
      <w:pPr>
        <w:jc w:val="both"/>
        <w:rPr>
          <w:rFonts w:eastAsia="Times New Roman" w:cs="Arial"/>
          <w:color w:val="000000"/>
          <w:sz w:val="24"/>
          <w:szCs w:val="24"/>
          <w:lang w:val="sr-Latn-ME" w:bidi="sv-SE"/>
        </w:rPr>
      </w:pPr>
    </w:p>
    <w:p w14:paraId="31E32A67" w14:textId="77777777" w:rsidR="00D614D1" w:rsidRPr="00F96844" w:rsidRDefault="00D614D1" w:rsidP="00780738">
      <w:pPr>
        <w:jc w:val="both"/>
        <w:rPr>
          <w:rFonts w:cs="Arial"/>
          <w:sz w:val="24"/>
          <w:szCs w:val="24"/>
          <w:lang w:val="sr-Latn-ME"/>
        </w:rPr>
      </w:pPr>
      <w:r w:rsidRPr="00F96844">
        <w:rPr>
          <w:rFonts w:cs="Arial"/>
          <w:i/>
          <w:sz w:val="24"/>
          <w:szCs w:val="24"/>
          <w:lang w:val="sr-Latn-ME"/>
        </w:rPr>
        <w:t>Madridski međunarodni plan akcije o starenju i Politička deklaracija</w:t>
      </w:r>
      <w:r w:rsidRPr="00F96844">
        <w:rPr>
          <w:rFonts w:cs="Arial"/>
          <w:sz w:val="24"/>
          <w:szCs w:val="24"/>
          <w:lang w:val="sr-Latn-ME"/>
        </w:rPr>
        <w:t xml:space="preserve"> </w:t>
      </w:r>
      <w:r w:rsidRPr="00F96844">
        <w:rPr>
          <w:rFonts w:cs="Arial"/>
          <w:i/>
          <w:sz w:val="24"/>
          <w:szCs w:val="24"/>
          <w:lang w:val="sr-Latn-ME"/>
        </w:rPr>
        <w:t>o starenju</w:t>
      </w:r>
      <w:r w:rsidRPr="00F96844">
        <w:rPr>
          <w:rFonts w:cs="Arial"/>
          <w:sz w:val="24"/>
          <w:szCs w:val="24"/>
          <w:lang w:val="sr-Latn-ME"/>
        </w:rPr>
        <w:t xml:space="preserve"> usvojeni su na Drugoj svjetskoj skupštini o starenju u aprilu 2002. godine. Navedeni dokumenti označavaju prekretnicu o ključnim izazovima „izgradnje društva za sve uzraste</w:t>
      </w:r>
      <w:r w:rsidR="00017587" w:rsidRPr="00017587">
        <w:rPr>
          <w:rFonts w:cs="Arial"/>
          <w:sz w:val="24"/>
          <w:szCs w:val="24"/>
          <w:lang w:val="sr-Latn-ME"/>
        </w:rPr>
        <w:t>”</w:t>
      </w:r>
      <w:r w:rsidRPr="00F96844">
        <w:rPr>
          <w:rFonts w:cs="Arial"/>
          <w:sz w:val="24"/>
          <w:szCs w:val="24"/>
          <w:lang w:val="sr-Latn-ME"/>
        </w:rPr>
        <w:t>. Madridski plan akcije fokusira se na tri prioritetne oblasti: 1) starije osobe i razvoj; 2) unapređenje zdravlja i dobrobiti u starosti; i 3) obezbjeđivanje omogućavajućeg i podržavajućeg okruženja. Madridskim planom akcije daje se okvir za izradu politika i način implementacije tih politika. Ovim dokumentom mijenja se perspektiva prema starijima i upućuje na interakciju socijalih aktera sa starijima. Pitanja starenja povezuju se s drugim okvirima za socijalni i ekonomski razvoj i ljudskim pravima. U Političkoj deklaraciji o starenju, između ostalog, ističe se da je potencijal starijih osoba osnova za budući razvoj, što omogućava da se društvo više oslanja na vještine i iskustva starijih</w:t>
      </w:r>
      <w:r w:rsidR="00017587">
        <w:rPr>
          <w:rFonts w:cs="Arial"/>
          <w:sz w:val="24"/>
          <w:szCs w:val="24"/>
          <w:lang w:val="sr-Latn-ME"/>
        </w:rPr>
        <w:t>.</w:t>
      </w:r>
      <w:r w:rsidR="00FD7ACA" w:rsidRPr="00F96844">
        <w:rPr>
          <w:rStyle w:val="FootnoteReference"/>
          <w:rFonts w:cs="Arial"/>
          <w:sz w:val="24"/>
          <w:szCs w:val="24"/>
          <w:lang w:val="sr-Latn-ME"/>
        </w:rPr>
        <w:footnoteReference w:id="39"/>
      </w:r>
    </w:p>
    <w:p w14:paraId="72DE6CFC" w14:textId="77777777" w:rsidR="00A64A0A" w:rsidRPr="00F96844" w:rsidRDefault="00A64A0A" w:rsidP="00780738">
      <w:pPr>
        <w:jc w:val="both"/>
        <w:rPr>
          <w:rFonts w:cs="Arial"/>
          <w:sz w:val="24"/>
          <w:szCs w:val="24"/>
          <w:lang w:val="sr-Latn-ME"/>
        </w:rPr>
      </w:pPr>
    </w:p>
    <w:p w14:paraId="5A07E8E5" w14:textId="77777777" w:rsidR="00D614D1" w:rsidRDefault="00D614D1" w:rsidP="00780738">
      <w:pPr>
        <w:jc w:val="both"/>
        <w:rPr>
          <w:rFonts w:eastAsia="Times New Roman" w:cs="Arial"/>
          <w:sz w:val="24"/>
          <w:szCs w:val="24"/>
          <w:lang w:val="sr-Latn-ME" w:bidi="sv-SE"/>
        </w:rPr>
      </w:pPr>
      <w:r w:rsidRPr="00F96844">
        <w:rPr>
          <w:rFonts w:eastAsia="Times New Roman" w:cs="Arial"/>
          <w:color w:val="000000"/>
          <w:sz w:val="24"/>
          <w:szCs w:val="24"/>
          <w:lang w:val="sr-Latn-ME" w:bidi="sv-SE"/>
        </w:rPr>
        <w:t>Osim ovih, Crna Gora je ratifikovala i Konvenciju za sprečavanje svih oblika tortura, Konvenciju o ljudskim pravima i slobodama, Konvenciju o međunarodnom izdržavanju djece i porodice, Konvenciju o zaštiti djece od seksu</w:t>
      </w:r>
      <w:r w:rsidR="00017587">
        <w:rPr>
          <w:rFonts w:eastAsia="Times New Roman" w:cs="Arial"/>
          <w:color w:val="000000"/>
          <w:sz w:val="24"/>
          <w:szCs w:val="24"/>
          <w:lang w:val="sr-Latn-ME" w:bidi="sv-SE"/>
        </w:rPr>
        <w:t>a</w:t>
      </w:r>
      <w:r w:rsidRPr="00F96844">
        <w:rPr>
          <w:rFonts w:eastAsia="Times New Roman" w:cs="Arial"/>
          <w:color w:val="000000"/>
          <w:sz w:val="24"/>
          <w:szCs w:val="24"/>
          <w:lang w:val="sr-Latn-ME" w:bidi="sv-SE"/>
        </w:rPr>
        <w:t>lnog nasilja i seks</w:t>
      </w:r>
      <w:r w:rsidR="00685D62">
        <w:rPr>
          <w:rFonts w:eastAsia="Times New Roman" w:cs="Arial"/>
          <w:color w:val="000000"/>
          <w:sz w:val="24"/>
          <w:szCs w:val="24"/>
          <w:lang w:val="sr-Latn-ME" w:bidi="sv-SE"/>
        </w:rPr>
        <w:t>u</w:t>
      </w:r>
      <w:r w:rsidRPr="00F96844">
        <w:rPr>
          <w:rFonts w:eastAsia="Times New Roman" w:cs="Arial"/>
          <w:color w:val="000000"/>
          <w:sz w:val="24"/>
          <w:szCs w:val="24"/>
          <w:lang w:val="sr-Latn-ME" w:bidi="sv-SE"/>
        </w:rPr>
        <w:t xml:space="preserve">alne zloupotrebe, i druge. </w:t>
      </w:r>
      <w:r w:rsidR="008B0686" w:rsidRPr="00F96844">
        <w:rPr>
          <w:rFonts w:eastAsia="Times New Roman" w:cs="Arial"/>
          <w:sz w:val="24"/>
          <w:szCs w:val="24"/>
          <w:lang w:val="sr-Latn-ME" w:bidi="sv-SE"/>
        </w:rPr>
        <w:t xml:space="preserve">Konvencija o međunarodnoj naplati potraživanja za izdržavanje djeteta i druge oblike izdržavanja porodice. Predmet ove Konvencije je obezbjeđivanje efikasne međunarodne naplate potraživanja za izdržavanje djeteta i druge oblike izdržavanja porodice, uspostavljanjem sveobuhvatnog sistema saradnje između organa država ugovornica, omogućavanja prohodnosti zahtjeva za donošenje odluka o izdržavanju, </w:t>
      </w:r>
      <w:r w:rsidR="008B0686" w:rsidRPr="00F96844">
        <w:rPr>
          <w:rFonts w:eastAsia="Times New Roman" w:cs="Arial"/>
          <w:sz w:val="24"/>
          <w:szCs w:val="24"/>
          <w:lang w:val="sr-Latn-ME" w:bidi="sv-SE"/>
        </w:rPr>
        <w:lastRenderedPageBreak/>
        <w:t>staranja da se odluke o izdržavanju priznaju i izvršavaju i zahtijevanja efikasnih mjera za brzo sprovođenje odluka o izdržavanju.</w:t>
      </w:r>
      <w:r w:rsidR="00E25B9C" w:rsidRPr="00F96844">
        <w:rPr>
          <w:rFonts w:eastAsia="Times New Roman" w:cs="Arial"/>
          <w:sz w:val="24"/>
          <w:szCs w:val="24"/>
          <w:lang w:val="sr-Latn-ME" w:bidi="sv-SE"/>
        </w:rPr>
        <w:t xml:space="preserve"> </w:t>
      </w:r>
    </w:p>
    <w:p w14:paraId="7C7E8203" w14:textId="77777777" w:rsidR="0005175B" w:rsidRDefault="0005175B" w:rsidP="00780738">
      <w:pPr>
        <w:jc w:val="both"/>
        <w:rPr>
          <w:rFonts w:eastAsia="Times New Roman" w:cs="Arial"/>
          <w:sz w:val="24"/>
          <w:szCs w:val="24"/>
          <w:lang w:val="sr-Latn-ME" w:bidi="sv-SE"/>
        </w:rPr>
      </w:pPr>
    </w:p>
    <w:p w14:paraId="1C4EB1B7" w14:textId="77777777" w:rsidR="00D614D1" w:rsidRPr="00F96844" w:rsidRDefault="00D614D1" w:rsidP="00780738">
      <w:pPr>
        <w:jc w:val="both"/>
        <w:rPr>
          <w:rFonts w:cs="Arial"/>
          <w:spacing w:val="-1"/>
          <w:sz w:val="24"/>
          <w:szCs w:val="24"/>
          <w:lang w:val="sr-Latn-ME"/>
        </w:rPr>
      </w:pPr>
    </w:p>
    <w:p w14:paraId="12048071" w14:textId="77777777" w:rsidR="00D614D1" w:rsidRPr="00F96844" w:rsidRDefault="00D614D1" w:rsidP="00780738">
      <w:pPr>
        <w:jc w:val="both"/>
        <w:rPr>
          <w:rFonts w:cs="Arial"/>
          <w:b/>
          <w:i/>
          <w:sz w:val="24"/>
          <w:szCs w:val="24"/>
          <w:lang w:val="sr-Latn-ME"/>
        </w:rPr>
      </w:pPr>
      <w:r w:rsidRPr="00F96844">
        <w:rPr>
          <w:rFonts w:cs="Arial"/>
          <w:b/>
          <w:i/>
          <w:spacing w:val="-1"/>
          <w:sz w:val="24"/>
          <w:szCs w:val="24"/>
          <w:lang w:val="sr-Latn-ME"/>
        </w:rPr>
        <w:t>Zakonodavni</w:t>
      </w:r>
      <w:r w:rsidRPr="00F96844">
        <w:rPr>
          <w:rFonts w:cs="Arial"/>
          <w:b/>
          <w:i/>
          <w:spacing w:val="-13"/>
          <w:sz w:val="24"/>
          <w:szCs w:val="24"/>
          <w:lang w:val="sr-Latn-ME"/>
        </w:rPr>
        <w:t xml:space="preserve"> </w:t>
      </w:r>
      <w:r w:rsidRPr="00F96844">
        <w:rPr>
          <w:rFonts w:cs="Arial"/>
          <w:b/>
          <w:i/>
          <w:spacing w:val="-1"/>
          <w:sz w:val="24"/>
          <w:szCs w:val="24"/>
          <w:lang w:val="sr-Latn-ME"/>
        </w:rPr>
        <w:t>okvir</w:t>
      </w:r>
      <w:r w:rsidRPr="00F96844">
        <w:rPr>
          <w:rFonts w:cs="Arial"/>
          <w:b/>
          <w:i/>
          <w:spacing w:val="-13"/>
          <w:sz w:val="24"/>
          <w:szCs w:val="24"/>
          <w:lang w:val="sr-Latn-ME"/>
        </w:rPr>
        <w:t xml:space="preserve"> </w:t>
      </w:r>
      <w:r w:rsidRPr="00F96844">
        <w:rPr>
          <w:rFonts w:cs="Arial"/>
          <w:b/>
          <w:i/>
          <w:spacing w:val="-1"/>
          <w:sz w:val="24"/>
          <w:szCs w:val="24"/>
          <w:lang w:val="sr-Latn-ME"/>
        </w:rPr>
        <w:t>Crne</w:t>
      </w:r>
      <w:r w:rsidRPr="00F96844">
        <w:rPr>
          <w:rFonts w:cs="Arial"/>
          <w:b/>
          <w:i/>
          <w:spacing w:val="-11"/>
          <w:sz w:val="24"/>
          <w:szCs w:val="24"/>
          <w:lang w:val="sr-Latn-ME"/>
        </w:rPr>
        <w:t xml:space="preserve"> </w:t>
      </w:r>
      <w:r w:rsidRPr="00F96844">
        <w:rPr>
          <w:rFonts w:cs="Arial"/>
          <w:b/>
          <w:i/>
          <w:sz w:val="24"/>
          <w:szCs w:val="24"/>
          <w:lang w:val="sr-Latn-ME"/>
        </w:rPr>
        <w:t>Gore</w:t>
      </w:r>
    </w:p>
    <w:p w14:paraId="51C0230D" w14:textId="77777777" w:rsidR="00A64A0A" w:rsidRPr="00F96844" w:rsidRDefault="00A64A0A" w:rsidP="00780738">
      <w:pPr>
        <w:jc w:val="both"/>
        <w:rPr>
          <w:rFonts w:cs="Arial"/>
          <w:b/>
          <w:i/>
          <w:sz w:val="24"/>
          <w:szCs w:val="24"/>
          <w:lang w:val="sr-Latn-ME"/>
        </w:rPr>
      </w:pPr>
    </w:p>
    <w:p w14:paraId="530D85CF" w14:textId="1337CBBA" w:rsidR="00D614D1" w:rsidRPr="00F96844" w:rsidRDefault="00D614D1" w:rsidP="00780738">
      <w:pPr>
        <w:jc w:val="both"/>
        <w:rPr>
          <w:rFonts w:eastAsia="Times New Roman" w:cs="Arial"/>
          <w:sz w:val="24"/>
          <w:szCs w:val="24"/>
          <w:lang w:val="sr-Latn-ME"/>
        </w:rPr>
      </w:pPr>
      <w:r w:rsidRPr="00F96844">
        <w:rPr>
          <w:rFonts w:cs="Arial"/>
          <w:spacing w:val="-1"/>
          <w:sz w:val="24"/>
          <w:szCs w:val="24"/>
          <w:lang w:val="sr-Latn-ME"/>
        </w:rPr>
        <w:t>Shodno</w:t>
      </w:r>
      <w:r w:rsidRPr="00F96844">
        <w:rPr>
          <w:rFonts w:cs="Arial"/>
          <w:spacing w:val="-11"/>
          <w:sz w:val="24"/>
          <w:szCs w:val="24"/>
          <w:lang w:val="sr-Latn-ME"/>
        </w:rPr>
        <w:t xml:space="preserve"> </w:t>
      </w:r>
      <w:r w:rsidRPr="00F96844">
        <w:rPr>
          <w:rFonts w:cs="Arial"/>
          <w:spacing w:val="-1"/>
          <w:sz w:val="24"/>
          <w:szCs w:val="24"/>
          <w:lang w:val="sr-Latn-ME"/>
        </w:rPr>
        <w:t>Ustavu</w:t>
      </w:r>
      <w:r w:rsidRPr="00F96844">
        <w:rPr>
          <w:rFonts w:cs="Arial"/>
          <w:spacing w:val="-10"/>
          <w:sz w:val="24"/>
          <w:szCs w:val="24"/>
          <w:lang w:val="sr-Latn-ME"/>
        </w:rPr>
        <w:t xml:space="preserve"> </w:t>
      </w:r>
      <w:r w:rsidRPr="00F96844">
        <w:rPr>
          <w:rFonts w:cs="Arial"/>
          <w:spacing w:val="-1"/>
          <w:sz w:val="24"/>
          <w:szCs w:val="24"/>
          <w:lang w:val="sr-Latn-ME"/>
        </w:rPr>
        <w:t>Crne</w:t>
      </w:r>
      <w:r w:rsidRPr="00F96844">
        <w:rPr>
          <w:rFonts w:cs="Arial"/>
          <w:spacing w:val="-11"/>
          <w:sz w:val="24"/>
          <w:szCs w:val="24"/>
          <w:lang w:val="sr-Latn-ME"/>
        </w:rPr>
        <w:t xml:space="preserve"> </w:t>
      </w:r>
      <w:r w:rsidRPr="00F96844">
        <w:rPr>
          <w:rFonts w:cs="Arial"/>
          <w:spacing w:val="-1"/>
          <w:sz w:val="24"/>
          <w:szCs w:val="24"/>
          <w:lang w:val="sr-Latn-ME"/>
        </w:rPr>
        <w:t>Gore,</w:t>
      </w:r>
      <w:r w:rsidRPr="00F96844">
        <w:rPr>
          <w:rFonts w:cs="Arial"/>
          <w:spacing w:val="-14"/>
          <w:sz w:val="24"/>
          <w:szCs w:val="24"/>
          <w:lang w:val="sr-Latn-ME"/>
        </w:rPr>
        <w:t xml:space="preserve"> </w:t>
      </w:r>
      <w:r w:rsidRPr="00F96844">
        <w:rPr>
          <w:rFonts w:cs="Arial"/>
          <w:sz w:val="24"/>
          <w:szCs w:val="24"/>
          <w:lang w:val="sr-Latn-ME"/>
        </w:rPr>
        <w:t>koji</w:t>
      </w:r>
      <w:r w:rsidRPr="00F96844">
        <w:rPr>
          <w:rFonts w:cs="Arial"/>
          <w:spacing w:val="-12"/>
          <w:sz w:val="24"/>
          <w:szCs w:val="24"/>
          <w:lang w:val="sr-Latn-ME"/>
        </w:rPr>
        <w:t xml:space="preserve"> </w:t>
      </w:r>
      <w:r w:rsidRPr="00F96844">
        <w:rPr>
          <w:rFonts w:cs="Arial"/>
          <w:sz w:val="24"/>
          <w:szCs w:val="24"/>
          <w:lang w:val="sr-Latn-ME"/>
        </w:rPr>
        <w:t>predstavlja</w:t>
      </w:r>
      <w:r w:rsidRPr="00F96844">
        <w:rPr>
          <w:rFonts w:cs="Arial"/>
          <w:spacing w:val="-12"/>
          <w:sz w:val="24"/>
          <w:szCs w:val="24"/>
          <w:lang w:val="sr-Latn-ME"/>
        </w:rPr>
        <w:t xml:space="preserve"> </w:t>
      </w:r>
      <w:r w:rsidRPr="00F96844">
        <w:rPr>
          <w:rFonts w:cs="Arial"/>
          <w:sz w:val="24"/>
          <w:szCs w:val="24"/>
          <w:lang w:val="sr-Latn-ME"/>
        </w:rPr>
        <w:t>akt</w:t>
      </w:r>
      <w:r w:rsidRPr="00F96844">
        <w:rPr>
          <w:rFonts w:cs="Arial"/>
          <w:spacing w:val="-9"/>
          <w:sz w:val="24"/>
          <w:szCs w:val="24"/>
          <w:lang w:val="sr-Latn-ME"/>
        </w:rPr>
        <w:t xml:space="preserve"> </w:t>
      </w:r>
      <w:r w:rsidRPr="00F96844">
        <w:rPr>
          <w:rFonts w:cs="Arial"/>
          <w:sz w:val="24"/>
          <w:szCs w:val="24"/>
          <w:lang w:val="sr-Latn-ME"/>
        </w:rPr>
        <w:t>najviše</w:t>
      </w:r>
      <w:r w:rsidRPr="00F96844">
        <w:rPr>
          <w:rFonts w:cs="Arial"/>
          <w:spacing w:val="-14"/>
          <w:sz w:val="24"/>
          <w:szCs w:val="24"/>
          <w:lang w:val="sr-Latn-ME"/>
        </w:rPr>
        <w:t xml:space="preserve"> </w:t>
      </w:r>
      <w:r w:rsidRPr="00F96844">
        <w:rPr>
          <w:rFonts w:cs="Arial"/>
          <w:sz w:val="24"/>
          <w:szCs w:val="24"/>
          <w:lang w:val="sr-Latn-ME"/>
        </w:rPr>
        <w:t>pravne</w:t>
      </w:r>
      <w:r w:rsidRPr="00F96844">
        <w:rPr>
          <w:rFonts w:cs="Arial"/>
          <w:spacing w:val="-12"/>
          <w:sz w:val="24"/>
          <w:szCs w:val="24"/>
          <w:lang w:val="sr-Latn-ME"/>
        </w:rPr>
        <w:t xml:space="preserve"> </w:t>
      </w:r>
      <w:r w:rsidRPr="00F96844">
        <w:rPr>
          <w:rFonts w:cs="Arial"/>
          <w:sz w:val="24"/>
          <w:szCs w:val="24"/>
          <w:lang w:val="sr-Latn-ME"/>
        </w:rPr>
        <w:t>snage,</w:t>
      </w:r>
      <w:r w:rsidRPr="00F96844">
        <w:rPr>
          <w:rFonts w:cs="Arial"/>
          <w:spacing w:val="-11"/>
          <w:sz w:val="24"/>
          <w:szCs w:val="24"/>
          <w:lang w:val="sr-Latn-ME"/>
        </w:rPr>
        <w:t xml:space="preserve"> </w:t>
      </w:r>
      <w:r w:rsidRPr="00F96844">
        <w:rPr>
          <w:rFonts w:cs="Arial"/>
          <w:sz w:val="24"/>
          <w:szCs w:val="24"/>
          <w:lang w:val="sr-Latn-ME"/>
        </w:rPr>
        <w:t>s</w:t>
      </w:r>
      <w:r w:rsidRPr="00F96844">
        <w:rPr>
          <w:rFonts w:cs="Arial"/>
          <w:spacing w:val="-11"/>
          <w:sz w:val="24"/>
          <w:szCs w:val="24"/>
          <w:lang w:val="sr-Latn-ME"/>
        </w:rPr>
        <w:t xml:space="preserve"> </w:t>
      </w:r>
      <w:r w:rsidRPr="00F96844">
        <w:rPr>
          <w:rFonts w:cs="Arial"/>
          <w:sz w:val="24"/>
          <w:szCs w:val="24"/>
          <w:lang w:val="sr-Latn-ME"/>
        </w:rPr>
        <w:t>kojim</w:t>
      </w:r>
      <w:r w:rsidRPr="00F96844">
        <w:rPr>
          <w:rFonts w:cs="Arial"/>
          <w:spacing w:val="-13"/>
          <w:sz w:val="24"/>
          <w:szCs w:val="24"/>
          <w:lang w:val="sr-Latn-ME"/>
        </w:rPr>
        <w:t xml:space="preserve"> </w:t>
      </w:r>
      <w:r w:rsidRPr="00F96844">
        <w:rPr>
          <w:rFonts w:cs="Arial"/>
          <w:sz w:val="24"/>
          <w:szCs w:val="24"/>
          <w:lang w:val="sr-Latn-ME"/>
        </w:rPr>
        <w:t>moraju</w:t>
      </w:r>
      <w:r w:rsidRPr="00F96844">
        <w:rPr>
          <w:rFonts w:cs="Arial"/>
          <w:spacing w:val="-10"/>
          <w:sz w:val="24"/>
          <w:szCs w:val="24"/>
          <w:lang w:val="sr-Latn-ME"/>
        </w:rPr>
        <w:t xml:space="preserve"> </w:t>
      </w:r>
      <w:r w:rsidRPr="00F96844">
        <w:rPr>
          <w:rFonts w:cs="Arial"/>
          <w:sz w:val="24"/>
          <w:szCs w:val="24"/>
          <w:lang w:val="sr-Latn-ME"/>
        </w:rPr>
        <w:t>biti</w:t>
      </w:r>
      <w:r w:rsidRPr="00F96844">
        <w:rPr>
          <w:rFonts w:cs="Arial"/>
          <w:spacing w:val="-12"/>
          <w:sz w:val="24"/>
          <w:szCs w:val="24"/>
          <w:lang w:val="sr-Latn-ME"/>
        </w:rPr>
        <w:t xml:space="preserve"> </w:t>
      </w:r>
      <w:r w:rsidRPr="00F96844">
        <w:rPr>
          <w:rFonts w:cs="Arial"/>
          <w:sz w:val="24"/>
          <w:szCs w:val="24"/>
          <w:lang w:val="sr-Latn-ME"/>
        </w:rPr>
        <w:t>usklađeni</w:t>
      </w:r>
      <w:r w:rsidRPr="00F96844">
        <w:rPr>
          <w:rFonts w:cs="Arial"/>
          <w:spacing w:val="-47"/>
          <w:sz w:val="24"/>
          <w:szCs w:val="24"/>
          <w:lang w:val="sr-Latn-ME"/>
        </w:rPr>
        <w:t xml:space="preserve"> </w:t>
      </w:r>
      <w:r w:rsidR="00FD64B4">
        <w:rPr>
          <w:rFonts w:cs="Arial"/>
          <w:spacing w:val="-47"/>
          <w:sz w:val="24"/>
          <w:szCs w:val="24"/>
          <w:lang w:val="sr-Latn-ME"/>
        </w:rPr>
        <w:t xml:space="preserve"> </w:t>
      </w:r>
      <w:r w:rsidRPr="00F96844">
        <w:rPr>
          <w:rFonts w:cs="Arial"/>
          <w:sz w:val="24"/>
          <w:szCs w:val="24"/>
          <w:lang w:val="sr-Latn-ME"/>
        </w:rPr>
        <w:t>svi zakoni i dokumenti, Crna Gora je definisana kao građanska, demokratska, ekološka i socijalna pravna</w:t>
      </w:r>
      <w:r w:rsidRPr="00F96844">
        <w:rPr>
          <w:rFonts w:cs="Arial"/>
          <w:spacing w:val="1"/>
          <w:sz w:val="24"/>
          <w:szCs w:val="24"/>
          <w:lang w:val="sr-Latn-ME"/>
        </w:rPr>
        <w:t xml:space="preserve"> </w:t>
      </w:r>
      <w:r w:rsidRPr="00F96844">
        <w:rPr>
          <w:rFonts w:cs="Arial"/>
          <w:sz w:val="24"/>
          <w:szCs w:val="24"/>
          <w:lang w:val="sr-Latn-ME"/>
        </w:rPr>
        <w:t>država, zasnovana na vladavini prava. Ustav garantuje da država obezbjeđuje materijalnu sigurnost licu koje je nesposobno za rad i nema sredstva za život u skladu s</w:t>
      </w:r>
      <w:r w:rsidR="00E25B9C" w:rsidRPr="00F96844">
        <w:rPr>
          <w:rFonts w:cs="Arial"/>
          <w:sz w:val="24"/>
          <w:szCs w:val="24"/>
          <w:lang w:val="sr-Latn-ME"/>
        </w:rPr>
        <w:t xml:space="preserve"> </w:t>
      </w:r>
      <w:r w:rsidRPr="00F96844">
        <w:rPr>
          <w:rFonts w:eastAsia="Times New Roman" w:cs="Arial"/>
          <w:sz w:val="24"/>
          <w:szCs w:val="24"/>
          <w:lang w:val="sr-Latn-ME"/>
        </w:rPr>
        <w:t xml:space="preserve">članom 67 stav 2 Ustava Crne Gore, kao i članom 68 kojim se </w:t>
      </w:r>
      <w:r w:rsidRPr="00F96844">
        <w:rPr>
          <w:rFonts w:cs="Arial"/>
          <w:sz w:val="24"/>
          <w:szCs w:val="24"/>
          <w:lang w:val="sr-Latn-ME"/>
        </w:rPr>
        <w:t>jemči posebna zaštita lica</w:t>
      </w:r>
      <w:r w:rsidR="00867803">
        <w:rPr>
          <w:rFonts w:cs="Arial"/>
          <w:sz w:val="24"/>
          <w:szCs w:val="24"/>
          <w:lang w:val="sr-Latn-ME"/>
        </w:rPr>
        <w:t xml:space="preserve"> s i</w:t>
      </w:r>
      <w:r w:rsidRPr="00F96844">
        <w:rPr>
          <w:rFonts w:cs="Arial"/>
          <w:sz w:val="24"/>
          <w:szCs w:val="24"/>
          <w:lang w:val="sr-Latn-ME"/>
        </w:rPr>
        <w:t>nvaliditetom.</w:t>
      </w:r>
    </w:p>
    <w:p w14:paraId="48D3391B" w14:textId="77777777" w:rsidR="00D614D1" w:rsidRPr="00F96844" w:rsidRDefault="00D614D1" w:rsidP="00780738">
      <w:pPr>
        <w:jc w:val="both"/>
        <w:rPr>
          <w:rFonts w:eastAsia="Times New Roman" w:cs="Arial"/>
          <w:sz w:val="24"/>
          <w:szCs w:val="24"/>
          <w:lang w:val="sr-Latn-ME"/>
        </w:rPr>
      </w:pPr>
    </w:p>
    <w:p w14:paraId="6A4291A7" w14:textId="77777777" w:rsidR="00D614D1" w:rsidRPr="00F96844" w:rsidRDefault="00D614D1" w:rsidP="00780738">
      <w:pPr>
        <w:jc w:val="both"/>
        <w:rPr>
          <w:rFonts w:cs="Arial"/>
          <w:sz w:val="24"/>
          <w:szCs w:val="24"/>
          <w:lang w:val="sr-Latn-ME"/>
        </w:rPr>
      </w:pPr>
      <w:r w:rsidRPr="00F96844">
        <w:rPr>
          <w:rFonts w:eastAsiaTheme="minorEastAsia" w:cs="Arial"/>
          <w:iCs/>
          <w:sz w:val="24"/>
          <w:szCs w:val="24"/>
          <w:lang w:val="sr-Latn-ME"/>
        </w:rPr>
        <w:t>Zakon o socijalnoj i dječjoj zaštiti</w:t>
      </w:r>
      <w:r w:rsidRPr="00F96844">
        <w:rPr>
          <w:rFonts w:cs="Arial"/>
          <w:sz w:val="24"/>
          <w:szCs w:val="24"/>
          <w:lang w:val="sr-Latn-ME"/>
        </w:rPr>
        <w:t xml:space="preserve"> </w:t>
      </w:r>
      <w:r w:rsidRPr="00F96844">
        <w:rPr>
          <w:rFonts w:eastAsiaTheme="minorEastAsia" w:cs="Arial"/>
          <w:sz w:val="24"/>
          <w:szCs w:val="24"/>
          <w:lang w:val="sr-Latn-ME"/>
        </w:rPr>
        <w:t xml:space="preserve">je donijet 2013. godine i do sada je imao više izmjena i dopuna. </w:t>
      </w:r>
      <w:r w:rsidRPr="00F96844">
        <w:rPr>
          <w:rFonts w:cs="Arial"/>
          <w:sz w:val="24"/>
          <w:szCs w:val="24"/>
          <w:lang w:val="sr-Latn-ME"/>
        </w:rPr>
        <w:t xml:space="preserve">Zakonom su propisana osnovna materijalna davanja i usluge u oblasti socijalne i dječje zaštite. Ovim zakonom realizuju se opredjeljenja koja podrazumijevaju, između ostalog, podsticanje i uvođenje novih usluga socijalne i dječje zaštite u uključivanje u sferu pružanja usluga što više različitih aktera. Propisani su normativi i standardi u oblasti usluga socijalne i dječje zaštite, propisan je postupak licenciranja stručnih </w:t>
      </w:r>
      <w:r w:rsidR="009F661D">
        <w:rPr>
          <w:rFonts w:cs="Arial"/>
          <w:sz w:val="24"/>
          <w:szCs w:val="24"/>
          <w:lang w:val="sr-Latn-ME"/>
        </w:rPr>
        <w:t>radnika/radnica</w:t>
      </w:r>
      <w:r w:rsidRPr="00F96844">
        <w:rPr>
          <w:rFonts w:cs="Arial"/>
          <w:sz w:val="24"/>
          <w:szCs w:val="24"/>
          <w:lang w:val="sr-Latn-ME"/>
        </w:rPr>
        <w:t xml:space="preserve"> i pružalaca usluga i postupak akreditacije programa obuke. Izvršena je reorganizacija pojedinih centara za socijalni rad, a takođe su osnovani i novi centri za socijalni rad, kako bi </w:t>
      </w:r>
      <w:r w:rsidR="00017587">
        <w:rPr>
          <w:rFonts w:cs="Arial"/>
          <w:sz w:val="24"/>
          <w:szCs w:val="24"/>
          <w:lang w:val="sr-Latn-ME"/>
        </w:rPr>
        <w:t>građani/građanke</w:t>
      </w:r>
      <w:r w:rsidRPr="00F96844">
        <w:rPr>
          <w:rFonts w:cs="Arial"/>
          <w:sz w:val="24"/>
          <w:szCs w:val="24"/>
          <w:lang w:val="sr-Latn-ME"/>
        </w:rPr>
        <w:t xml:space="preserve"> imali bolju pristupačnost pravima iz socijalne i dječje zaštite. U skladu sa Zakonom, donijeti su podzakonski akti, kojima je propisana organizacija i način rada u centrima za socijalni rad, stručni poslovi u oblasti socijalne i dječje zaštite, standardi usluga socijalne i dječje zaštite, sistem kvaliteta u socijalnoj i dječjoj zaštiti i druga pitanja od uticaja na funkcionisanje sistema</w:t>
      </w:r>
      <w:r w:rsidR="00FD7ACA" w:rsidRPr="00F96844">
        <w:rPr>
          <w:rStyle w:val="FootnoteReference"/>
          <w:rFonts w:cs="Arial"/>
          <w:sz w:val="24"/>
          <w:szCs w:val="24"/>
          <w:lang w:val="sr-Latn-ME"/>
        </w:rPr>
        <w:footnoteReference w:id="40"/>
      </w:r>
      <w:r w:rsidRPr="00F96844">
        <w:rPr>
          <w:rFonts w:cs="Arial"/>
          <w:sz w:val="24"/>
          <w:szCs w:val="24"/>
          <w:lang w:val="sr-Latn-ME"/>
        </w:rPr>
        <w:t>.</w:t>
      </w:r>
    </w:p>
    <w:p w14:paraId="16DAB380" w14:textId="77777777" w:rsidR="00A64A0A" w:rsidRPr="00F96844" w:rsidRDefault="00A64A0A" w:rsidP="00780738">
      <w:pPr>
        <w:jc w:val="both"/>
        <w:rPr>
          <w:rFonts w:cs="Arial"/>
          <w:sz w:val="24"/>
          <w:szCs w:val="24"/>
          <w:lang w:val="sr-Latn-ME"/>
        </w:rPr>
      </w:pPr>
    </w:p>
    <w:p w14:paraId="5F24E454" w14:textId="77777777" w:rsidR="00D614D1" w:rsidRPr="00F96844" w:rsidRDefault="00D614D1" w:rsidP="00780738">
      <w:pPr>
        <w:jc w:val="both"/>
        <w:rPr>
          <w:rFonts w:eastAsia="Calibri" w:cs="Arial"/>
          <w:color w:val="000000"/>
          <w:sz w:val="24"/>
          <w:szCs w:val="24"/>
          <w:lang w:val="sr-Latn-ME" w:eastAsia="x-none"/>
        </w:rPr>
      </w:pPr>
      <w:r w:rsidRPr="00F96844">
        <w:rPr>
          <w:rFonts w:eastAsia="Calibri" w:cs="Arial"/>
          <w:bCs/>
          <w:color w:val="000000"/>
          <w:sz w:val="24"/>
          <w:szCs w:val="24"/>
          <w:lang w:val="sr-Latn-ME" w:eastAsia="x-none"/>
        </w:rPr>
        <w:t>Zakonom</w:t>
      </w:r>
      <w:r w:rsidR="00E25B9C" w:rsidRPr="00F96844">
        <w:rPr>
          <w:rFonts w:eastAsia="Calibri" w:cs="Arial"/>
          <w:bCs/>
          <w:color w:val="000000"/>
          <w:sz w:val="24"/>
          <w:szCs w:val="24"/>
          <w:lang w:val="sr-Latn-ME" w:eastAsia="x-none"/>
        </w:rPr>
        <w:t xml:space="preserve"> </w:t>
      </w:r>
      <w:r w:rsidRPr="00F96844">
        <w:rPr>
          <w:rFonts w:eastAsia="Calibri" w:cs="Arial"/>
          <w:bCs/>
          <w:color w:val="000000"/>
          <w:sz w:val="24"/>
          <w:szCs w:val="24"/>
          <w:lang w:val="sr-Latn-ME" w:eastAsia="x-none"/>
        </w:rPr>
        <w:t xml:space="preserve">o povlastici na putovanje lica s invaliditetom </w:t>
      </w:r>
      <w:r w:rsidRPr="00F96844">
        <w:rPr>
          <w:rFonts w:eastAsia="Calibri" w:cs="Arial"/>
          <w:color w:val="000000"/>
          <w:sz w:val="24"/>
          <w:szCs w:val="24"/>
          <w:lang w:val="sr-Latn-ME" w:eastAsia="x-none"/>
        </w:rPr>
        <w:t>(„Službeni list CG”, br. 80/08, 40/11 i 10/15) licima s invaliditetom omogućen je dodatni oblik zaštite u skladu s članom 68 Ustava Crne Gore, kojim se jamči posebna zaštita lica s</w:t>
      </w:r>
      <w:r w:rsidR="00E25B9C" w:rsidRPr="00F96844">
        <w:rPr>
          <w:rFonts w:eastAsia="Calibri" w:cs="Arial"/>
          <w:color w:val="000000"/>
          <w:sz w:val="24"/>
          <w:szCs w:val="24"/>
          <w:lang w:val="sr-Latn-ME" w:eastAsia="x-none"/>
        </w:rPr>
        <w:t xml:space="preserve"> </w:t>
      </w:r>
      <w:r w:rsidRPr="00F96844">
        <w:rPr>
          <w:rFonts w:eastAsia="Calibri" w:cs="Arial"/>
          <w:color w:val="000000"/>
          <w:sz w:val="24"/>
          <w:szCs w:val="24"/>
          <w:lang w:val="sr-Latn-ME" w:eastAsia="x-none"/>
        </w:rPr>
        <w:t xml:space="preserve">invaliditetom. </w:t>
      </w:r>
      <w:r w:rsidRPr="00F96844">
        <w:rPr>
          <w:rFonts w:eastAsia="Calibri" w:cs="Arial"/>
          <w:bCs/>
          <w:color w:val="000000"/>
          <w:sz w:val="24"/>
          <w:szCs w:val="24"/>
          <w:lang w:val="sr-Latn-ME" w:eastAsia="x-none"/>
        </w:rPr>
        <w:t xml:space="preserve">Zakonom je propisano da </w:t>
      </w:r>
      <w:r w:rsidRPr="00F96844">
        <w:rPr>
          <w:rFonts w:eastAsia="Calibri" w:cs="Arial"/>
          <w:color w:val="000000"/>
          <w:sz w:val="24"/>
          <w:szCs w:val="24"/>
          <w:lang w:val="sr-Latn-ME" w:eastAsia="x-none"/>
        </w:rPr>
        <w:t>lice s invaliditetom ima pravo na povlasticu na 12 putovanj</w:t>
      </w:r>
      <w:r w:rsidR="00017587">
        <w:rPr>
          <w:rFonts w:eastAsia="Calibri" w:cs="Arial"/>
          <w:color w:val="000000"/>
          <w:sz w:val="24"/>
          <w:szCs w:val="24"/>
          <w:lang w:val="sr-Latn-ME" w:eastAsia="x-none"/>
        </w:rPr>
        <w:t>a</w:t>
      </w:r>
      <w:r w:rsidRPr="00F96844">
        <w:rPr>
          <w:rFonts w:eastAsia="Calibri" w:cs="Arial"/>
          <w:color w:val="000000"/>
          <w:sz w:val="24"/>
          <w:szCs w:val="24"/>
          <w:lang w:val="sr-Latn-ME" w:eastAsia="x-none"/>
        </w:rPr>
        <w:t xml:space="preserve"> u drumskom i željezničkom saobraćaju na teritoriji Crne Gore u toku kalendarske godine. Pravo na povlasticu na putovanje ima i pratilac</w:t>
      </w:r>
      <w:r w:rsidR="00405F46">
        <w:rPr>
          <w:rFonts w:eastAsia="Calibri" w:cs="Arial"/>
          <w:color w:val="000000"/>
          <w:sz w:val="24"/>
          <w:szCs w:val="24"/>
          <w:lang w:val="sr-Latn-ME" w:eastAsia="x-none"/>
        </w:rPr>
        <w:t>/</w:t>
      </w:r>
      <w:r w:rsidR="00017587">
        <w:rPr>
          <w:rFonts w:eastAsia="Calibri" w:cs="Arial"/>
          <w:color w:val="000000"/>
          <w:sz w:val="24"/>
          <w:szCs w:val="24"/>
          <w:lang w:val="sr-Latn-ME" w:eastAsia="x-none"/>
        </w:rPr>
        <w:t>prati</w:t>
      </w:r>
      <w:r w:rsidR="000E6197">
        <w:rPr>
          <w:rFonts w:eastAsia="Calibri" w:cs="Arial"/>
          <w:color w:val="000000"/>
          <w:sz w:val="24"/>
          <w:szCs w:val="24"/>
          <w:lang w:val="sr-Latn-ME" w:eastAsia="x-none"/>
        </w:rPr>
        <w:t>teljka</w:t>
      </w:r>
      <w:r w:rsidRPr="00F96844">
        <w:rPr>
          <w:rFonts w:eastAsia="Calibri" w:cs="Arial"/>
          <w:color w:val="000000"/>
          <w:sz w:val="24"/>
          <w:szCs w:val="24"/>
          <w:lang w:val="sr-Latn-ME" w:eastAsia="x-none"/>
        </w:rPr>
        <w:t xml:space="preserve"> lica s invaliditetom. Lice s invaliditetom koje je u radnom odnosu ima pravo i na povlasticu na putovanje od mjesta stanovanja do mjesta rada, kao i povratak u mjesto stanovanja. K</w:t>
      </w:r>
      <w:r w:rsidR="00017587">
        <w:rPr>
          <w:rFonts w:eastAsia="Calibri" w:cs="Arial"/>
          <w:color w:val="000000"/>
          <w:sz w:val="24"/>
          <w:szCs w:val="24"/>
          <w:lang w:val="sr-Latn-ME" w:eastAsia="x-none"/>
        </w:rPr>
        <w:t>orisnik/korisnica</w:t>
      </w:r>
      <w:r w:rsidRPr="00F96844">
        <w:rPr>
          <w:rFonts w:eastAsia="Calibri" w:cs="Arial"/>
          <w:color w:val="000000"/>
          <w:sz w:val="24"/>
          <w:szCs w:val="24"/>
          <w:lang w:val="sr-Latn-ME" w:eastAsia="x-none"/>
        </w:rPr>
        <w:t xml:space="preserve"> povlastice na putovanje i njegov </w:t>
      </w:r>
      <w:r w:rsidR="00017587">
        <w:rPr>
          <w:rFonts w:eastAsia="Calibri" w:cs="Arial"/>
          <w:color w:val="000000"/>
          <w:sz w:val="24"/>
          <w:szCs w:val="24"/>
          <w:lang w:val="sr-Latn-ME" w:eastAsia="x-none"/>
        </w:rPr>
        <w:t>pratilac/pratiteljka</w:t>
      </w:r>
      <w:r w:rsidRPr="00F96844">
        <w:rPr>
          <w:rFonts w:eastAsia="Calibri" w:cs="Arial"/>
          <w:color w:val="000000"/>
          <w:sz w:val="24"/>
          <w:szCs w:val="24"/>
          <w:lang w:val="sr-Latn-ME" w:eastAsia="x-none"/>
        </w:rPr>
        <w:t xml:space="preserve"> imaju pravo na naknadu novčanih sredstava u visini cijene vozne karte.</w:t>
      </w:r>
      <w:r w:rsidR="00FD7ACA" w:rsidRPr="00F96844">
        <w:rPr>
          <w:rStyle w:val="FootnoteReference"/>
          <w:rFonts w:eastAsia="Calibri" w:cs="Arial"/>
          <w:color w:val="000000"/>
          <w:sz w:val="24"/>
          <w:szCs w:val="24"/>
          <w:lang w:val="sr-Latn-ME" w:eastAsia="x-none"/>
        </w:rPr>
        <w:footnoteReference w:id="41"/>
      </w:r>
    </w:p>
    <w:p w14:paraId="25585883" w14:textId="77777777" w:rsidR="00A64A0A" w:rsidRPr="00F96844" w:rsidRDefault="00A64A0A" w:rsidP="005114FD">
      <w:pPr>
        <w:jc w:val="both"/>
        <w:rPr>
          <w:rFonts w:eastAsia="Calibri" w:cs="Arial"/>
          <w:color w:val="000000"/>
          <w:sz w:val="24"/>
          <w:szCs w:val="24"/>
          <w:lang w:val="sr-Latn-ME" w:eastAsia="x-none"/>
        </w:rPr>
      </w:pPr>
    </w:p>
    <w:p w14:paraId="494865F1" w14:textId="77777777" w:rsidR="00D614D1" w:rsidRPr="00F96844" w:rsidRDefault="00D614D1" w:rsidP="00780738">
      <w:pPr>
        <w:jc w:val="both"/>
        <w:rPr>
          <w:rFonts w:cs="Arial"/>
          <w:sz w:val="24"/>
          <w:szCs w:val="24"/>
          <w:lang w:val="sr-Latn-ME"/>
        </w:rPr>
      </w:pPr>
      <w:r w:rsidRPr="00F96844">
        <w:rPr>
          <w:rFonts w:cs="Arial"/>
          <w:color w:val="000000"/>
          <w:sz w:val="24"/>
          <w:szCs w:val="24"/>
          <w:lang w:val="sr-Latn-ME"/>
        </w:rPr>
        <w:t>Zakonom o kretanju lica s invaliditetom uz pomoć psa pomagača („Službeni list CG”, br. 76/09 i 40/11)</w:t>
      </w:r>
      <w:r w:rsidRPr="00F96844">
        <w:rPr>
          <w:rFonts w:cs="Arial"/>
          <w:sz w:val="24"/>
          <w:szCs w:val="24"/>
          <w:lang w:val="sr-Latn-ME"/>
        </w:rPr>
        <w:t xml:space="preserve"> uređuje se pravo lica s invaliditetom da</w:t>
      </w:r>
      <w:r w:rsidR="004C5D23">
        <w:rPr>
          <w:rFonts w:cs="Arial"/>
          <w:sz w:val="24"/>
          <w:szCs w:val="24"/>
          <w:lang w:val="sr-Latn-ME"/>
        </w:rPr>
        <w:t xml:space="preserve"> s p</w:t>
      </w:r>
      <w:r w:rsidRPr="00F96844">
        <w:rPr>
          <w:rFonts w:cs="Arial"/>
          <w:sz w:val="24"/>
          <w:szCs w:val="24"/>
          <w:lang w:val="sr-Latn-ME"/>
        </w:rPr>
        <w:t>som pomagačem koristi prevozna sredstva u drumskom, želj</w:t>
      </w:r>
      <w:r w:rsidR="00685D62">
        <w:rPr>
          <w:rFonts w:cs="Arial"/>
          <w:sz w:val="24"/>
          <w:szCs w:val="24"/>
          <w:lang w:val="sr-Latn-ME"/>
        </w:rPr>
        <w:t>e</w:t>
      </w:r>
      <w:r w:rsidRPr="00F96844">
        <w:rPr>
          <w:rFonts w:cs="Arial"/>
          <w:sz w:val="24"/>
          <w:szCs w:val="24"/>
          <w:lang w:val="sr-Latn-ME"/>
        </w:rPr>
        <w:t xml:space="preserve">zničkom, pomorskom i vazdušnom saobraćaju, </w:t>
      </w:r>
      <w:r w:rsidRPr="00F96844">
        <w:rPr>
          <w:rFonts w:cs="Arial"/>
          <w:sz w:val="24"/>
          <w:szCs w:val="24"/>
          <w:lang w:val="sr-Latn-ME"/>
        </w:rPr>
        <w:lastRenderedPageBreak/>
        <w:t>imaju pristup i boravak na javnom mjestu i slobodan pristup i boravak u radnom prostoru</w:t>
      </w:r>
      <w:r w:rsidR="00017587">
        <w:rPr>
          <w:rFonts w:cs="Arial"/>
          <w:sz w:val="24"/>
          <w:szCs w:val="24"/>
          <w:lang w:val="sr-Latn-ME"/>
        </w:rPr>
        <w:t>.</w:t>
      </w:r>
      <w:r w:rsidR="00FD7ACA" w:rsidRPr="00F96844">
        <w:rPr>
          <w:rStyle w:val="FootnoteReference"/>
          <w:rFonts w:cs="Arial"/>
          <w:sz w:val="24"/>
          <w:szCs w:val="24"/>
          <w:lang w:val="sr-Latn-ME"/>
        </w:rPr>
        <w:footnoteReference w:id="42"/>
      </w:r>
      <w:r w:rsidRPr="00F96844">
        <w:rPr>
          <w:rFonts w:cs="Arial"/>
          <w:sz w:val="24"/>
          <w:szCs w:val="24"/>
          <w:lang w:val="sr-Latn-ME"/>
        </w:rPr>
        <w:t xml:space="preserve"> </w:t>
      </w:r>
    </w:p>
    <w:p w14:paraId="797BABE9" w14:textId="77777777" w:rsidR="00A64A0A" w:rsidRPr="00F96844" w:rsidRDefault="00A64A0A" w:rsidP="00780738">
      <w:pPr>
        <w:jc w:val="both"/>
        <w:rPr>
          <w:rFonts w:eastAsiaTheme="minorEastAsia" w:cs="Arial"/>
          <w:sz w:val="24"/>
          <w:szCs w:val="24"/>
          <w:lang w:val="sr-Latn-ME"/>
        </w:rPr>
      </w:pPr>
    </w:p>
    <w:p w14:paraId="187EEFED" w14:textId="77777777" w:rsidR="00D614D1" w:rsidRPr="00F96844" w:rsidRDefault="00D614D1" w:rsidP="00780738">
      <w:pPr>
        <w:autoSpaceDE w:val="0"/>
        <w:autoSpaceDN w:val="0"/>
        <w:adjustRightInd w:val="0"/>
        <w:jc w:val="both"/>
        <w:rPr>
          <w:rFonts w:cs="Arial"/>
          <w:sz w:val="24"/>
          <w:szCs w:val="24"/>
          <w:lang w:val="sr-Latn-ME" w:eastAsia="sr-Latn-CS"/>
        </w:rPr>
      </w:pPr>
      <w:r w:rsidRPr="00F96844">
        <w:rPr>
          <w:rFonts w:cs="Arial"/>
          <w:color w:val="000000"/>
          <w:sz w:val="24"/>
          <w:szCs w:val="24"/>
          <w:lang w:val="sr-Latn-ME"/>
        </w:rPr>
        <w:t xml:space="preserve">Od nacionalnih propisa, primjenjuju se i: </w:t>
      </w:r>
      <w:r w:rsidRPr="00F96844">
        <w:rPr>
          <w:rFonts w:cs="Arial"/>
          <w:sz w:val="24"/>
          <w:szCs w:val="24"/>
          <w:lang w:val="sr-Latn-ME"/>
        </w:rPr>
        <w:t xml:space="preserve">Zakon o obeštećenju bivših korisnica naknada po osnovu rođenja troje ili više djece ("Službeni list CG", br. 145/21), Zakon o privremenom izdržavanju djece ("Službeni list CG", br. 80/22 i 123/23), </w:t>
      </w:r>
      <w:r w:rsidRPr="00F96844">
        <w:rPr>
          <w:rFonts w:cs="Arial"/>
          <w:sz w:val="24"/>
          <w:szCs w:val="24"/>
          <w:lang w:val="sr-Latn-ME" w:eastAsia="sr-Latn-CS"/>
        </w:rPr>
        <w:t>Zakon o zdravstvenoj zaštiti („Sl. list Crne Gore“, br.</w:t>
      </w:r>
      <w:r w:rsidR="00B142AA">
        <w:rPr>
          <w:rFonts w:cs="Arial"/>
          <w:sz w:val="24"/>
          <w:szCs w:val="24"/>
          <w:lang w:val="sr-Latn-ME" w:eastAsia="sr-Latn-CS"/>
        </w:rPr>
        <w:t xml:space="preserve"> </w:t>
      </w:r>
      <w:r w:rsidRPr="00F96844">
        <w:rPr>
          <w:rFonts w:cs="Arial"/>
          <w:sz w:val="24"/>
          <w:szCs w:val="24"/>
          <w:lang w:val="sr-Latn-ME" w:eastAsia="sr-Latn-CS"/>
        </w:rPr>
        <w:t>3/16, 39/16 i 2/17),</w:t>
      </w:r>
      <w:r w:rsidRPr="00F96844">
        <w:rPr>
          <w:rFonts w:cs="Arial"/>
          <w:sz w:val="24"/>
          <w:szCs w:val="24"/>
          <w:lang w:val="sr-Latn-ME"/>
        </w:rPr>
        <w:t xml:space="preserve"> Zakon o zdravstvenom osiguranju (</w:t>
      </w:r>
      <w:r w:rsidRPr="00F96844">
        <w:rPr>
          <w:rFonts w:cs="Arial"/>
          <w:sz w:val="24"/>
          <w:szCs w:val="24"/>
          <w:lang w:val="sr-Latn-ME" w:eastAsia="sr-Latn-CS"/>
        </w:rPr>
        <w:t xml:space="preserve">„Sl. list Crne Gore”, br. 6/16, 2/17 i 22/17), </w:t>
      </w:r>
      <w:r w:rsidRPr="00F96844">
        <w:rPr>
          <w:rFonts w:cs="Arial"/>
          <w:color w:val="000000"/>
          <w:sz w:val="24"/>
          <w:szCs w:val="24"/>
          <w:lang w:val="sr-Latn-ME"/>
        </w:rPr>
        <w:t xml:space="preserve">Zakon o penzijskom i invalidskom osiguranju („Sl. list </w:t>
      </w:r>
      <w:r w:rsidRPr="00F96844">
        <w:rPr>
          <w:rFonts w:cs="Arial"/>
          <w:sz w:val="24"/>
          <w:szCs w:val="24"/>
          <w:lang w:val="sr-Latn-ME" w:eastAsia="sr-Latn-CS"/>
        </w:rPr>
        <w:t>Republike Crne Gore</w:t>
      </w:r>
      <w:r w:rsidRPr="00F96844">
        <w:rPr>
          <w:rFonts w:cs="Arial"/>
          <w:color w:val="000000"/>
          <w:sz w:val="24"/>
          <w:szCs w:val="24"/>
          <w:lang w:val="sr-Latn-ME"/>
        </w:rPr>
        <w:t xml:space="preserve"> ", br. 54/03, 39/04, 61/04, 79/04, 81/04, 29/05, 14/07, 47/07, 12/07 i 13/07 i „Sl. list Crne Gore”, br. 79/08, 14/10, 78/10, 34/11, 39/11,</w:t>
      </w:r>
      <w:r w:rsidR="00E25B9C" w:rsidRPr="00F96844">
        <w:rPr>
          <w:rFonts w:cs="Arial"/>
          <w:color w:val="000000"/>
          <w:sz w:val="24"/>
          <w:szCs w:val="24"/>
          <w:lang w:val="sr-Latn-ME"/>
        </w:rPr>
        <w:t xml:space="preserve"> </w:t>
      </w:r>
      <w:r w:rsidRPr="00F96844">
        <w:rPr>
          <w:rFonts w:cs="Arial"/>
          <w:color w:val="000000"/>
          <w:sz w:val="24"/>
          <w:szCs w:val="24"/>
          <w:lang w:val="sr-Latn-ME"/>
        </w:rPr>
        <w:t>40/11, 66/12, 36/13, 38/13, 61/13, 6/14, 60/14, 10/15, 44/15, 42/16 i 55/16),</w:t>
      </w:r>
      <w:r w:rsidRPr="00F96844">
        <w:rPr>
          <w:rFonts w:cs="Arial"/>
          <w:sz w:val="24"/>
          <w:szCs w:val="24"/>
          <w:lang w:val="sr-Latn-ME" w:eastAsia="sr-Latn-CS"/>
        </w:rPr>
        <w:t xml:space="preserve"> </w:t>
      </w:r>
      <w:r w:rsidRPr="00F96844">
        <w:rPr>
          <w:rFonts w:cs="Arial"/>
          <w:sz w:val="24"/>
          <w:szCs w:val="24"/>
          <w:lang w:val="sr-Latn-ME"/>
        </w:rPr>
        <w:t xml:space="preserve">Zakon o zabrani diskriminacije lica </w:t>
      </w:r>
      <w:r w:rsidR="00867803">
        <w:rPr>
          <w:rFonts w:cs="Arial"/>
          <w:sz w:val="24"/>
          <w:szCs w:val="24"/>
          <w:lang w:val="sr-Latn-ME"/>
        </w:rPr>
        <w:t>sa</w:t>
      </w:r>
      <w:r w:rsidRPr="00F96844">
        <w:rPr>
          <w:rFonts w:cs="Arial"/>
          <w:sz w:val="24"/>
          <w:szCs w:val="24"/>
          <w:lang w:val="sr-Latn-ME"/>
        </w:rPr>
        <w:t xml:space="preserve"> invaliditetom ("Službeni list CG", br. 35/15 i 44/15), </w:t>
      </w:r>
      <w:r w:rsidRPr="00F96844">
        <w:rPr>
          <w:rFonts w:cs="Arial"/>
          <w:sz w:val="24"/>
          <w:szCs w:val="24"/>
          <w:lang w:val="sr-Latn-ME" w:eastAsia="sr-Latn-CS"/>
        </w:rPr>
        <w:t>Porodični zakon</w:t>
      </w:r>
      <w:r w:rsidRPr="00F96844">
        <w:rPr>
          <w:rFonts w:cs="Arial"/>
          <w:b/>
          <w:sz w:val="24"/>
          <w:szCs w:val="24"/>
          <w:lang w:val="sr-Latn-ME" w:eastAsia="sr-Latn-CS"/>
        </w:rPr>
        <w:t xml:space="preserve"> </w:t>
      </w:r>
      <w:r w:rsidRPr="00F96844">
        <w:rPr>
          <w:rFonts w:cs="Arial"/>
          <w:sz w:val="24"/>
          <w:szCs w:val="24"/>
          <w:lang w:val="sr-Latn-ME" w:eastAsia="sr-Latn-CS"/>
        </w:rPr>
        <w:t>(„Sl. list Republike Crne Gore“, broj 1/07 i „Sl. list Crne Gore“ broj 53/16),</w:t>
      </w:r>
      <w:r w:rsidRPr="00F96844">
        <w:rPr>
          <w:rFonts w:cs="Arial"/>
          <w:sz w:val="24"/>
          <w:szCs w:val="24"/>
          <w:lang w:val="sr-Latn-ME"/>
        </w:rPr>
        <w:t xml:space="preserve"> Zakon o zaštiti od nasilja u porodici ("Službeni list CG", br. 46/10 i 40/11)</w:t>
      </w:r>
      <w:r w:rsidRPr="00F96844">
        <w:rPr>
          <w:rFonts w:cs="Arial"/>
          <w:b/>
          <w:sz w:val="24"/>
          <w:szCs w:val="24"/>
          <w:lang w:val="sr-Latn-ME" w:eastAsia="sr-Latn-CS"/>
        </w:rPr>
        <w:t xml:space="preserve"> </w:t>
      </w:r>
      <w:r w:rsidRPr="00F96844">
        <w:rPr>
          <w:rFonts w:cs="Arial"/>
          <w:sz w:val="24"/>
          <w:szCs w:val="24"/>
          <w:lang w:val="sr-Latn-ME" w:eastAsia="sr-Latn-CS"/>
        </w:rPr>
        <w:t>Zakon o postupanju prema maloljetnicima u krivičnom postupku („Sl. list Crne Gore“ broj 64/11) i dr.</w:t>
      </w:r>
    </w:p>
    <w:p w14:paraId="58C70853" w14:textId="77777777" w:rsidR="00800BE0" w:rsidRPr="00F96844" w:rsidRDefault="00800BE0" w:rsidP="00800BE0">
      <w:pPr>
        <w:spacing w:after="160" w:line="259" w:lineRule="auto"/>
        <w:jc w:val="both"/>
        <w:rPr>
          <w:rFonts w:asciiTheme="minorHAnsi" w:hAnsiTheme="minorHAnsi"/>
          <w:kern w:val="2"/>
          <w:sz w:val="24"/>
          <w:szCs w:val="24"/>
          <w:lang w:val="sr-Latn-ME"/>
          <w14:ligatures w14:val="standardContextual"/>
        </w:rPr>
      </w:pPr>
    </w:p>
    <w:p w14:paraId="66973EF4"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b/>
          <w:kern w:val="2"/>
          <w:sz w:val="24"/>
          <w:szCs w:val="24"/>
          <w:lang w:val="sr-Latn-ME"/>
          <w14:ligatures w14:val="standardContextual"/>
        </w:rPr>
        <w:t>Usaglašenost s principom rodne ravnopravnosti</w:t>
      </w:r>
      <w:r w:rsidRPr="00F96844">
        <w:rPr>
          <w:rFonts w:cs="Arial"/>
          <w:kern w:val="2"/>
          <w:sz w:val="24"/>
          <w:szCs w:val="24"/>
          <w:lang w:val="sr-Latn-ME"/>
          <w14:ligatures w14:val="standardContextual"/>
        </w:rPr>
        <w:t xml:space="preserve"> </w:t>
      </w:r>
    </w:p>
    <w:p w14:paraId="5356F892"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Radna grupa je prilikom izrade Strategije razvoja sistema socijalne i dječje zaštite posebno vodila računa o rodnoj perspektivi u odnosu na oblasti koje će ovaj dokument obuhvatiti.</w:t>
      </w:r>
      <w:r w:rsidR="0058727B">
        <w:rPr>
          <w:rFonts w:cs="Arial"/>
          <w:kern w:val="2"/>
          <w:sz w:val="24"/>
          <w:szCs w:val="24"/>
          <w:lang w:val="sr-Latn-ME"/>
          <w14:ligatures w14:val="standardContextual"/>
        </w:rPr>
        <w:t xml:space="preserve"> </w:t>
      </w:r>
      <w:r w:rsidR="00922B61">
        <w:rPr>
          <w:rFonts w:cs="Arial"/>
          <w:kern w:val="2"/>
          <w:sz w:val="24"/>
          <w:szCs w:val="24"/>
          <w:lang w:val="sr-Latn-ME"/>
          <w14:ligatures w14:val="standardContextual"/>
        </w:rPr>
        <w:t>U radnoj grupi učestvovalo je 23 člana/članice, od čega 18 žena i 5 muškaraca, međutim bez obzira na nejednaku zastupljenost oba pola radna grupa se trudila da se svi operativni ciljevi, mjere i aktivnosti sagledaju sa rodnog aspekta.</w:t>
      </w:r>
    </w:p>
    <w:p w14:paraId="4A8AE263"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Prvenstveno, vodil</w:t>
      </w:r>
      <w:r w:rsidR="00D213BC">
        <w:rPr>
          <w:rFonts w:cs="Arial"/>
          <w:kern w:val="2"/>
          <w:sz w:val="24"/>
          <w:szCs w:val="24"/>
          <w:lang w:val="sr-Latn-ME"/>
          <w14:ligatures w14:val="standardContextual"/>
        </w:rPr>
        <w:t>o se</w:t>
      </w:r>
      <w:r w:rsidRPr="00F96844">
        <w:rPr>
          <w:rFonts w:cs="Arial"/>
          <w:kern w:val="2"/>
          <w:sz w:val="24"/>
          <w:szCs w:val="24"/>
          <w:lang w:val="sr-Latn-ME"/>
          <w14:ligatures w14:val="standardContextual"/>
        </w:rPr>
        <w:t xml:space="preserve"> računa o tome da podaci koje smo koristili budu raščlanjeni po polu, ali i po drugim relevantnim karakteristikama (npr. etničko porijeklo, socio-ekonomski status i sl</w:t>
      </w:r>
      <w:r w:rsidR="00017587">
        <w:rPr>
          <w:rFonts w:cs="Arial"/>
          <w:kern w:val="2"/>
          <w:sz w:val="24"/>
          <w:szCs w:val="24"/>
          <w:lang w:val="sr-Latn-ME"/>
          <w14:ligatures w14:val="standardContextual"/>
        </w:rPr>
        <w:t>.</w:t>
      </w:r>
      <w:r w:rsidRPr="00F96844">
        <w:rPr>
          <w:rFonts w:cs="Arial"/>
          <w:kern w:val="2"/>
          <w:sz w:val="24"/>
          <w:szCs w:val="24"/>
          <w:lang w:val="sr-Latn-ME"/>
          <w14:ligatures w14:val="standardContextual"/>
        </w:rPr>
        <w:t>). Međutim, tom prilikom radna grupa se susrela</w:t>
      </w:r>
      <w:r w:rsidR="004C5D23">
        <w:rPr>
          <w:rFonts w:cs="Arial"/>
          <w:kern w:val="2"/>
          <w:sz w:val="24"/>
          <w:szCs w:val="24"/>
          <w:lang w:val="sr-Latn-ME"/>
          <w14:ligatures w14:val="standardContextual"/>
        </w:rPr>
        <w:t xml:space="preserve"> s p</w:t>
      </w:r>
      <w:r w:rsidRPr="00F96844">
        <w:rPr>
          <w:rFonts w:cs="Arial"/>
          <w:kern w:val="2"/>
          <w:sz w:val="24"/>
          <w:szCs w:val="24"/>
          <w:lang w:val="sr-Latn-ME"/>
          <w14:ligatures w14:val="standardContextual"/>
        </w:rPr>
        <w:t>roblemom nedostatka podataka</w:t>
      </w:r>
      <w:r w:rsidR="000B2A93">
        <w:rPr>
          <w:rFonts w:cs="Arial"/>
          <w:kern w:val="2"/>
          <w:sz w:val="24"/>
          <w:szCs w:val="24"/>
          <w:lang w:val="sr-Latn-ME"/>
          <w14:ligatures w14:val="standardContextual"/>
        </w:rPr>
        <w:t>,</w:t>
      </w:r>
      <w:r w:rsidRPr="00F96844">
        <w:rPr>
          <w:rFonts w:cs="Arial"/>
          <w:kern w:val="2"/>
          <w:sz w:val="24"/>
          <w:szCs w:val="24"/>
          <w:lang w:val="sr-Latn-ME"/>
          <w14:ligatures w14:val="standardContextual"/>
        </w:rPr>
        <w:t xml:space="preserve"> kao i neredovnim ažuriranjem  podataka.</w:t>
      </w:r>
    </w:p>
    <w:p w14:paraId="4D1BD8A4" w14:textId="1EB05275" w:rsidR="005E4E7F" w:rsidRPr="005E4E7F" w:rsidRDefault="005E4E7F" w:rsidP="00780738">
      <w:pPr>
        <w:spacing w:after="160"/>
        <w:jc w:val="both"/>
        <w:rPr>
          <w:rFonts w:cs="Arial"/>
          <w:sz w:val="24"/>
          <w:szCs w:val="24"/>
        </w:rPr>
      </w:pPr>
      <w:r w:rsidRPr="005E4E7F">
        <w:rPr>
          <w:rFonts w:cs="Arial"/>
          <w:kern w:val="2"/>
          <w:sz w:val="24"/>
          <w:szCs w:val="24"/>
          <w:lang w:val="sr-Latn-ME"/>
          <w14:ligatures w14:val="standardContextual"/>
        </w:rPr>
        <w:t xml:space="preserve">Naime, kada je riječ o rodnoj statistici, u članu 14 Zakona o rodnoj ravnopravnosti propisuje se obaveza organa da vode statistiku po polnoj pripadnosti. U praksi, rodna statistika se vodi samo u određenim oblastima. </w:t>
      </w:r>
      <w:r w:rsidRPr="005E4E7F">
        <w:rPr>
          <w:rFonts w:cs="Arial"/>
          <w:sz w:val="24"/>
          <w:szCs w:val="24"/>
          <w:lang w:val="sr-Latn-ME"/>
        </w:rPr>
        <w:t xml:space="preserve">U informacionom sistemu socijalne i dječije zaštite postoje podaci o materijalnim davanjima i uslugama koji su razvrstani prema polu, ali ne i prema rodu. </w:t>
      </w:r>
      <w:r w:rsidRPr="005E4E7F">
        <w:rPr>
          <w:rFonts w:cs="Arial"/>
          <w:sz w:val="24"/>
          <w:szCs w:val="24"/>
        </w:rPr>
        <w:t>Što nam ukazuje da je u narednom periodu neophodno raditi na dodatnom unapređivanju informacionog sistema,</w:t>
      </w:r>
      <w:r w:rsidR="009F285A">
        <w:rPr>
          <w:rFonts w:cs="Arial"/>
          <w:sz w:val="24"/>
          <w:szCs w:val="24"/>
        </w:rPr>
        <w:t xml:space="preserve"> </w:t>
      </w:r>
      <w:r w:rsidRPr="005E4E7F">
        <w:rPr>
          <w:rFonts w:cs="Arial"/>
          <w:sz w:val="24"/>
          <w:szCs w:val="24"/>
        </w:rPr>
        <w:t>ali i kroz rodnu analizu postojećih podataka sagledati na koji način ostvarena prava i dostupnost postojećih usluga dovodi do stvarnog podizanja kvaliteta života muškaraca i žena u Crnoj Gori”</w:t>
      </w:r>
    </w:p>
    <w:p w14:paraId="4052DBE7"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U skladu s Nacionalnom strategijom održivog razvoja do 2030. godine, jedan od prioritetnih ciljeva jeste postizanje rodne ravnopravnosti i osnaživanje svih žena i djevojčica kako bi se stvorio pravedan, tolerantan, otvoren i društveno inkluzivan svijet u kome su zadovoljene potrebe svih. Neophodno je usvojiti i ojačati odgovarajuće politike i važeće zakone za promovisanje rodne ravnopravnosti i osnaživanje svih žena i djevojčica na svim nivoima.</w:t>
      </w:r>
    </w:p>
    <w:p w14:paraId="45CAFBF8"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lastRenderedPageBreak/>
        <w:t>Uvođenje rodne perspektive u sistem socijalne i d</w:t>
      </w:r>
      <w:r w:rsidR="00EB2F1D">
        <w:rPr>
          <w:rFonts w:cs="Arial"/>
          <w:kern w:val="2"/>
          <w:sz w:val="24"/>
          <w:szCs w:val="24"/>
          <w:lang w:val="sr-Latn-ME"/>
          <w14:ligatures w14:val="standardContextual"/>
        </w:rPr>
        <w:t>ječj</w:t>
      </w:r>
      <w:r w:rsidRPr="00F96844">
        <w:rPr>
          <w:rFonts w:cs="Arial"/>
          <w:kern w:val="2"/>
          <w:sz w:val="24"/>
          <w:szCs w:val="24"/>
          <w:lang w:val="sr-Latn-ME"/>
          <w14:ligatures w14:val="standardContextual"/>
        </w:rPr>
        <w:t xml:space="preserve">e zaštite je veoma važno za unapređenje prava i osiguranja pravednosti i jednakosti za sve korisnike sistema. Razumijevanje rodnih razlika i potreba omogućava nam da adekvatno odgovorimo na izazove i potrebe koje pojedinci i grupe imaju na osnovu svog rodnog identiteta. Primjena ove perspektive omogućava nam da identifikujemo rodno zasnovane nejednakosti, prepoznamo rodno zasnovano nasilje i diskriminaciju, te time obezbijedimo pristup adekvatnoj podršci svim korisnicima, bez obzira na njihov rodni identitet. </w:t>
      </w:r>
    </w:p>
    <w:p w14:paraId="173124C6" w14:textId="77777777" w:rsidR="0052090F" w:rsidRPr="00FE626F" w:rsidRDefault="00800BE0" w:rsidP="00FE626F">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 xml:space="preserve">Usaglašenost s principom rodne ravnopravnosti u ovoj strategiji ogledaće se </w:t>
      </w:r>
      <w:r w:rsidR="000E6197">
        <w:rPr>
          <w:rFonts w:cs="Arial"/>
          <w:kern w:val="2"/>
          <w:sz w:val="24"/>
          <w:szCs w:val="24"/>
          <w:lang w:val="sr-Latn-ME"/>
          <w14:ligatures w14:val="standardContextual"/>
        </w:rPr>
        <w:t xml:space="preserve">i </w:t>
      </w:r>
      <w:r w:rsidRPr="00F96844">
        <w:rPr>
          <w:rFonts w:cs="Arial"/>
          <w:kern w:val="2"/>
          <w:sz w:val="24"/>
          <w:szCs w:val="24"/>
          <w:lang w:val="sr-Latn-ME"/>
          <w14:ligatures w14:val="standardContextual"/>
        </w:rPr>
        <w:t>u upotrebi rodno senzitivnog jezika.</w:t>
      </w:r>
    </w:p>
    <w:p w14:paraId="535C84F0" w14:textId="77777777" w:rsidR="00BC34AD" w:rsidRPr="00F96844" w:rsidRDefault="00BC75A6" w:rsidP="00780738">
      <w:pPr>
        <w:jc w:val="both"/>
        <w:rPr>
          <w:rFonts w:cs="Arial"/>
          <w:b/>
          <w:i/>
          <w:sz w:val="24"/>
          <w:szCs w:val="24"/>
          <w:lang w:val="sr-Latn-ME"/>
        </w:rPr>
      </w:pPr>
      <w:r w:rsidRPr="00F96844">
        <w:rPr>
          <w:rFonts w:cs="Arial"/>
          <w:b/>
          <w:i/>
          <w:sz w:val="24"/>
          <w:szCs w:val="24"/>
          <w:lang w:val="sr-Latn-ME"/>
        </w:rPr>
        <w:t>Usaglašenost</w:t>
      </w:r>
      <w:r w:rsidR="004C5D23">
        <w:rPr>
          <w:rFonts w:cs="Arial"/>
          <w:b/>
          <w:i/>
          <w:sz w:val="24"/>
          <w:szCs w:val="24"/>
          <w:lang w:val="sr-Latn-ME"/>
        </w:rPr>
        <w:t xml:space="preserve"> s p</w:t>
      </w:r>
      <w:r w:rsidR="000237EE">
        <w:rPr>
          <w:rFonts w:cs="Arial"/>
          <w:b/>
          <w:i/>
          <w:sz w:val="24"/>
          <w:szCs w:val="24"/>
          <w:lang w:val="sr-Latn-ME"/>
        </w:rPr>
        <w:t xml:space="preserve">rincipima </w:t>
      </w:r>
      <w:r w:rsidRPr="00F96844">
        <w:rPr>
          <w:rFonts w:cs="Arial"/>
          <w:b/>
          <w:i/>
          <w:sz w:val="24"/>
          <w:szCs w:val="24"/>
          <w:lang w:val="sr-Latn-ME"/>
        </w:rPr>
        <w:t>zaštit</w:t>
      </w:r>
      <w:r w:rsidR="000237EE">
        <w:rPr>
          <w:rFonts w:cs="Arial"/>
          <w:b/>
          <w:i/>
          <w:sz w:val="24"/>
          <w:szCs w:val="24"/>
          <w:lang w:val="sr-Latn-ME"/>
        </w:rPr>
        <w:t>e</w:t>
      </w:r>
      <w:r w:rsidRPr="00F96844">
        <w:rPr>
          <w:rFonts w:cs="Arial"/>
          <w:b/>
          <w:i/>
          <w:sz w:val="24"/>
          <w:szCs w:val="24"/>
          <w:lang w:val="sr-Latn-ME"/>
        </w:rPr>
        <w:t xml:space="preserve"> životne sredine </w:t>
      </w:r>
    </w:p>
    <w:p w14:paraId="1F64D031" w14:textId="77777777" w:rsidR="00A64A0A" w:rsidRPr="00F96844" w:rsidRDefault="00A64A0A" w:rsidP="00780738">
      <w:pPr>
        <w:jc w:val="both"/>
        <w:rPr>
          <w:rFonts w:cs="Arial"/>
          <w:b/>
          <w:sz w:val="24"/>
          <w:szCs w:val="24"/>
          <w:lang w:val="sr-Latn-ME"/>
        </w:rPr>
      </w:pPr>
    </w:p>
    <w:p w14:paraId="7993BBF1" w14:textId="77777777" w:rsidR="00D614D1" w:rsidRPr="00F96844" w:rsidRDefault="00D614D1" w:rsidP="000E6197">
      <w:pPr>
        <w:jc w:val="both"/>
        <w:rPr>
          <w:rFonts w:cs="Arial"/>
          <w:sz w:val="24"/>
          <w:szCs w:val="24"/>
          <w:lang w:val="sr-Latn-ME"/>
        </w:rPr>
      </w:pPr>
      <w:r w:rsidRPr="00F96844">
        <w:rPr>
          <w:rFonts w:cs="Arial"/>
          <w:sz w:val="24"/>
          <w:szCs w:val="24"/>
          <w:lang w:val="sr-Latn-ME"/>
        </w:rPr>
        <w:t>Strategija razvoja sistema socijalne i dječje zaštite (SDZ) Crne Gore se temelji na principu usklađenosti s Nacionalnom strategijom održivog razvoja do 2030. godine (NSOR 2030), prepoznajući ljudski kapital kao ključni faktor u ostvarivanju održivog razvoja.</w:t>
      </w:r>
    </w:p>
    <w:p w14:paraId="339E0C14" w14:textId="77777777" w:rsidR="00D614D1" w:rsidRPr="00F96844" w:rsidRDefault="00D614D1" w:rsidP="000E6197">
      <w:pPr>
        <w:jc w:val="both"/>
        <w:rPr>
          <w:rFonts w:cs="Arial"/>
          <w:sz w:val="24"/>
          <w:szCs w:val="24"/>
          <w:lang w:val="sr-Latn-ME"/>
        </w:rPr>
      </w:pPr>
      <w:r w:rsidRPr="00F96844">
        <w:rPr>
          <w:rFonts w:cs="Arial"/>
          <w:sz w:val="24"/>
          <w:szCs w:val="24"/>
          <w:lang w:val="sr-Latn-ME"/>
        </w:rPr>
        <w:t>Agenda održivog razvoja UN (The 2030 Agenda for Sustainable Development), zajedno s Evropskim zelenim planom (European Green Deal), postavlja okvir za transformaciju ka pravednijem i ekološki održivijem društvu. Ove inicijative naglašavaju važnost adekvatnih socijalnih usluga i sistema zaštite u ostvarivanju inkluzivne tranzicije.</w:t>
      </w:r>
    </w:p>
    <w:p w14:paraId="51423B19" w14:textId="77777777" w:rsidR="00D614D1" w:rsidRPr="00F96844" w:rsidRDefault="00D614D1" w:rsidP="000E6197">
      <w:pPr>
        <w:jc w:val="both"/>
        <w:rPr>
          <w:rFonts w:cs="Arial"/>
          <w:sz w:val="24"/>
          <w:szCs w:val="24"/>
          <w:lang w:val="sr-Latn-ME"/>
        </w:rPr>
      </w:pPr>
      <w:r w:rsidRPr="00F96844">
        <w:rPr>
          <w:rFonts w:cs="Arial"/>
          <w:sz w:val="24"/>
          <w:szCs w:val="24"/>
          <w:lang w:val="sr-Latn-ME"/>
        </w:rPr>
        <w:t>Socijalne službe su tijesno povezane s ekološkim izazovima, posebno u kontekstu rada</w:t>
      </w:r>
      <w:r w:rsidR="004C5D23">
        <w:rPr>
          <w:rFonts w:cs="Arial"/>
          <w:sz w:val="24"/>
          <w:szCs w:val="24"/>
          <w:lang w:val="sr-Latn-ME"/>
        </w:rPr>
        <w:t xml:space="preserve"> s r</w:t>
      </w:r>
      <w:r w:rsidRPr="00F96844">
        <w:rPr>
          <w:rFonts w:cs="Arial"/>
          <w:sz w:val="24"/>
          <w:szCs w:val="24"/>
          <w:lang w:val="sr-Latn-ME"/>
        </w:rPr>
        <w:t>anjivim kategorijama stanovništva. Postoji sve više dokaza koji ukazuju na međusobnu povezanost problema životne sredine i socijalnih problema, što utiče na sve aspekte ljudskog života. Stoga je neophodno razviti strategije koje će istovremeno adresirati socijalne potrebe i ekološke izazove, usmjeravajući se ka održivim rješenjima koja promovišu inkluzivni rast i zaštitu okoline.</w:t>
      </w:r>
    </w:p>
    <w:p w14:paraId="74E21422" w14:textId="77777777" w:rsidR="00CC6B34" w:rsidRPr="00F96844" w:rsidRDefault="00CC6B34" w:rsidP="00780738">
      <w:pPr>
        <w:jc w:val="both"/>
        <w:rPr>
          <w:rFonts w:cs="Arial"/>
          <w:sz w:val="24"/>
          <w:szCs w:val="24"/>
          <w:lang w:val="sr-Latn-ME"/>
        </w:rPr>
      </w:pPr>
    </w:p>
    <w:p w14:paraId="202B4554" w14:textId="77777777" w:rsidR="00CC6B34" w:rsidRPr="00F96844" w:rsidRDefault="00CC6B34" w:rsidP="00780738">
      <w:pPr>
        <w:rPr>
          <w:sz w:val="24"/>
          <w:szCs w:val="24"/>
          <w:lang w:val="sr-Latn-ME"/>
        </w:rPr>
      </w:pPr>
      <w:bookmarkStart w:id="61" w:name="_Toc167102104"/>
      <w:bookmarkStart w:id="62" w:name="_Toc167102873"/>
      <w:bookmarkStart w:id="63" w:name="_Toc167103276"/>
      <w:r w:rsidRPr="00F96844">
        <w:rPr>
          <w:b/>
          <w:sz w:val="24"/>
          <w:szCs w:val="24"/>
          <w:lang w:val="sr-Latn-ME"/>
        </w:rPr>
        <w:t>VIZIJA I STRATEŠKI CILJ</w:t>
      </w:r>
      <w:bookmarkEnd w:id="61"/>
      <w:bookmarkEnd w:id="62"/>
      <w:bookmarkEnd w:id="63"/>
    </w:p>
    <w:p w14:paraId="370F6D6D" w14:textId="77777777" w:rsidR="00CC6B34" w:rsidRPr="00F96844" w:rsidRDefault="00CC6B34" w:rsidP="00780738">
      <w:pPr>
        <w:rPr>
          <w:sz w:val="24"/>
          <w:szCs w:val="24"/>
          <w:lang w:val="sr-Latn-ME"/>
        </w:rPr>
      </w:pPr>
    </w:p>
    <w:p w14:paraId="65E5B421" w14:textId="77777777" w:rsidR="00CC6B34" w:rsidRPr="00F96844" w:rsidRDefault="00CC6B34" w:rsidP="00780738">
      <w:pPr>
        <w:jc w:val="both"/>
        <w:rPr>
          <w:sz w:val="24"/>
          <w:szCs w:val="24"/>
          <w:lang w:val="sr-Latn-ME"/>
        </w:rPr>
      </w:pPr>
      <w:r w:rsidRPr="00F96844">
        <w:rPr>
          <w:sz w:val="24"/>
          <w:szCs w:val="24"/>
          <w:lang w:val="sr-Latn-ME"/>
        </w:rPr>
        <w:t xml:space="preserve">Uzimajući u obzir prethodno navedeno, osnovna vizija i strateški </w:t>
      </w:r>
      <w:r w:rsidR="009A75E3">
        <w:rPr>
          <w:sz w:val="24"/>
          <w:szCs w:val="24"/>
          <w:lang w:val="sr-Latn-ME"/>
        </w:rPr>
        <w:t xml:space="preserve">pravac </w:t>
      </w:r>
      <w:r w:rsidRPr="00F96844">
        <w:rPr>
          <w:sz w:val="24"/>
          <w:szCs w:val="24"/>
          <w:lang w:val="sr-Latn-ME"/>
        </w:rPr>
        <w:t>raz</w:t>
      </w:r>
      <w:r w:rsidR="00E947BC">
        <w:rPr>
          <w:sz w:val="24"/>
          <w:szCs w:val="24"/>
          <w:lang w:val="sr-Latn-ME"/>
        </w:rPr>
        <w:t>vo</w:t>
      </w:r>
      <w:r w:rsidRPr="00F96844">
        <w:rPr>
          <w:sz w:val="24"/>
          <w:szCs w:val="24"/>
          <w:lang w:val="sr-Latn-ME"/>
        </w:rPr>
        <w:t>j</w:t>
      </w:r>
      <w:r w:rsidR="009A75E3">
        <w:rPr>
          <w:sz w:val="24"/>
          <w:szCs w:val="24"/>
          <w:lang w:val="sr-Latn-ME"/>
        </w:rPr>
        <w:t>a</w:t>
      </w:r>
      <w:r w:rsidRPr="00F96844">
        <w:rPr>
          <w:sz w:val="24"/>
          <w:szCs w:val="24"/>
          <w:lang w:val="sr-Latn-ME"/>
        </w:rPr>
        <w:t xml:space="preserve"> javne politike se ogledaju u:</w:t>
      </w:r>
    </w:p>
    <w:p w14:paraId="383C4568" w14:textId="77777777" w:rsidR="00CC6B34" w:rsidRPr="00F96844" w:rsidRDefault="00CC6B34" w:rsidP="00780738">
      <w:pPr>
        <w:jc w:val="both"/>
        <w:rPr>
          <w:rFonts w:cs="Arial"/>
          <w:sz w:val="24"/>
          <w:szCs w:val="24"/>
          <w:lang w:val="sr-Latn-ME"/>
        </w:rPr>
      </w:pPr>
    </w:p>
    <w:p w14:paraId="7B3F8470" w14:textId="77777777" w:rsidR="00CC6B34" w:rsidRPr="00F96844" w:rsidRDefault="00CC6B34" w:rsidP="00780738">
      <w:pPr>
        <w:jc w:val="both"/>
        <w:rPr>
          <w:rFonts w:eastAsia="Times New Roman" w:cs="Arial"/>
          <w:b/>
          <w:bCs/>
          <w:sz w:val="24"/>
          <w:szCs w:val="24"/>
          <w:lang w:val="sr-Latn-ME"/>
        </w:rPr>
      </w:pPr>
      <w:r w:rsidRPr="00F96844">
        <w:rPr>
          <w:rFonts w:eastAsia="Times New Roman" w:cs="Arial"/>
          <w:b/>
          <w:bCs/>
          <w:sz w:val="24"/>
          <w:szCs w:val="24"/>
          <w:lang w:val="sr-Latn-ME"/>
        </w:rPr>
        <w:t>Vizija socijalne i dječje zaštite u Crnoj Gori</w:t>
      </w:r>
    </w:p>
    <w:p w14:paraId="4EC8BED6" w14:textId="77777777" w:rsidR="00CC6B34" w:rsidRPr="00F96844" w:rsidRDefault="00CC6B34" w:rsidP="00780738">
      <w:pPr>
        <w:widowControl w:val="0"/>
        <w:autoSpaceDE w:val="0"/>
        <w:autoSpaceDN w:val="0"/>
        <w:adjustRightInd w:val="0"/>
        <w:jc w:val="both"/>
        <w:rPr>
          <w:rFonts w:eastAsia="Times New Roman" w:cs="Arial"/>
          <w:bCs/>
          <w:sz w:val="24"/>
          <w:szCs w:val="24"/>
          <w:lang w:val="sr-Latn-ME"/>
        </w:rPr>
      </w:pPr>
      <w:r w:rsidRPr="00F96844">
        <w:rPr>
          <w:rFonts w:eastAsia="Times New Roman" w:cs="Arial"/>
          <w:bCs/>
          <w:sz w:val="24"/>
          <w:szCs w:val="24"/>
          <w:lang w:val="sr-Latn-ME"/>
        </w:rPr>
        <w:t>Integrativna, djelotvorna i efikasna socijalna i dječja zaštita, zasnovana na ljudskim pravima i u skladu</w:t>
      </w:r>
      <w:r w:rsidR="004C5D23">
        <w:rPr>
          <w:rFonts w:eastAsia="Times New Roman" w:cs="Arial"/>
          <w:bCs/>
          <w:sz w:val="24"/>
          <w:szCs w:val="24"/>
          <w:lang w:val="sr-Latn-ME"/>
        </w:rPr>
        <w:t xml:space="preserve"> s r</w:t>
      </w:r>
      <w:r w:rsidRPr="00F96844">
        <w:rPr>
          <w:rFonts w:eastAsia="Times New Roman" w:cs="Arial"/>
          <w:bCs/>
          <w:sz w:val="24"/>
          <w:szCs w:val="24"/>
          <w:lang w:val="sr-Latn-ME"/>
        </w:rPr>
        <w:t>elevantnim evropskim i međunarodnim politikama i praksom, osigurava kvalitetniji život</w:t>
      </w:r>
      <w:r w:rsidR="00E947BC">
        <w:rPr>
          <w:rFonts w:eastAsia="Times New Roman" w:cs="Arial"/>
          <w:bCs/>
          <w:sz w:val="24"/>
          <w:szCs w:val="24"/>
          <w:lang w:val="sr-Latn-ME"/>
        </w:rPr>
        <w:t xml:space="preserve"> </w:t>
      </w:r>
      <w:r w:rsidRPr="00F96844">
        <w:rPr>
          <w:rFonts w:eastAsia="Times New Roman" w:cs="Arial"/>
          <w:bCs/>
          <w:sz w:val="24"/>
          <w:szCs w:val="24"/>
          <w:lang w:val="sr-Latn-ME"/>
        </w:rPr>
        <w:t xml:space="preserve">građana i građanki i </w:t>
      </w:r>
      <w:r w:rsidRPr="00F96844">
        <w:rPr>
          <w:rFonts w:eastAsia="Times New Roman" w:cs="Arial"/>
          <w:bCs/>
          <w:color w:val="000000"/>
          <w:sz w:val="24"/>
          <w:szCs w:val="24"/>
          <w:lang w:val="sr-Latn-ME"/>
        </w:rPr>
        <w:t xml:space="preserve">predstavlja važnu politiku u održivom ekonomskom razvoju Crne Gore. </w:t>
      </w:r>
    </w:p>
    <w:p w14:paraId="064E0537" w14:textId="77777777" w:rsidR="00CC6B34" w:rsidRPr="00F96844" w:rsidRDefault="00CC6B34" w:rsidP="00780738">
      <w:pPr>
        <w:widowControl w:val="0"/>
        <w:autoSpaceDE w:val="0"/>
        <w:autoSpaceDN w:val="0"/>
        <w:adjustRightInd w:val="0"/>
        <w:jc w:val="both"/>
        <w:rPr>
          <w:rFonts w:eastAsia="Times New Roman" w:cs="Arial"/>
          <w:b/>
          <w:bCs/>
          <w:sz w:val="24"/>
          <w:szCs w:val="24"/>
          <w:lang w:val="sr-Latn-ME"/>
        </w:rPr>
      </w:pPr>
    </w:p>
    <w:p w14:paraId="7A2AD0EA" w14:textId="77777777" w:rsidR="00CC6B34" w:rsidRPr="00F96844" w:rsidRDefault="00CC6B34" w:rsidP="00780738">
      <w:pPr>
        <w:widowControl w:val="0"/>
        <w:autoSpaceDE w:val="0"/>
        <w:autoSpaceDN w:val="0"/>
        <w:adjustRightInd w:val="0"/>
        <w:jc w:val="both"/>
        <w:rPr>
          <w:rFonts w:eastAsia="Times New Roman" w:cs="Arial"/>
          <w:sz w:val="24"/>
          <w:szCs w:val="24"/>
          <w:lang w:val="sr-Latn-ME"/>
        </w:rPr>
      </w:pPr>
      <w:r w:rsidRPr="00F96844">
        <w:rPr>
          <w:rFonts w:eastAsia="Times New Roman" w:cs="Arial"/>
          <w:b/>
          <w:bCs/>
          <w:sz w:val="24"/>
          <w:szCs w:val="24"/>
          <w:lang w:val="sr-Latn-ME"/>
        </w:rPr>
        <w:t xml:space="preserve">Strateški cilj Strategije socijalne i dječje zaštite </w:t>
      </w:r>
      <w:r w:rsidRPr="00F96844">
        <w:rPr>
          <w:rFonts w:eastAsia="Times New Roman" w:cs="Arial"/>
          <w:sz w:val="24"/>
          <w:szCs w:val="24"/>
          <w:lang w:val="sr-Latn-ME"/>
        </w:rPr>
        <w:t>je uspostavljanje i razvijanje integrativnog i održivog sistema socijalne i dječje zaštite</w:t>
      </w:r>
      <w:r w:rsidR="00E947BC">
        <w:rPr>
          <w:rFonts w:eastAsia="Times New Roman" w:cs="Arial"/>
          <w:sz w:val="24"/>
          <w:szCs w:val="24"/>
          <w:lang w:val="sr-Latn-ME"/>
        </w:rPr>
        <w:t>,</w:t>
      </w:r>
      <w:r w:rsidRPr="00F96844">
        <w:rPr>
          <w:rFonts w:eastAsia="Times New Roman" w:cs="Arial"/>
          <w:sz w:val="24"/>
          <w:szCs w:val="24"/>
          <w:lang w:val="sr-Latn-ME"/>
        </w:rPr>
        <w:t xml:space="preserve"> koji omogućava </w:t>
      </w:r>
      <w:r w:rsidR="00D757C8">
        <w:rPr>
          <w:rFonts w:eastAsia="Times New Roman" w:cs="Arial"/>
          <w:sz w:val="24"/>
          <w:szCs w:val="24"/>
          <w:lang w:val="sr-Latn-ME"/>
        </w:rPr>
        <w:t>unapre</w:t>
      </w:r>
      <w:r w:rsidRPr="00F96844">
        <w:rPr>
          <w:rFonts w:eastAsia="Times New Roman" w:cs="Arial"/>
          <w:sz w:val="24"/>
          <w:szCs w:val="24"/>
          <w:lang w:val="sr-Latn-ME"/>
        </w:rPr>
        <w:t xml:space="preserve">đenje i poboljšanje kvaliteta života korisnika. </w:t>
      </w:r>
    </w:p>
    <w:p w14:paraId="579D9B37" w14:textId="77777777" w:rsidR="00CC6B34" w:rsidRPr="00F96844" w:rsidRDefault="00CC6B34" w:rsidP="00780738">
      <w:pPr>
        <w:jc w:val="both"/>
        <w:rPr>
          <w:rFonts w:cs="Arial"/>
          <w:sz w:val="24"/>
          <w:szCs w:val="24"/>
          <w:lang w:val="sr-Latn-ME"/>
        </w:rPr>
      </w:pPr>
    </w:p>
    <w:p w14:paraId="545870B6" w14:textId="77777777" w:rsidR="00AE5BCF" w:rsidRDefault="00CC6B34" w:rsidP="00780738">
      <w:pPr>
        <w:jc w:val="both"/>
        <w:rPr>
          <w:rFonts w:cs="Arial"/>
          <w:sz w:val="24"/>
          <w:szCs w:val="24"/>
          <w:lang w:val="sr-Latn-ME"/>
        </w:rPr>
      </w:pPr>
      <w:r w:rsidRPr="00F96844">
        <w:rPr>
          <w:rFonts w:cs="Arial"/>
          <w:sz w:val="24"/>
          <w:szCs w:val="24"/>
          <w:lang w:val="sr-Latn-ME"/>
        </w:rPr>
        <w:t>U tom pogledu, u okviru analize stanja strateškog dokumenta biće analizirani svi relevantni segmenti u sistemu socijalne i d</w:t>
      </w:r>
      <w:r w:rsidR="00EB2F1D">
        <w:rPr>
          <w:rFonts w:cs="Arial"/>
          <w:sz w:val="24"/>
          <w:szCs w:val="24"/>
          <w:lang w:val="sr-Latn-ME"/>
        </w:rPr>
        <w:t>ječj</w:t>
      </w:r>
      <w:r w:rsidRPr="00F96844">
        <w:rPr>
          <w:rFonts w:cs="Arial"/>
          <w:sz w:val="24"/>
          <w:szCs w:val="24"/>
          <w:lang w:val="sr-Latn-ME"/>
        </w:rPr>
        <w:t>e zaštite i postavljena struktura adekvatnih operativ</w:t>
      </w:r>
      <w:r w:rsidR="00780738">
        <w:rPr>
          <w:rFonts w:cs="Arial"/>
          <w:sz w:val="24"/>
          <w:szCs w:val="24"/>
          <w:lang w:val="sr-Latn-ME"/>
        </w:rPr>
        <w:t>nih ciljeva i indikatora učinka.</w:t>
      </w:r>
    </w:p>
    <w:p w14:paraId="5FE8C6E3" w14:textId="77777777" w:rsidR="00780738" w:rsidRDefault="00780738" w:rsidP="00780738">
      <w:pPr>
        <w:jc w:val="both"/>
        <w:rPr>
          <w:rFonts w:cs="Arial"/>
          <w:sz w:val="24"/>
          <w:szCs w:val="24"/>
          <w:lang w:val="sr-Latn-ME"/>
        </w:rPr>
      </w:pPr>
    </w:p>
    <w:p w14:paraId="0022EB54" w14:textId="77777777" w:rsidR="00FE626F" w:rsidRDefault="00FE626F" w:rsidP="00780738">
      <w:pPr>
        <w:jc w:val="both"/>
        <w:rPr>
          <w:rFonts w:cs="Arial"/>
          <w:sz w:val="24"/>
          <w:szCs w:val="24"/>
          <w:lang w:val="sr-Latn-ME"/>
        </w:rPr>
      </w:pPr>
    </w:p>
    <w:p w14:paraId="56AAA877" w14:textId="77777777" w:rsidR="00FE626F" w:rsidRDefault="00FE626F" w:rsidP="00780738">
      <w:pPr>
        <w:jc w:val="both"/>
        <w:rPr>
          <w:rFonts w:cs="Arial"/>
          <w:sz w:val="24"/>
          <w:szCs w:val="24"/>
          <w:lang w:val="sr-Latn-ME"/>
        </w:rPr>
      </w:pPr>
    </w:p>
    <w:p w14:paraId="6C0DCADA" w14:textId="77777777" w:rsidR="00FE626F" w:rsidRPr="00F96844" w:rsidRDefault="00FE626F" w:rsidP="00780738">
      <w:pPr>
        <w:jc w:val="both"/>
        <w:rPr>
          <w:rFonts w:cs="Arial"/>
          <w:sz w:val="24"/>
          <w:szCs w:val="24"/>
          <w:lang w:val="sr-Latn-ME"/>
        </w:rPr>
      </w:pPr>
    </w:p>
    <w:p w14:paraId="682BEB74" w14:textId="77777777" w:rsidR="002B4243" w:rsidRPr="00F96844" w:rsidRDefault="002B4243" w:rsidP="00780738">
      <w:pPr>
        <w:pStyle w:val="Heading1"/>
        <w:numPr>
          <w:ilvl w:val="0"/>
          <w:numId w:val="5"/>
        </w:numPr>
        <w:ind w:left="360"/>
        <w:rPr>
          <w:rFonts w:eastAsia="Times New Roman"/>
          <w:sz w:val="24"/>
          <w:szCs w:val="24"/>
          <w:lang w:val="sr-Latn-ME"/>
        </w:rPr>
      </w:pPr>
      <w:bookmarkStart w:id="64" w:name="_Toc172541302"/>
      <w:r w:rsidRPr="00F96844">
        <w:rPr>
          <w:sz w:val="24"/>
          <w:szCs w:val="24"/>
          <w:lang w:val="sr-Latn-ME"/>
        </w:rPr>
        <w:t>ANALIZA</w:t>
      </w:r>
      <w:bookmarkEnd w:id="64"/>
    </w:p>
    <w:p w14:paraId="77F4AE75" w14:textId="77777777" w:rsidR="008F0240" w:rsidRPr="00F96844" w:rsidRDefault="008F0240" w:rsidP="00780738">
      <w:pPr>
        <w:contextualSpacing/>
        <w:rPr>
          <w:rFonts w:cs="Arial"/>
          <w:b/>
          <w:sz w:val="24"/>
          <w:szCs w:val="24"/>
          <w:lang w:val="sr-Latn-ME"/>
        </w:rPr>
      </w:pPr>
    </w:p>
    <w:p w14:paraId="00D5BF3C" w14:textId="77777777" w:rsidR="002B4243" w:rsidRPr="00F96844" w:rsidRDefault="002B4243" w:rsidP="00780738">
      <w:pPr>
        <w:jc w:val="both"/>
        <w:rPr>
          <w:rFonts w:cs="Arial"/>
          <w:sz w:val="24"/>
          <w:szCs w:val="24"/>
          <w:lang w:val="sr-Latn-ME"/>
        </w:rPr>
      </w:pPr>
      <w:r w:rsidRPr="00F96844">
        <w:rPr>
          <w:rFonts w:cs="Arial"/>
          <w:sz w:val="24"/>
          <w:szCs w:val="24"/>
          <w:lang w:val="sr-Latn-ME"/>
        </w:rPr>
        <w:t>Reforma sistema socijalne i dječje zaštite u Crnoj Gori inte</w:t>
      </w:r>
      <w:r w:rsidR="00685D62">
        <w:rPr>
          <w:rFonts w:cs="Arial"/>
          <w:sz w:val="24"/>
          <w:szCs w:val="24"/>
          <w:lang w:val="sr-Latn-ME"/>
        </w:rPr>
        <w:t>n</w:t>
      </w:r>
      <w:r w:rsidRPr="00F96844">
        <w:rPr>
          <w:rFonts w:cs="Arial"/>
          <w:sz w:val="24"/>
          <w:szCs w:val="24"/>
          <w:lang w:val="sr-Latn-ME"/>
        </w:rPr>
        <w:t>zivirana je 2013. godine, kada je usvojen Zakon o socijalnoj i dječjoj zaštiti</w:t>
      </w:r>
      <w:r w:rsidR="00C178B6">
        <w:rPr>
          <w:rFonts w:cs="Arial"/>
          <w:sz w:val="24"/>
          <w:szCs w:val="24"/>
          <w:lang w:val="sr-Latn-ME"/>
        </w:rPr>
        <w:t>,</w:t>
      </w:r>
      <w:r w:rsidRPr="00F96844">
        <w:rPr>
          <w:rFonts w:cs="Arial"/>
          <w:sz w:val="24"/>
          <w:szCs w:val="24"/>
          <w:lang w:val="sr-Latn-ME"/>
        </w:rPr>
        <w:t xml:space="preserve"> koji je do sada imao više izmjena i dopuna</w:t>
      </w:r>
      <w:r w:rsidRPr="00F96844">
        <w:rPr>
          <w:rFonts w:cs="Arial"/>
          <w:sz w:val="24"/>
          <w:szCs w:val="24"/>
          <w:vertAlign w:val="superscript"/>
          <w:lang w:val="sr-Latn-ME"/>
        </w:rPr>
        <w:footnoteReference w:id="43"/>
      </w:r>
      <w:r w:rsidRPr="00F96844">
        <w:rPr>
          <w:rFonts w:cs="Arial"/>
          <w:sz w:val="24"/>
          <w:szCs w:val="24"/>
          <w:lang w:val="sr-Latn-ME"/>
        </w:rPr>
        <w:t>.</w:t>
      </w:r>
      <w:r w:rsidR="00E25B9C" w:rsidRPr="00F96844">
        <w:rPr>
          <w:rFonts w:cs="Arial"/>
          <w:sz w:val="24"/>
          <w:szCs w:val="24"/>
          <w:lang w:val="sr-Latn-ME"/>
        </w:rPr>
        <w:t xml:space="preserve"> </w:t>
      </w:r>
      <w:r w:rsidRPr="00F96844">
        <w:rPr>
          <w:rFonts w:cs="Arial"/>
          <w:sz w:val="24"/>
          <w:szCs w:val="24"/>
          <w:lang w:val="sr-Latn-ME"/>
        </w:rPr>
        <w:t>Vlada planira dalje reforme</w:t>
      </w:r>
      <w:r w:rsidR="00F96844" w:rsidRPr="00F96844">
        <w:rPr>
          <w:rFonts w:cs="Arial"/>
          <w:sz w:val="24"/>
          <w:szCs w:val="24"/>
          <w:lang w:val="sr-Latn-ME"/>
        </w:rPr>
        <w:t xml:space="preserve"> </w:t>
      </w:r>
      <w:r w:rsidRPr="00F96844">
        <w:rPr>
          <w:rFonts w:cs="Arial"/>
          <w:sz w:val="24"/>
          <w:szCs w:val="24"/>
          <w:lang w:val="sr-Latn-ME"/>
        </w:rPr>
        <w:t>sistem</w:t>
      </w:r>
      <w:r w:rsidR="00F96844" w:rsidRPr="00F96844">
        <w:rPr>
          <w:rFonts w:cs="Arial"/>
          <w:sz w:val="24"/>
          <w:szCs w:val="24"/>
          <w:lang w:val="sr-Latn-ME"/>
        </w:rPr>
        <w:t>a</w:t>
      </w:r>
      <w:r w:rsidRPr="00F96844">
        <w:rPr>
          <w:rFonts w:cs="Arial"/>
          <w:sz w:val="24"/>
          <w:szCs w:val="24"/>
          <w:lang w:val="sr-Latn-ME"/>
        </w:rPr>
        <w:t xml:space="preserve"> socijalne </w:t>
      </w:r>
      <w:r w:rsidR="00F96844" w:rsidRPr="00F96844">
        <w:rPr>
          <w:rFonts w:cs="Arial"/>
          <w:sz w:val="24"/>
          <w:szCs w:val="24"/>
          <w:lang w:val="sr-Latn-ME"/>
        </w:rPr>
        <w:t>i d</w:t>
      </w:r>
      <w:r w:rsidR="00EB2F1D">
        <w:rPr>
          <w:rFonts w:cs="Arial"/>
          <w:sz w:val="24"/>
          <w:szCs w:val="24"/>
          <w:lang w:val="sr-Latn-ME"/>
        </w:rPr>
        <w:t>ječj</w:t>
      </w:r>
      <w:r w:rsidR="00F96844" w:rsidRPr="00F96844">
        <w:rPr>
          <w:rFonts w:cs="Arial"/>
          <w:sz w:val="24"/>
          <w:szCs w:val="24"/>
          <w:lang w:val="sr-Latn-ME"/>
        </w:rPr>
        <w:t xml:space="preserve">e </w:t>
      </w:r>
      <w:r w:rsidRPr="00F96844">
        <w:rPr>
          <w:rFonts w:cs="Arial"/>
          <w:sz w:val="24"/>
          <w:szCs w:val="24"/>
          <w:lang w:val="sr-Latn-ME"/>
        </w:rPr>
        <w:t>zaštite</w:t>
      </w:r>
      <w:r w:rsidR="00F96844" w:rsidRPr="00F96844">
        <w:rPr>
          <w:rFonts w:cs="Arial"/>
          <w:sz w:val="24"/>
          <w:szCs w:val="24"/>
          <w:lang w:val="sr-Latn-ME"/>
        </w:rPr>
        <w:t xml:space="preserve"> u cilju jačanja njegove</w:t>
      </w:r>
      <w:r w:rsidRPr="00F96844">
        <w:rPr>
          <w:rFonts w:cs="Arial"/>
          <w:sz w:val="24"/>
          <w:szCs w:val="24"/>
          <w:lang w:val="sr-Latn-ME"/>
        </w:rPr>
        <w:t xml:space="preserve"> djelotvornosti, efikasnosti i održivosti. Strateški dokumenti i zakonodavni okvir definišu reformske procese u sistemu socijalne i dječje zaštite bazirane na zaštiti ljudskih prava i primjeni EU principa </w:t>
      </w:r>
      <w:r w:rsidR="00F96844" w:rsidRPr="00F96844">
        <w:rPr>
          <w:rFonts w:cs="Arial"/>
          <w:sz w:val="24"/>
          <w:szCs w:val="24"/>
          <w:lang w:val="sr-Latn-ME"/>
        </w:rPr>
        <w:t>socijalne</w:t>
      </w:r>
      <w:r w:rsidRPr="00F96844">
        <w:rPr>
          <w:rFonts w:cs="Arial"/>
          <w:sz w:val="24"/>
          <w:szCs w:val="24"/>
          <w:lang w:val="sr-Latn-ME"/>
        </w:rPr>
        <w:t xml:space="preserve"> uključenosti. To su: </w:t>
      </w:r>
    </w:p>
    <w:p w14:paraId="231616AC" w14:textId="77777777" w:rsidR="002B4243" w:rsidRDefault="002B4243" w:rsidP="00415809">
      <w:pPr>
        <w:jc w:val="center"/>
        <w:rPr>
          <w:rFonts w:cs="Arial"/>
          <w:sz w:val="24"/>
          <w:szCs w:val="24"/>
          <w:lang w:val="sr-Latn-ME"/>
        </w:rPr>
      </w:pPr>
    </w:p>
    <w:p w14:paraId="21708EF7" w14:textId="77777777" w:rsidR="008D50EF" w:rsidRDefault="008D50EF" w:rsidP="00415809">
      <w:pPr>
        <w:jc w:val="center"/>
        <w:rPr>
          <w:rFonts w:cs="Arial"/>
          <w:sz w:val="24"/>
          <w:szCs w:val="24"/>
          <w:lang w:val="sr-Latn-ME"/>
        </w:rPr>
      </w:pPr>
    </w:p>
    <w:p w14:paraId="76296DD6" w14:textId="77777777" w:rsidR="008D50EF" w:rsidRDefault="008D50EF" w:rsidP="00415809">
      <w:pPr>
        <w:jc w:val="center"/>
        <w:rPr>
          <w:rFonts w:cs="Arial"/>
          <w:sz w:val="24"/>
          <w:szCs w:val="24"/>
          <w:lang w:val="sr-Latn-ME"/>
        </w:rPr>
      </w:pPr>
    </w:p>
    <w:p w14:paraId="2E67939B" w14:textId="77777777" w:rsidR="008D50EF" w:rsidRPr="00F96844" w:rsidRDefault="008D50EF" w:rsidP="00415809">
      <w:pPr>
        <w:jc w:val="center"/>
        <w:rPr>
          <w:rFonts w:cs="Arial"/>
          <w:sz w:val="24"/>
          <w:szCs w:val="24"/>
          <w:lang w:val="sr-Latn-ME"/>
        </w:rPr>
      </w:pPr>
      <w:r>
        <w:rPr>
          <w:rFonts w:cs="Arial"/>
          <w:noProof/>
          <w:sz w:val="24"/>
          <w:szCs w:val="24"/>
          <w:lang w:val="sr-Latn-ME" w:eastAsia="sr-Latn-ME"/>
        </w:rPr>
        <w:drawing>
          <wp:inline distT="0" distB="0" distL="0" distR="0" wp14:anchorId="788961A6" wp14:editId="49740BF9">
            <wp:extent cx="4468586" cy="2994751"/>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966FE8" w14:textId="77777777" w:rsidR="00A64A0A" w:rsidRPr="00F96844" w:rsidRDefault="00A64A0A" w:rsidP="005114FD">
      <w:pPr>
        <w:jc w:val="both"/>
        <w:rPr>
          <w:rFonts w:cs="Arial"/>
          <w:sz w:val="24"/>
          <w:szCs w:val="24"/>
          <w:lang w:val="sr-Latn-ME"/>
        </w:rPr>
      </w:pPr>
    </w:p>
    <w:p w14:paraId="645005E0" w14:textId="77777777" w:rsidR="004E38C3" w:rsidRDefault="002B4243" w:rsidP="00780738">
      <w:pPr>
        <w:jc w:val="both"/>
        <w:rPr>
          <w:rFonts w:cs="Arial"/>
          <w:sz w:val="24"/>
          <w:szCs w:val="24"/>
          <w:lang w:val="sr-Latn-ME"/>
        </w:rPr>
      </w:pPr>
      <w:r w:rsidRPr="00F96844">
        <w:rPr>
          <w:rFonts w:cs="Arial"/>
          <w:sz w:val="24"/>
          <w:szCs w:val="24"/>
          <w:lang w:val="sr-Latn-ME"/>
        </w:rPr>
        <w:t xml:space="preserve">Sveobuhvatni cilj reforme sistema socijalne </w:t>
      </w:r>
      <w:r w:rsidR="00F96844">
        <w:rPr>
          <w:rFonts w:cs="Arial"/>
          <w:sz w:val="24"/>
          <w:szCs w:val="24"/>
          <w:lang w:val="sr-Latn-ME"/>
        </w:rPr>
        <w:t>i</w:t>
      </w:r>
      <w:r w:rsidR="00F96844" w:rsidRPr="00F96844">
        <w:rPr>
          <w:rFonts w:cs="Arial"/>
          <w:sz w:val="24"/>
          <w:szCs w:val="24"/>
          <w:lang w:val="sr-Latn-ME"/>
        </w:rPr>
        <w:t xml:space="preserve"> dječje </w:t>
      </w:r>
      <w:r w:rsidRPr="00F96844">
        <w:rPr>
          <w:rFonts w:cs="Arial"/>
          <w:sz w:val="24"/>
          <w:szCs w:val="24"/>
          <w:lang w:val="sr-Latn-ME"/>
        </w:rPr>
        <w:t xml:space="preserve">zaštite je </w:t>
      </w:r>
      <w:r w:rsidR="006369F5">
        <w:rPr>
          <w:rFonts w:cs="Arial"/>
          <w:sz w:val="24"/>
          <w:szCs w:val="24"/>
          <w:lang w:val="sr-Latn-ME"/>
        </w:rPr>
        <w:t>unapređenje</w:t>
      </w:r>
      <w:r w:rsidRPr="00F96844">
        <w:rPr>
          <w:rFonts w:cs="Arial"/>
          <w:sz w:val="24"/>
          <w:szCs w:val="24"/>
          <w:lang w:val="sr-Latn-ME"/>
        </w:rPr>
        <w:t xml:space="preserve"> pokrivenosti i usmjerenosti materijalnih davanja i usluga, </w:t>
      </w:r>
      <w:r w:rsidR="00F96844">
        <w:rPr>
          <w:rFonts w:cs="Arial"/>
          <w:sz w:val="24"/>
          <w:szCs w:val="24"/>
          <w:lang w:val="sr-Latn-ME"/>
        </w:rPr>
        <w:t xml:space="preserve">mjera i programa, </w:t>
      </w:r>
      <w:r w:rsidRPr="00F96844">
        <w:rPr>
          <w:rFonts w:cs="Arial"/>
          <w:sz w:val="24"/>
          <w:szCs w:val="24"/>
          <w:lang w:val="sr-Latn-ME"/>
        </w:rPr>
        <w:t xml:space="preserve">odnosno efikasnosti i finansijske održivosti sistema u cilju sveobuhvatnog i pravovremenog odgovora na potrebe korisnika. </w:t>
      </w:r>
    </w:p>
    <w:p w14:paraId="6CFE401C" w14:textId="77777777" w:rsidR="002B4243" w:rsidRPr="00F96844" w:rsidRDefault="002B4243" w:rsidP="00780738">
      <w:pPr>
        <w:jc w:val="both"/>
        <w:rPr>
          <w:rFonts w:cs="Arial"/>
          <w:sz w:val="24"/>
          <w:szCs w:val="24"/>
          <w:lang w:val="sr-Latn-ME"/>
        </w:rPr>
      </w:pPr>
      <w:r w:rsidRPr="00F96844">
        <w:rPr>
          <w:rFonts w:cs="Arial"/>
          <w:sz w:val="24"/>
          <w:szCs w:val="24"/>
          <w:lang w:val="sr-Latn-ME"/>
        </w:rPr>
        <w:t>Potrebno je da se podrži jasno i na dokazima zasnovano finansijsko planiranje reformskih mjera u skladu</w:t>
      </w:r>
      <w:r w:rsidR="004C5D23">
        <w:rPr>
          <w:rFonts w:cs="Arial"/>
          <w:sz w:val="24"/>
          <w:szCs w:val="24"/>
          <w:lang w:val="sr-Latn-ME"/>
        </w:rPr>
        <w:t xml:space="preserve"> s c</w:t>
      </w:r>
      <w:r w:rsidRPr="00F96844">
        <w:rPr>
          <w:rFonts w:cs="Arial"/>
          <w:sz w:val="24"/>
          <w:szCs w:val="24"/>
          <w:lang w:val="sr-Latn-ME"/>
        </w:rPr>
        <w:t>iljevima kao osnov za donošenje odluka o uvođenju, ukidanju ili nastavku novih ili postojećih davanja i usluga u sistemu socijalne zaštite.</w:t>
      </w:r>
      <w:r w:rsidRPr="00F96844">
        <w:rPr>
          <w:rFonts w:cs="Arial"/>
          <w:sz w:val="24"/>
          <w:szCs w:val="24"/>
          <w:vertAlign w:val="superscript"/>
          <w:lang w:val="sr-Latn-ME"/>
        </w:rPr>
        <w:footnoteReference w:id="44"/>
      </w:r>
    </w:p>
    <w:p w14:paraId="70EE54ED" w14:textId="77777777" w:rsidR="002B4243" w:rsidRPr="00F96844" w:rsidRDefault="002B4243" w:rsidP="00780738">
      <w:pPr>
        <w:jc w:val="both"/>
        <w:rPr>
          <w:rFonts w:cs="Arial"/>
          <w:sz w:val="24"/>
          <w:szCs w:val="24"/>
          <w:lang w:val="sr-Latn-ME"/>
        </w:rPr>
      </w:pPr>
    </w:p>
    <w:p w14:paraId="023CF187" w14:textId="77777777" w:rsidR="002B4243" w:rsidRPr="00F96844" w:rsidRDefault="002B4243" w:rsidP="00780738">
      <w:pPr>
        <w:pStyle w:val="Heading2"/>
        <w:rPr>
          <w:szCs w:val="24"/>
          <w:lang w:val="sr-Latn-ME"/>
        </w:rPr>
      </w:pPr>
      <w:bookmarkStart w:id="65" w:name="_Toc134402940"/>
      <w:bookmarkStart w:id="66" w:name="_Toc172541303"/>
      <w:r w:rsidRPr="00F96844">
        <w:rPr>
          <w:szCs w:val="24"/>
          <w:lang w:val="sr-Latn-ME"/>
        </w:rPr>
        <w:t xml:space="preserve">Pregled sprovođenja Strategije razvoja sistema socijalne i dječje zaštite za period od 2018. do 2022. </w:t>
      </w:r>
      <w:r w:rsidR="00A64A0A" w:rsidRPr="00F96844">
        <w:rPr>
          <w:szCs w:val="24"/>
          <w:lang w:val="sr-Latn-ME"/>
        </w:rPr>
        <w:t>g</w:t>
      </w:r>
      <w:r w:rsidRPr="00F96844">
        <w:rPr>
          <w:szCs w:val="24"/>
          <w:lang w:val="sr-Latn-ME"/>
        </w:rPr>
        <w:t>odine</w:t>
      </w:r>
      <w:bookmarkEnd w:id="65"/>
      <w:bookmarkEnd w:id="66"/>
    </w:p>
    <w:p w14:paraId="770A6B08" w14:textId="77777777" w:rsidR="00A64A0A" w:rsidRPr="00F96844" w:rsidRDefault="00A64A0A" w:rsidP="00780738">
      <w:pPr>
        <w:jc w:val="both"/>
        <w:rPr>
          <w:rFonts w:cs="Arial"/>
          <w:b/>
          <w:bCs/>
          <w:sz w:val="24"/>
          <w:szCs w:val="24"/>
          <w:lang w:val="sr-Latn-ME"/>
        </w:rPr>
      </w:pPr>
    </w:p>
    <w:p w14:paraId="65B90B71" w14:textId="77777777" w:rsidR="002B4243" w:rsidRPr="00F96844" w:rsidRDefault="002B4243" w:rsidP="00780738">
      <w:pPr>
        <w:jc w:val="both"/>
        <w:rPr>
          <w:rFonts w:cs="Arial"/>
          <w:sz w:val="24"/>
          <w:szCs w:val="24"/>
          <w:lang w:val="sr-Latn-ME"/>
        </w:rPr>
      </w:pPr>
      <w:r w:rsidRPr="00F96844">
        <w:rPr>
          <w:rFonts w:cs="Arial"/>
          <w:iCs/>
          <w:sz w:val="24"/>
          <w:szCs w:val="24"/>
          <w:lang w:val="sr-Latn-ME"/>
        </w:rPr>
        <w:lastRenderedPageBreak/>
        <w:t xml:space="preserve">Ova Strategija </w:t>
      </w:r>
      <w:r w:rsidRPr="00F96844">
        <w:rPr>
          <w:rFonts w:cs="Arial"/>
          <w:sz w:val="24"/>
          <w:szCs w:val="24"/>
          <w:lang w:val="sr-Latn-ME"/>
        </w:rPr>
        <w:t xml:space="preserve">donijeta je u cilju unapređenja kvaliteta života korisnika socijalne i dječje zaštite i njihovog osnaživanja za samostalan i produktivan život. </w:t>
      </w:r>
      <w:r w:rsidRPr="00F96844">
        <w:rPr>
          <w:rFonts w:cs="Arial"/>
          <w:i/>
          <w:iCs/>
          <w:sz w:val="24"/>
          <w:szCs w:val="24"/>
          <w:lang w:val="sr-Latn-ME"/>
        </w:rPr>
        <w:t>Srednjoročna evaluacija sprovođenja Strategije razvoja socijalne i dječje zaštite u Crnoj Gori za period od 2018. do 2022. godine</w:t>
      </w:r>
      <w:r w:rsidRPr="00F96844">
        <w:rPr>
          <w:rFonts w:cs="Arial"/>
          <w:sz w:val="24"/>
          <w:szCs w:val="24"/>
          <w:vertAlign w:val="superscript"/>
          <w:lang w:val="sr-Latn-ME"/>
        </w:rPr>
        <w:footnoteReference w:id="45"/>
      </w:r>
      <w:r w:rsidRPr="00F96844">
        <w:rPr>
          <w:rFonts w:cs="Arial"/>
          <w:sz w:val="24"/>
          <w:szCs w:val="24"/>
          <w:lang w:val="sr-Latn-ME"/>
        </w:rPr>
        <w:t xml:space="preserve"> je utvrdila da je procenat realizacije AP za period 2018</w:t>
      </w:r>
      <w:r w:rsidR="00C178B6">
        <w:rPr>
          <w:rFonts w:cs="Arial"/>
          <w:sz w:val="24"/>
          <w:szCs w:val="24"/>
          <w:lang w:val="sr-Latn-ME"/>
        </w:rPr>
        <w:t>‒</w:t>
      </w:r>
      <w:r w:rsidRPr="00F96844">
        <w:rPr>
          <w:rFonts w:cs="Arial"/>
          <w:sz w:val="24"/>
          <w:szCs w:val="24"/>
          <w:lang w:val="sr-Latn-ME"/>
        </w:rPr>
        <w:t>2020</w:t>
      </w:r>
      <w:r w:rsidR="00C178B6">
        <w:rPr>
          <w:rFonts w:cs="Arial"/>
          <w:sz w:val="24"/>
          <w:szCs w:val="24"/>
          <w:lang w:val="sr-Latn-ME"/>
        </w:rPr>
        <w:t>.</w:t>
      </w:r>
      <w:r w:rsidRPr="00F96844">
        <w:rPr>
          <w:rFonts w:cs="Arial"/>
          <w:sz w:val="24"/>
          <w:szCs w:val="24"/>
          <w:lang w:val="sr-Latn-ME"/>
        </w:rPr>
        <w:t xml:space="preserve"> sljedeći: </w:t>
      </w:r>
    </w:p>
    <w:p w14:paraId="06F8D06F" w14:textId="77777777" w:rsidR="005C4181" w:rsidRPr="00F96844" w:rsidRDefault="005C4181" w:rsidP="005114FD">
      <w:pPr>
        <w:jc w:val="both"/>
        <w:rPr>
          <w:rFonts w:cs="Arial"/>
          <w:sz w:val="24"/>
          <w:szCs w:val="24"/>
          <w:lang w:val="sr-Latn-ME"/>
        </w:rPr>
      </w:pPr>
    </w:p>
    <w:p w14:paraId="1260F8C3" w14:textId="77777777" w:rsidR="00E16213" w:rsidRPr="00F96844" w:rsidRDefault="00E16213" w:rsidP="005114FD">
      <w:pPr>
        <w:jc w:val="both"/>
        <w:rPr>
          <w:rFonts w:cs="Arial"/>
          <w:b/>
          <w:i/>
          <w:sz w:val="24"/>
          <w:szCs w:val="24"/>
          <w:lang w:val="sr-Latn-ME"/>
        </w:rPr>
      </w:pPr>
      <w:r w:rsidRPr="00F96844">
        <w:rPr>
          <w:rFonts w:cs="Arial"/>
          <w:b/>
          <w:i/>
          <w:sz w:val="24"/>
          <w:szCs w:val="24"/>
          <w:lang w:val="sr-Latn-ME"/>
        </w:rPr>
        <w:t xml:space="preserve">Grafikon br. 1: Procenat realizacije Akcionog plana Strategije razvoja socijalne i dječje zaštite u Crnoj Gori za period od 2018. do 2022. </w:t>
      </w:r>
      <w:r w:rsidR="00AF2BCB">
        <w:rPr>
          <w:rFonts w:cs="Arial"/>
          <w:b/>
          <w:i/>
          <w:sz w:val="24"/>
          <w:szCs w:val="24"/>
          <w:lang w:val="sr-Latn-ME"/>
        </w:rPr>
        <w:t>g</w:t>
      </w:r>
      <w:r w:rsidRPr="00F96844">
        <w:rPr>
          <w:rFonts w:cs="Arial"/>
          <w:b/>
          <w:i/>
          <w:sz w:val="24"/>
          <w:szCs w:val="24"/>
          <w:lang w:val="sr-Latn-ME"/>
        </w:rPr>
        <w:t>odine</w:t>
      </w:r>
    </w:p>
    <w:p w14:paraId="2D33FA6D" w14:textId="77777777" w:rsidR="005C4181" w:rsidRPr="00F96844" w:rsidRDefault="005C4181" w:rsidP="005114FD">
      <w:pPr>
        <w:jc w:val="both"/>
        <w:rPr>
          <w:rFonts w:cs="Arial"/>
          <w:sz w:val="24"/>
          <w:szCs w:val="24"/>
          <w:lang w:val="sr-Latn-ME"/>
        </w:rPr>
      </w:pPr>
    </w:p>
    <w:p w14:paraId="3E1AFA2B" w14:textId="77777777" w:rsidR="002B4243" w:rsidRPr="00F96844" w:rsidRDefault="00E16213" w:rsidP="005114FD">
      <w:pPr>
        <w:jc w:val="both"/>
        <w:rPr>
          <w:rFonts w:cs="Arial"/>
          <w:sz w:val="24"/>
          <w:szCs w:val="24"/>
          <w:lang w:val="sr-Latn-ME"/>
        </w:rPr>
      </w:pPr>
      <w:r w:rsidRPr="00F96844">
        <w:rPr>
          <w:rFonts w:cs="Arial"/>
          <w:noProof/>
          <w:color w:val="ED7D31" w:themeColor="accent2"/>
          <w:sz w:val="24"/>
          <w:szCs w:val="24"/>
          <w:shd w:val="clear" w:color="auto" w:fill="B4C6E7" w:themeFill="accent1" w:themeFillTint="66"/>
          <w:lang w:val="sr-Latn-ME" w:eastAsia="sr-Latn-ME"/>
        </w:rPr>
        <w:drawing>
          <wp:inline distT="0" distB="0" distL="0" distR="0" wp14:anchorId="03FC343D" wp14:editId="7D6CC765">
            <wp:extent cx="5943600" cy="2783555"/>
            <wp:effectExtent l="0" t="0" r="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FC23E8" w14:textId="77777777" w:rsidR="002B4243" w:rsidRPr="00F96844" w:rsidRDefault="002B4243" w:rsidP="005114FD">
      <w:pPr>
        <w:jc w:val="both"/>
        <w:rPr>
          <w:rFonts w:cs="Arial"/>
          <w:sz w:val="24"/>
          <w:szCs w:val="24"/>
          <w:lang w:val="sr-Latn-ME"/>
        </w:rPr>
      </w:pPr>
    </w:p>
    <w:p w14:paraId="02FA3E6C" w14:textId="77777777" w:rsidR="002B4243" w:rsidRDefault="002B4243" w:rsidP="00780738">
      <w:pPr>
        <w:jc w:val="both"/>
        <w:rPr>
          <w:rFonts w:cs="Arial"/>
          <w:sz w:val="24"/>
          <w:szCs w:val="24"/>
          <w:lang w:val="sr-Latn-ME"/>
        </w:rPr>
      </w:pPr>
      <w:r w:rsidRPr="00F96844">
        <w:rPr>
          <w:rFonts w:cs="Arial"/>
          <w:sz w:val="24"/>
          <w:szCs w:val="24"/>
          <w:lang w:val="sr-Latn-ME"/>
        </w:rPr>
        <w:t xml:space="preserve">Među najznačajnije aktivnosti realizovane tokom sprovođenja Strategije spadaju: 1) Unaprijeđen je normativni okvir u oblasti socijalne i dječje zaštite, što uključuje određene izmjene Zakona o socijalnoj i dječjoj zaštiti i pratećih podzakonskih akata; 2) Unaprijeđeni su postupci licenciranja stručnih </w:t>
      </w:r>
      <w:r w:rsidR="009F661D">
        <w:rPr>
          <w:rFonts w:cs="Arial"/>
          <w:sz w:val="24"/>
          <w:szCs w:val="24"/>
          <w:lang w:val="sr-Latn-ME"/>
        </w:rPr>
        <w:t>radnika/radnica</w:t>
      </w:r>
      <w:r w:rsidRPr="00F96844">
        <w:rPr>
          <w:rFonts w:cs="Arial"/>
          <w:sz w:val="24"/>
          <w:szCs w:val="24"/>
          <w:lang w:val="sr-Latn-ME"/>
        </w:rPr>
        <w:t xml:space="preserve"> i pružalaca usluga; 3) Započeo je postupak akreditacije programa obuka i razvijani su programi obuka za stručne </w:t>
      </w:r>
      <w:r w:rsidR="00C178B6">
        <w:rPr>
          <w:rFonts w:cs="Arial"/>
          <w:sz w:val="24"/>
          <w:szCs w:val="24"/>
          <w:lang w:val="sr-Latn-ME"/>
        </w:rPr>
        <w:t>radnike/radnice</w:t>
      </w:r>
      <w:r w:rsidRPr="00F96844">
        <w:rPr>
          <w:rFonts w:cs="Arial"/>
          <w:sz w:val="24"/>
          <w:szCs w:val="24"/>
          <w:lang w:val="sr-Latn-ME"/>
        </w:rPr>
        <w:t>, s</w:t>
      </w:r>
      <w:r w:rsidR="00C178B6">
        <w:rPr>
          <w:rFonts w:cs="Arial"/>
          <w:sz w:val="24"/>
          <w:szCs w:val="24"/>
          <w:lang w:val="sr-Latn-ME"/>
        </w:rPr>
        <w:t>aradnike/saradnice</w:t>
      </w:r>
      <w:r w:rsidRPr="00F96844">
        <w:rPr>
          <w:rFonts w:cs="Arial"/>
          <w:sz w:val="24"/>
          <w:szCs w:val="24"/>
          <w:lang w:val="sr-Latn-ME"/>
        </w:rPr>
        <w:t xml:space="preserve"> i </w:t>
      </w:r>
      <w:r w:rsidR="00C178B6">
        <w:rPr>
          <w:rFonts w:cs="Arial"/>
          <w:sz w:val="24"/>
          <w:szCs w:val="24"/>
          <w:lang w:val="sr-Latn-ME"/>
        </w:rPr>
        <w:t>volontere/volonterke</w:t>
      </w:r>
      <w:r w:rsidRPr="00F96844">
        <w:rPr>
          <w:rFonts w:cs="Arial"/>
          <w:sz w:val="24"/>
          <w:szCs w:val="24"/>
          <w:lang w:val="sr-Latn-ME"/>
        </w:rPr>
        <w:t xml:space="preserve">; 4) Realizovane su aktivnosti koje se odnose na uspostavljanje i razvoj usluga socijalne i dječje zaštite. Akcioni plan za 2021. godinu je usvojen u junu 2021. godine. Većina aktivnosti iz ovog plana nije realizovana zbog </w:t>
      </w:r>
      <w:r w:rsidR="00AF2BCB">
        <w:rPr>
          <w:rFonts w:cs="Arial"/>
          <w:sz w:val="24"/>
          <w:szCs w:val="24"/>
          <w:lang w:val="sr-Latn-ME"/>
        </w:rPr>
        <w:t xml:space="preserve">čestih </w:t>
      </w:r>
      <w:r w:rsidRPr="00F96844">
        <w:rPr>
          <w:rFonts w:cs="Arial"/>
          <w:sz w:val="24"/>
          <w:szCs w:val="24"/>
          <w:lang w:val="sr-Latn-ME"/>
        </w:rPr>
        <w:t>promjen</w:t>
      </w:r>
      <w:r w:rsidR="00AF2BCB">
        <w:rPr>
          <w:rFonts w:cs="Arial"/>
          <w:sz w:val="24"/>
          <w:szCs w:val="24"/>
          <w:lang w:val="sr-Latn-ME"/>
        </w:rPr>
        <w:t xml:space="preserve">a rukovodećeg kadra i donosioca odluka </w:t>
      </w:r>
      <w:r w:rsidRPr="00F96844">
        <w:rPr>
          <w:rFonts w:cs="Arial"/>
          <w:sz w:val="24"/>
          <w:szCs w:val="24"/>
          <w:lang w:val="sr-Latn-ME"/>
        </w:rPr>
        <w:t>i Izvještaj o realizaciji nije usvojen.</w:t>
      </w:r>
    </w:p>
    <w:p w14:paraId="55395F1E" w14:textId="77777777" w:rsidR="00280B23" w:rsidRPr="00F96844" w:rsidRDefault="00280B23" w:rsidP="00780738">
      <w:pPr>
        <w:jc w:val="both"/>
        <w:rPr>
          <w:rFonts w:cs="Arial"/>
          <w:sz w:val="24"/>
          <w:szCs w:val="24"/>
          <w:lang w:val="sr-Latn-ME"/>
        </w:rPr>
      </w:pPr>
    </w:p>
    <w:p w14:paraId="1502F059" w14:textId="77777777" w:rsidR="002C7204" w:rsidRPr="00F96844" w:rsidRDefault="002C7204" w:rsidP="00780738">
      <w:pPr>
        <w:jc w:val="both"/>
        <w:rPr>
          <w:rFonts w:cs="Arial"/>
          <w:sz w:val="24"/>
          <w:szCs w:val="24"/>
          <w:lang w:val="sr-Latn-ME"/>
        </w:rPr>
      </w:pPr>
      <w:r w:rsidRPr="00F96844">
        <w:rPr>
          <w:rFonts w:cs="Arial"/>
          <w:sz w:val="24"/>
          <w:szCs w:val="24"/>
          <w:lang w:val="sr-Latn-ME"/>
        </w:rPr>
        <w:t>Međutim</w:t>
      </w:r>
      <w:r w:rsidR="00C178B6">
        <w:rPr>
          <w:rFonts w:cs="Arial"/>
          <w:sz w:val="24"/>
          <w:szCs w:val="24"/>
          <w:lang w:val="sr-Latn-ME"/>
        </w:rPr>
        <w:t>,</w:t>
      </w:r>
      <w:r w:rsidRPr="00F96844">
        <w:rPr>
          <w:rFonts w:cs="Arial"/>
          <w:sz w:val="24"/>
          <w:szCs w:val="24"/>
          <w:lang w:val="sr-Latn-ME"/>
        </w:rPr>
        <w:t xml:space="preserve"> prepoznat je niz problema prilikom sprovo</w:t>
      </w:r>
      <w:r w:rsidR="00280B23">
        <w:rPr>
          <w:rFonts w:cs="Arial"/>
          <w:sz w:val="24"/>
          <w:szCs w:val="24"/>
          <w:lang w:val="sr-Latn-ME"/>
        </w:rPr>
        <w:t>đ</w:t>
      </w:r>
      <w:r w:rsidRPr="00F96844">
        <w:rPr>
          <w:rFonts w:cs="Arial"/>
          <w:sz w:val="24"/>
          <w:szCs w:val="24"/>
          <w:lang w:val="sr-Latn-ME"/>
        </w:rPr>
        <w:t>enja ove strategije i to:</w:t>
      </w:r>
    </w:p>
    <w:p w14:paraId="2CCB46C6" w14:textId="77777777" w:rsidR="002C7204" w:rsidRPr="00F96844" w:rsidRDefault="002C7204" w:rsidP="00780738">
      <w:pPr>
        <w:spacing w:after="120"/>
        <w:jc w:val="both"/>
        <w:rPr>
          <w:rFonts w:eastAsia="Times New Roman" w:cs="Arial"/>
          <w:bCs/>
          <w:sz w:val="24"/>
          <w:szCs w:val="24"/>
          <w:lang w:val="sr-Latn-ME"/>
        </w:rPr>
      </w:pPr>
      <w:r w:rsidRPr="00F96844">
        <w:rPr>
          <w:rFonts w:eastAsia="Times New Roman" w:cs="Arial"/>
          <w:bCs/>
          <w:sz w:val="24"/>
          <w:szCs w:val="24"/>
          <w:lang w:val="sr-Latn-ME"/>
        </w:rPr>
        <w:t xml:space="preserve">Evaluacijom sprovođenja Strategije razvoja </w:t>
      </w:r>
      <w:r w:rsidR="00AF2BCB">
        <w:rPr>
          <w:rFonts w:eastAsia="Times New Roman" w:cs="Arial"/>
          <w:bCs/>
          <w:sz w:val="24"/>
          <w:szCs w:val="24"/>
          <w:lang w:val="sr-Latn-ME"/>
        </w:rPr>
        <w:t xml:space="preserve">sistema </w:t>
      </w:r>
      <w:r w:rsidRPr="00F96844">
        <w:rPr>
          <w:rFonts w:eastAsia="Times New Roman" w:cs="Arial"/>
          <w:bCs/>
          <w:sz w:val="24"/>
          <w:szCs w:val="24"/>
          <w:lang w:val="sr-Latn-ME"/>
        </w:rPr>
        <w:t xml:space="preserve">socijalne i dječje zaštite u Crnoj Gori </w:t>
      </w:r>
      <w:r w:rsidRPr="00CE4DC0">
        <w:rPr>
          <w:rFonts w:eastAsia="Times New Roman" w:cs="Arial"/>
          <w:bCs/>
          <w:sz w:val="24"/>
          <w:szCs w:val="24"/>
          <w:lang w:val="sr-Latn-ME"/>
        </w:rPr>
        <w:t>za</w:t>
      </w:r>
      <w:r w:rsidR="00AF2BCB" w:rsidRPr="00CE4DC0">
        <w:rPr>
          <w:rFonts w:eastAsia="Times New Roman" w:cs="Arial"/>
          <w:bCs/>
          <w:sz w:val="24"/>
          <w:szCs w:val="24"/>
          <w:lang w:val="sr-Latn-ME"/>
        </w:rPr>
        <w:t xml:space="preserve"> </w:t>
      </w:r>
      <w:r w:rsidRPr="00CE4DC0">
        <w:rPr>
          <w:rFonts w:eastAsia="Times New Roman" w:cs="Arial"/>
          <w:bCs/>
          <w:sz w:val="24"/>
          <w:szCs w:val="24"/>
          <w:lang w:val="sr-Latn-ME"/>
        </w:rPr>
        <w:t>period od 2018</w:t>
      </w:r>
      <w:r w:rsidRPr="00F96844">
        <w:rPr>
          <w:rFonts w:eastAsia="Times New Roman" w:cs="Arial"/>
          <w:bCs/>
          <w:sz w:val="24"/>
          <w:szCs w:val="24"/>
          <w:lang w:val="sr-Latn-ME"/>
        </w:rPr>
        <w:t xml:space="preserve">. do 2022. godine utvrđeno je da je </w:t>
      </w:r>
      <w:r w:rsidRPr="00F96844">
        <w:rPr>
          <w:rFonts w:eastAsia="Times New Roman" w:cs="Arial"/>
          <w:color w:val="000000"/>
          <w:sz w:val="24"/>
          <w:szCs w:val="24"/>
          <w:lang w:val="sr-Latn-ME"/>
        </w:rPr>
        <w:t>Strategija jasno definisala potrebe koje postoje u oblasti SDZ, naglasila je procese koje je neophodno pokrenuti i prikazala administrativnu odgovornost aktera u sistemu SDZ za sprovođenje reformi. Ono što je ostalo nedovoljno jasno tokom čitavog procesa primjene Strategije jesu ciljane vrijednosti za izabrane prioritete, nedovoljno jasni pokazatelji napretka, uz često nejasne instrumente za sprovođenje.</w:t>
      </w:r>
    </w:p>
    <w:p w14:paraId="0D66D580" w14:textId="77777777" w:rsidR="002C7204" w:rsidRPr="00F96844" w:rsidRDefault="002C7204" w:rsidP="00780738">
      <w:pPr>
        <w:spacing w:after="120"/>
        <w:jc w:val="both"/>
        <w:rPr>
          <w:rFonts w:eastAsia="Calibri" w:cs="Arial"/>
          <w:sz w:val="24"/>
          <w:szCs w:val="24"/>
          <w:lang w:val="sr-Latn-ME"/>
        </w:rPr>
      </w:pPr>
      <w:r w:rsidRPr="00F96844">
        <w:rPr>
          <w:rFonts w:eastAsia="Calibri" w:cs="Arial"/>
          <w:sz w:val="24"/>
          <w:szCs w:val="24"/>
          <w:lang w:val="sr-Latn-ME"/>
        </w:rPr>
        <w:lastRenderedPageBreak/>
        <w:t>Većina relevantnih aktera smatra da su mehanizmi za sprovođenje, koordinaciju i nadzor bili nedovoljno precizni, usl</w:t>
      </w:r>
      <w:r w:rsidR="00280B23">
        <w:rPr>
          <w:rFonts w:eastAsia="Calibri" w:cs="Arial"/>
          <w:sz w:val="24"/>
          <w:szCs w:val="24"/>
          <w:lang w:val="sr-Latn-ME"/>
        </w:rPr>
        <w:t>ij</w:t>
      </w:r>
      <w:r w:rsidRPr="00F96844">
        <w:rPr>
          <w:rFonts w:eastAsia="Calibri" w:cs="Arial"/>
          <w:sz w:val="24"/>
          <w:szCs w:val="24"/>
          <w:lang w:val="sr-Latn-ME"/>
        </w:rPr>
        <w:t xml:space="preserve">ed čega su i prakse širom zemlje veoma različite i treba da se ujednače. Takođe, </w:t>
      </w:r>
      <w:r w:rsidRPr="00F96844">
        <w:rPr>
          <w:rFonts w:eastAsia="Times New Roman" w:cs="Arial"/>
          <w:color w:val="000000"/>
          <w:sz w:val="24"/>
          <w:szCs w:val="24"/>
          <w:lang w:val="sr-Latn-ME"/>
        </w:rPr>
        <w:t>postoji širok konsenzus među akterima u Vladi, NVO sektoru i razvojnim partnerima da je međusektorska saradnja i koordinacija i dalje izazov i da to ima posljedice po razvojne planove i politike zemlje.</w:t>
      </w:r>
    </w:p>
    <w:p w14:paraId="3D19527D" w14:textId="77777777" w:rsidR="002C7204" w:rsidRDefault="002C7204" w:rsidP="00780738">
      <w:pPr>
        <w:spacing w:after="120"/>
        <w:jc w:val="both"/>
        <w:rPr>
          <w:rFonts w:eastAsia="Calibri" w:cs="Arial"/>
          <w:sz w:val="24"/>
          <w:szCs w:val="24"/>
          <w:lang w:val="sr-Latn-ME"/>
        </w:rPr>
      </w:pPr>
      <w:r w:rsidRPr="00F96844">
        <w:rPr>
          <w:rFonts w:eastAsia="Calibri" w:cs="Arial"/>
          <w:sz w:val="24"/>
          <w:szCs w:val="24"/>
          <w:lang w:val="sr-Latn-ME"/>
        </w:rPr>
        <w:t>Lokalni nivo je, p</w:t>
      </w:r>
      <w:r w:rsidR="005B43BE">
        <w:rPr>
          <w:rFonts w:eastAsia="Calibri" w:cs="Arial"/>
          <w:sz w:val="24"/>
          <w:szCs w:val="24"/>
          <w:lang w:val="sr-Latn-ME"/>
        </w:rPr>
        <w:t>rema ocjeni</w:t>
      </w:r>
      <w:r w:rsidRPr="00F96844">
        <w:rPr>
          <w:rFonts w:eastAsia="Calibri" w:cs="Arial"/>
          <w:sz w:val="24"/>
          <w:szCs w:val="24"/>
          <w:lang w:val="sr-Latn-ME"/>
        </w:rPr>
        <w:t xml:space="preserve"> mnogi</w:t>
      </w:r>
      <w:r w:rsidR="005B43BE">
        <w:rPr>
          <w:rFonts w:eastAsia="Calibri" w:cs="Arial"/>
          <w:sz w:val="24"/>
          <w:szCs w:val="24"/>
          <w:lang w:val="sr-Latn-ME"/>
        </w:rPr>
        <w:t>h</w:t>
      </w:r>
      <w:r w:rsidRPr="00F96844">
        <w:rPr>
          <w:rFonts w:eastAsia="Calibri" w:cs="Arial"/>
          <w:sz w:val="24"/>
          <w:szCs w:val="24"/>
          <w:lang w:val="sr-Latn-ME"/>
        </w:rPr>
        <w:t xml:space="preserve"> akter</w:t>
      </w:r>
      <w:r w:rsidR="005B43BE">
        <w:rPr>
          <w:rFonts w:eastAsia="Calibri" w:cs="Arial"/>
          <w:sz w:val="24"/>
          <w:szCs w:val="24"/>
          <w:lang w:val="sr-Latn-ME"/>
        </w:rPr>
        <w:t>a</w:t>
      </w:r>
      <w:r w:rsidRPr="00F96844">
        <w:rPr>
          <w:rFonts w:eastAsia="Calibri" w:cs="Arial"/>
          <w:sz w:val="24"/>
          <w:szCs w:val="24"/>
          <w:lang w:val="sr-Latn-ME"/>
        </w:rPr>
        <w:t xml:space="preserve"> u sektoru SDZ, bio nedovoljno posvećen sprovođenju preporuka Strategije. Uloga lokalnih samouprava u sistemu funkcionisanja SDZ bi morala bolje da se osmisli i reguliše. </w:t>
      </w:r>
      <w:r w:rsidR="008D264F">
        <w:rPr>
          <w:rFonts w:eastAsia="Calibri" w:cs="Arial"/>
          <w:sz w:val="24"/>
          <w:szCs w:val="24"/>
          <w:lang w:val="sr-Latn-ME"/>
        </w:rPr>
        <w:t>Usluge</w:t>
      </w:r>
      <w:r w:rsidRPr="00F96844">
        <w:rPr>
          <w:rFonts w:eastAsia="Calibri" w:cs="Arial"/>
          <w:sz w:val="24"/>
          <w:szCs w:val="24"/>
          <w:lang w:val="sr-Latn-ME"/>
        </w:rPr>
        <w:t xml:space="preserve"> </w:t>
      </w:r>
      <w:r w:rsidR="008D264F">
        <w:rPr>
          <w:rFonts w:eastAsia="Calibri" w:cs="Arial"/>
          <w:sz w:val="24"/>
          <w:szCs w:val="24"/>
          <w:lang w:val="sr-Latn-ME"/>
        </w:rPr>
        <w:t xml:space="preserve">SDZ </w:t>
      </w:r>
      <w:r w:rsidRPr="00F96844">
        <w:rPr>
          <w:rFonts w:eastAsia="Calibri" w:cs="Arial"/>
          <w:sz w:val="24"/>
          <w:szCs w:val="24"/>
          <w:lang w:val="sr-Latn-ME"/>
        </w:rPr>
        <w:t>koj</w:t>
      </w:r>
      <w:r w:rsidR="008D264F">
        <w:rPr>
          <w:rFonts w:eastAsia="Calibri" w:cs="Arial"/>
          <w:sz w:val="24"/>
          <w:szCs w:val="24"/>
          <w:lang w:val="sr-Latn-ME"/>
        </w:rPr>
        <w:t>e</w:t>
      </w:r>
      <w:r w:rsidRPr="00F96844">
        <w:rPr>
          <w:rFonts w:eastAsia="Calibri" w:cs="Arial"/>
          <w:sz w:val="24"/>
          <w:szCs w:val="24"/>
          <w:lang w:val="sr-Latn-ME"/>
        </w:rPr>
        <w:t xml:space="preserve"> su</w:t>
      </w:r>
      <w:r w:rsidR="008D264F">
        <w:rPr>
          <w:rFonts w:eastAsia="Calibri" w:cs="Arial"/>
          <w:sz w:val="24"/>
          <w:szCs w:val="24"/>
          <w:lang w:val="sr-Latn-ME"/>
        </w:rPr>
        <w:t xml:space="preserve"> propisane Zakonom</w:t>
      </w:r>
      <w:r w:rsidRPr="00F96844">
        <w:rPr>
          <w:rFonts w:eastAsia="Calibri" w:cs="Arial"/>
          <w:sz w:val="24"/>
          <w:szCs w:val="24"/>
          <w:lang w:val="sr-Latn-ME"/>
        </w:rPr>
        <w:t xml:space="preserve"> nisu </w:t>
      </w:r>
      <w:r w:rsidR="008D264F">
        <w:rPr>
          <w:rFonts w:eastAsia="Calibri" w:cs="Arial"/>
          <w:sz w:val="24"/>
          <w:szCs w:val="24"/>
          <w:lang w:val="sr-Latn-ME"/>
        </w:rPr>
        <w:t>dostupne u svim opštinama</w:t>
      </w:r>
      <w:r w:rsidRPr="00F96844">
        <w:rPr>
          <w:rFonts w:eastAsia="Calibri" w:cs="Arial"/>
          <w:sz w:val="24"/>
          <w:szCs w:val="24"/>
          <w:lang w:val="sr-Latn-ME"/>
        </w:rPr>
        <w:t>,</w:t>
      </w:r>
      <w:r w:rsidR="005B71A4">
        <w:rPr>
          <w:rFonts w:eastAsia="Calibri" w:cs="Arial"/>
          <w:sz w:val="24"/>
          <w:szCs w:val="24"/>
          <w:lang w:val="sr-Latn-ME"/>
        </w:rPr>
        <w:t xml:space="preserve"> niti </w:t>
      </w:r>
      <w:r w:rsidR="008D264F">
        <w:rPr>
          <w:rFonts w:eastAsia="Calibri" w:cs="Arial"/>
          <w:sz w:val="24"/>
          <w:szCs w:val="24"/>
          <w:lang w:val="sr-Latn-ME"/>
        </w:rPr>
        <w:t xml:space="preserve">su </w:t>
      </w:r>
      <w:r w:rsidRPr="00F96844">
        <w:rPr>
          <w:rFonts w:eastAsia="Calibri" w:cs="Arial"/>
          <w:sz w:val="24"/>
          <w:szCs w:val="24"/>
          <w:lang w:val="sr-Latn-ME"/>
        </w:rPr>
        <w:t>dovoljno jasn</w:t>
      </w:r>
      <w:r w:rsidR="008D264F">
        <w:rPr>
          <w:rFonts w:eastAsia="Calibri" w:cs="Arial"/>
          <w:sz w:val="24"/>
          <w:szCs w:val="24"/>
          <w:lang w:val="sr-Latn-ME"/>
        </w:rPr>
        <w:t>o</w:t>
      </w:r>
      <w:r w:rsidRPr="00F96844">
        <w:rPr>
          <w:rFonts w:eastAsia="Calibri" w:cs="Arial"/>
          <w:sz w:val="24"/>
          <w:szCs w:val="24"/>
          <w:lang w:val="sr-Latn-ME"/>
        </w:rPr>
        <w:t xml:space="preserve"> </w:t>
      </w:r>
      <w:r w:rsidR="005B71A4">
        <w:rPr>
          <w:rFonts w:eastAsia="Calibri" w:cs="Arial"/>
          <w:sz w:val="24"/>
          <w:szCs w:val="24"/>
          <w:lang w:val="sr-Latn-ME"/>
        </w:rPr>
        <w:t xml:space="preserve">propisane </w:t>
      </w:r>
      <w:r w:rsidRPr="00F96844">
        <w:rPr>
          <w:rFonts w:eastAsia="Calibri" w:cs="Arial"/>
          <w:sz w:val="24"/>
          <w:szCs w:val="24"/>
          <w:lang w:val="sr-Latn-ME"/>
        </w:rPr>
        <w:t>obavez</w:t>
      </w:r>
      <w:r w:rsidR="005B71A4">
        <w:rPr>
          <w:rFonts w:eastAsia="Calibri" w:cs="Arial"/>
          <w:sz w:val="24"/>
          <w:szCs w:val="24"/>
          <w:lang w:val="sr-Latn-ME"/>
        </w:rPr>
        <w:t>e</w:t>
      </w:r>
      <w:r w:rsidRPr="00F96844">
        <w:rPr>
          <w:rFonts w:eastAsia="Calibri" w:cs="Arial"/>
          <w:sz w:val="24"/>
          <w:szCs w:val="24"/>
          <w:lang w:val="sr-Latn-ME"/>
        </w:rPr>
        <w:t xml:space="preserve"> </w:t>
      </w:r>
      <w:r w:rsidR="008D264F">
        <w:rPr>
          <w:rFonts w:eastAsia="Calibri" w:cs="Arial"/>
          <w:sz w:val="24"/>
          <w:szCs w:val="24"/>
          <w:lang w:val="sr-Latn-ME"/>
        </w:rPr>
        <w:t xml:space="preserve">finansiranja, uspostavljanja </w:t>
      </w:r>
      <w:r w:rsidRPr="00F96844">
        <w:rPr>
          <w:rFonts w:eastAsia="Calibri" w:cs="Arial"/>
          <w:sz w:val="24"/>
          <w:szCs w:val="24"/>
          <w:lang w:val="sr-Latn-ME"/>
        </w:rPr>
        <w:t>i odgovornost</w:t>
      </w:r>
      <w:r w:rsidR="005B71A4">
        <w:rPr>
          <w:rFonts w:eastAsia="Calibri" w:cs="Arial"/>
          <w:sz w:val="24"/>
          <w:szCs w:val="24"/>
          <w:lang w:val="sr-Latn-ME"/>
        </w:rPr>
        <w:t>i</w:t>
      </w:r>
      <w:r w:rsidRPr="00F96844">
        <w:rPr>
          <w:rFonts w:eastAsia="Calibri" w:cs="Arial"/>
          <w:sz w:val="24"/>
          <w:szCs w:val="24"/>
          <w:lang w:val="sr-Latn-ME"/>
        </w:rPr>
        <w:t xml:space="preserve"> lokalnih samouprava. </w:t>
      </w:r>
    </w:p>
    <w:p w14:paraId="0F7E47BA" w14:textId="77777777" w:rsidR="00E34C78" w:rsidRPr="000E6197" w:rsidRDefault="00E34C78" w:rsidP="00E34C78">
      <w:pPr>
        <w:spacing w:after="120"/>
        <w:jc w:val="both"/>
        <w:rPr>
          <w:rFonts w:eastAsia="Calibri" w:cs="Arial"/>
          <w:sz w:val="24"/>
          <w:szCs w:val="24"/>
          <w:lang w:val="sr-Latn-ME"/>
        </w:rPr>
      </w:pPr>
      <w:r w:rsidRPr="000E6197">
        <w:rPr>
          <w:rFonts w:eastAsia="Calibri" w:cs="Arial"/>
          <w:sz w:val="24"/>
          <w:szCs w:val="24"/>
          <w:lang w:val="sr-Latn-ME"/>
        </w:rPr>
        <w:t>Međutim, važno je istaći da je u periodu 2020</w:t>
      </w:r>
      <w:r w:rsidR="005B43BE">
        <w:rPr>
          <w:rFonts w:eastAsia="Calibri" w:cs="Arial"/>
          <w:sz w:val="24"/>
          <w:szCs w:val="24"/>
          <w:lang w:val="sr-Latn-ME"/>
        </w:rPr>
        <w:t>‒</w:t>
      </w:r>
      <w:r w:rsidRPr="000E6197">
        <w:rPr>
          <w:rFonts w:eastAsia="Calibri" w:cs="Arial"/>
          <w:sz w:val="24"/>
          <w:szCs w:val="24"/>
          <w:lang w:val="sr-Latn-ME"/>
        </w:rPr>
        <w:t xml:space="preserve">2022. godine zabilježen konstantan porast izdvajanja za usluge u oblasti socijalne i dječje zaštite na nivou svih lokalnih samouprava.  </w:t>
      </w:r>
    </w:p>
    <w:p w14:paraId="7A925487" w14:textId="77777777" w:rsidR="00E34C78" w:rsidRPr="000E6197" w:rsidRDefault="00E34C78" w:rsidP="00E34C78">
      <w:pPr>
        <w:ind w:right="-331"/>
        <w:jc w:val="both"/>
        <w:rPr>
          <w:rFonts w:eastAsia="Times New Roman" w:cs="Arial"/>
          <w:color w:val="000000"/>
          <w:sz w:val="24"/>
          <w:szCs w:val="24"/>
        </w:rPr>
      </w:pPr>
      <w:r w:rsidRPr="000E6197">
        <w:rPr>
          <w:rFonts w:eastAsia="Times New Roman" w:cs="Arial"/>
          <w:bCs/>
          <w:iCs/>
          <w:sz w:val="24"/>
          <w:szCs w:val="24"/>
        </w:rPr>
        <w:t>Tokom 2020.</w:t>
      </w:r>
      <w:r w:rsidR="00536AB2">
        <w:rPr>
          <w:rFonts w:eastAsia="Times New Roman" w:cs="Arial"/>
          <w:bCs/>
          <w:iCs/>
          <w:sz w:val="24"/>
          <w:szCs w:val="24"/>
        </w:rPr>
        <w:t xml:space="preserve"> </w:t>
      </w:r>
      <w:r w:rsidRPr="000E6197">
        <w:rPr>
          <w:rFonts w:eastAsia="Times New Roman" w:cs="Arial"/>
          <w:bCs/>
          <w:iCs/>
          <w:sz w:val="24"/>
          <w:szCs w:val="24"/>
        </w:rPr>
        <w:t xml:space="preserve">godine, izdvajanja za </w:t>
      </w:r>
      <w:r w:rsidRPr="000E6197">
        <w:rPr>
          <w:rFonts w:eastAsia="Times New Roman" w:cs="Arial"/>
          <w:b/>
          <w:bCs/>
          <w:i/>
          <w:iCs/>
          <w:sz w:val="24"/>
          <w:szCs w:val="24"/>
        </w:rPr>
        <w:t xml:space="preserve">usluge </w:t>
      </w:r>
      <w:r w:rsidRPr="000E6197">
        <w:rPr>
          <w:rFonts w:eastAsia="Times New Roman" w:cs="Arial"/>
          <w:bCs/>
          <w:iCs/>
          <w:sz w:val="24"/>
          <w:szCs w:val="24"/>
        </w:rPr>
        <w:t>u oblasti socijalne i dječje zaštite na</w:t>
      </w:r>
      <w:r w:rsidR="000E6197">
        <w:rPr>
          <w:rFonts w:eastAsia="Times New Roman" w:cs="Arial"/>
          <w:bCs/>
          <w:iCs/>
          <w:sz w:val="24"/>
          <w:szCs w:val="24"/>
        </w:rPr>
        <w:t xml:space="preserve"> nivou svih lokalnih samou</w:t>
      </w:r>
      <w:r w:rsidR="005B43BE">
        <w:rPr>
          <w:rFonts w:eastAsia="Times New Roman" w:cs="Arial"/>
          <w:bCs/>
          <w:iCs/>
          <w:sz w:val="24"/>
          <w:szCs w:val="24"/>
        </w:rPr>
        <w:t>p</w:t>
      </w:r>
      <w:r w:rsidR="000E6197">
        <w:rPr>
          <w:rFonts w:eastAsia="Times New Roman" w:cs="Arial"/>
          <w:bCs/>
          <w:iCs/>
          <w:sz w:val="24"/>
          <w:szCs w:val="24"/>
        </w:rPr>
        <w:t xml:space="preserve">rava </w:t>
      </w:r>
      <w:r w:rsidRPr="000E6197">
        <w:rPr>
          <w:rFonts w:eastAsia="Times New Roman" w:cs="Arial"/>
          <w:bCs/>
          <w:iCs/>
          <w:sz w:val="24"/>
          <w:szCs w:val="24"/>
        </w:rPr>
        <w:t xml:space="preserve">iznosila su  3.606.774,81 </w:t>
      </w:r>
      <w:r w:rsidRPr="000E6197">
        <w:rPr>
          <w:rFonts w:eastAsia="Times New Roman" w:cs="Arial"/>
          <w:color w:val="000000"/>
          <w:sz w:val="24"/>
          <w:szCs w:val="24"/>
        </w:rPr>
        <w:t>eura, za 2021.</w:t>
      </w:r>
      <w:r w:rsidR="00536AB2">
        <w:rPr>
          <w:rFonts w:eastAsia="Times New Roman" w:cs="Arial"/>
          <w:color w:val="000000"/>
          <w:sz w:val="24"/>
          <w:szCs w:val="24"/>
        </w:rPr>
        <w:t xml:space="preserve"> </w:t>
      </w:r>
      <w:r w:rsidRPr="000E6197">
        <w:rPr>
          <w:rFonts w:eastAsia="Times New Roman" w:cs="Arial"/>
          <w:color w:val="000000"/>
          <w:sz w:val="24"/>
          <w:szCs w:val="24"/>
        </w:rPr>
        <w:t>godinu</w:t>
      </w:r>
      <w:r w:rsidRPr="000E6197">
        <w:rPr>
          <w:rFonts w:eastAsia="Times New Roman" w:cs="Arial"/>
        </w:rPr>
        <w:t xml:space="preserve"> </w:t>
      </w:r>
      <w:r w:rsidRPr="000E6197">
        <w:rPr>
          <w:rFonts w:eastAsia="Times New Roman" w:cs="Arial"/>
          <w:color w:val="000000"/>
          <w:sz w:val="24"/>
          <w:szCs w:val="24"/>
        </w:rPr>
        <w:t>3.970</w:t>
      </w:r>
      <w:r w:rsidR="000E6197">
        <w:rPr>
          <w:rFonts w:eastAsia="Times New Roman" w:cs="Arial"/>
          <w:color w:val="000000"/>
          <w:sz w:val="24"/>
          <w:szCs w:val="24"/>
        </w:rPr>
        <w:t xml:space="preserve">.208,45 eura, a u 2022. godini </w:t>
      </w:r>
      <w:r w:rsidRPr="000E6197">
        <w:rPr>
          <w:rFonts w:eastAsia="Times New Roman" w:cs="Arial"/>
          <w:color w:val="000000"/>
          <w:sz w:val="24"/>
          <w:szCs w:val="24"/>
        </w:rPr>
        <w:t>iznosila su 4.571.149,86 eura, dakle</w:t>
      </w:r>
      <w:r w:rsidR="005B43BE">
        <w:rPr>
          <w:rFonts w:eastAsia="Times New Roman" w:cs="Arial"/>
          <w:color w:val="000000"/>
          <w:sz w:val="24"/>
          <w:szCs w:val="24"/>
        </w:rPr>
        <w:t xml:space="preserve"> ‒</w:t>
      </w:r>
      <w:r w:rsidRPr="000E6197">
        <w:rPr>
          <w:rFonts w:eastAsia="Times New Roman" w:cs="Arial"/>
          <w:color w:val="000000"/>
          <w:sz w:val="24"/>
          <w:szCs w:val="24"/>
        </w:rPr>
        <w:t xml:space="preserve"> u protekle tri godine ukupno 12.148.133,12 eura. </w:t>
      </w:r>
    </w:p>
    <w:p w14:paraId="5AC1B474" w14:textId="77777777" w:rsidR="00E34C78" w:rsidRPr="000E6197" w:rsidRDefault="00E34C78" w:rsidP="00E34C78">
      <w:pPr>
        <w:ind w:right="-331"/>
        <w:jc w:val="both"/>
        <w:rPr>
          <w:rFonts w:eastAsia="Times New Roman" w:cs="Arial"/>
          <w:color w:val="000000"/>
          <w:sz w:val="24"/>
          <w:szCs w:val="24"/>
        </w:rPr>
      </w:pPr>
    </w:p>
    <w:p w14:paraId="5434B841" w14:textId="77777777" w:rsidR="00E34C78" w:rsidRPr="000E6197" w:rsidRDefault="00E34C78" w:rsidP="00E34C78">
      <w:pPr>
        <w:spacing w:after="200"/>
        <w:ind w:right="-331"/>
        <w:jc w:val="both"/>
        <w:rPr>
          <w:rFonts w:eastAsia="Times New Roman" w:cs="Arial"/>
          <w:bCs/>
          <w:iCs/>
          <w:color w:val="000000"/>
          <w:sz w:val="24"/>
          <w:szCs w:val="24"/>
        </w:rPr>
      </w:pPr>
      <w:r w:rsidRPr="000E6197">
        <w:rPr>
          <w:rFonts w:eastAsia="Times New Roman" w:cs="Arial"/>
          <w:bCs/>
          <w:iCs/>
          <w:color w:val="000000"/>
          <w:sz w:val="24"/>
          <w:szCs w:val="24"/>
        </w:rPr>
        <w:t xml:space="preserve">U 2020. godini lokalne samouprave su za usluge u oblasti socijalne i dječje zaštite izdvojile oko </w:t>
      </w:r>
      <w:r w:rsidRPr="000E6197">
        <w:rPr>
          <w:rFonts w:eastAsia="Times New Roman" w:cs="Arial"/>
          <w:b/>
          <w:i/>
          <w:color w:val="000000"/>
          <w:sz w:val="24"/>
          <w:szCs w:val="24"/>
        </w:rPr>
        <w:t>3,5 miliona eura</w:t>
      </w:r>
      <w:r w:rsidRPr="000E6197">
        <w:rPr>
          <w:rFonts w:eastAsia="Times New Roman" w:cs="Arial"/>
          <w:bCs/>
          <w:iCs/>
          <w:color w:val="000000"/>
          <w:sz w:val="24"/>
          <w:szCs w:val="24"/>
        </w:rPr>
        <w:t xml:space="preserve">, u 2021. godini </w:t>
      </w:r>
      <w:bookmarkStart w:id="67" w:name="_Hlk134516770"/>
      <w:r w:rsidRPr="000E6197">
        <w:rPr>
          <w:rFonts w:eastAsia="Times New Roman" w:cs="Arial"/>
          <w:b/>
          <w:i/>
          <w:color w:val="000000"/>
          <w:sz w:val="24"/>
          <w:szCs w:val="24"/>
        </w:rPr>
        <w:t>oko 4 miliona eura</w:t>
      </w:r>
      <w:bookmarkEnd w:id="67"/>
      <w:r w:rsidRPr="000E6197">
        <w:rPr>
          <w:rFonts w:eastAsia="Times New Roman" w:cs="Arial"/>
          <w:b/>
          <w:i/>
          <w:color w:val="000000"/>
          <w:sz w:val="24"/>
          <w:szCs w:val="24"/>
        </w:rPr>
        <w:t xml:space="preserve">, </w:t>
      </w:r>
      <w:r w:rsidRPr="000E6197">
        <w:rPr>
          <w:rFonts w:eastAsia="Times New Roman" w:cs="Arial"/>
          <w:bCs/>
          <w:iCs/>
          <w:color w:val="000000"/>
          <w:sz w:val="24"/>
          <w:szCs w:val="24"/>
        </w:rPr>
        <w:t xml:space="preserve">a u 2022. godini </w:t>
      </w:r>
      <w:bookmarkStart w:id="68" w:name="_Hlk134516832"/>
      <w:r w:rsidRPr="000E6197">
        <w:rPr>
          <w:rFonts w:eastAsia="Times New Roman" w:cs="Arial"/>
          <w:b/>
          <w:bCs/>
          <w:i/>
          <w:iCs/>
          <w:color w:val="000000"/>
          <w:sz w:val="24"/>
          <w:szCs w:val="24"/>
        </w:rPr>
        <w:t>oko 4,5 miliona eura</w:t>
      </w:r>
      <w:bookmarkEnd w:id="68"/>
      <w:r w:rsidRPr="000E6197">
        <w:rPr>
          <w:rFonts w:eastAsia="Times New Roman" w:cs="Arial"/>
          <w:b/>
          <w:bCs/>
          <w:i/>
          <w:iCs/>
          <w:color w:val="000000"/>
          <w:sz w:val="24"/>
          <w:szCs w:val="24"/>
        </w:rPr>
        <w:t xml:space="preserve">, </w:t>
      </w:r>
      <w:r w:rsidRPr="000E6197">
        <w:rPr>
          <w:rFonts w:eastAsia="Times New Roman" w:cs="Arial"/>
          <w:color w:val="000000"/>
          <w:sz w:val="24"/>
          <w:szCs w:val="24"/>
        </w:rPr>
        <w:t>dakle</w:t>
      </w:r>
      <w:r w:rsidR="005B43BE">
        <w:rPr>
          <w:rFonts w:eastAsia="Times New Roman" w:cs="Arial"/>
          <w:color w:val="000000"/>
          <w:sz w:val="24"/>
          <w:szCs w:val="24"/>
        </w:rPr>
        <w:t>,</w:t>
      </w:r>
      <w:r w:rsidRPr="000E6197">
        <w:rPr>
          <w:rFonts w:eastAsia="Times New Roman" w:cs="Arial"/>
          <w:b/>
          <w:bCs/>
          <w:i/>
          <w:iCs/>
          <w:color w:val="000000"/>
          <w:sz w:val="24"/>
          <w:szCs w:val="24"/>
        </w:rPr>
        <w:t xml:space="preserve"> ukupno preko 12 miliona eura</w:t>
      </w:r>
      <w:r w:rsidRPr="000E6197">
        <w:rPr>
          <w:rFonts w:eastAsia="Times New Roman" w:cs="Arial"/>
          <w:bCs/>
          <w:iCs/>
          <w:color w:val="000000"/>
          <w:sz w:val="24"/>
          <w:szCs w:val="24"/>
        </w:rPr>
        <w:t>. Ovaj podatak pokazuje trend rasta ulaganja lokalnih samouprava u usluge socijalne i dječje zaštite iz godine u godinu, što ukazuje na povećanu potrebu za pružanjem ovih usluga u lokalnoj zajednici.</w:t>
      </w:r>
      <w:r w:rsidRPr="000E6197">
        <w:rPr>
          <w:rFonts w:eastAsia="Times New Roman" w:cs="Arial"/>
        </w:rPr>
        <w:t xml:space="preserve"> </w:t>
      </w:r>
    </w:p>
    <w:p w14:paraId="058D87F5" w14:textId="77777777" w:rsidR="00E34C78" w:rsidRPr="00583DB4" w:rsidRDefault="00E34C78" w:rsidP="00E34C78">
      <w:pPr>
        <w:spacing w:after="200"/>
        <w:ind w:right="-331"/>
        <w:jc w:val="both"/>
        <w:rPr>
          <w:rFonts w:eastAsia="Times New Roman" w:cs="Arial"/>
          <w:bCs/>
          <w:iCs/>
          <w:color w:val="000000"/>
          <w:sz w:val="24"/>
          <w:szCs w:val="24"/>
          <w:highlight w:val="yellow"/>
        </w:rPr>
      </w:pPr>
      <w:r w:rsidRPr="00583DB4">
        <w:rPr>
          <w:rFonts w:eastAsia="Times New Roman" w:cs="Arial"/>
          <w:noProof/>
          <w:highlight w:val="yellow"/>
          <w:lang w:val="sr-Latn-ME" w:eastAsia="sr-Latn-ME"/>
        </w:rPr>
        <w:drawing>
          <wp:inline distT="0" distB="0" distL="0" distR="0" wp14:anchorId="512A7995" wp14:editId="658727C3">
            <wp:extent cx="6172200" cy="2724150"/>
            <wp:effectExtent l="0" t="0" r="0" b="0"/>
            <wp:docPr id="391098955" name="Chart 1">
              <a:extLst xmlns:a="http://schemas.openxmlformats.org/drawingml/2006/main">
                <a:ext uri="{FF2B5EF4-FFF2-40B4-BE49-F238E27FC236}">
                  <a16:creationId xmlns:a16="http://schemas.microsoft.com/office/drawing/2014/main" id="{7E1F62C1-38B1-4469-DE6D-DD542F534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A57C86" w14:textId="77777777" w:rsidR="00E34C78" w:rsidRPr="00583DB4" w:rsidRDefault="00E34C78" w:rsidP="00583DB4">
      <w:pPr>
        <w:ind w:right="-331"/>
        <w:jc w:val="both"/>
        <w:rPr>
          <w:rFonts w:eastAsia="Times New Roman" w:cs="Arial"/>
          <w:iCs/>
          <w:sz w:val="24"/>
          <w:szCs w:val="24"/>
        </w:rPr>
      </w:pPr>
      <w:r w:rsidRPr="000E6197">
        <w:rPr>
          <w:rFonts w:eastAsia="Times New Roman" w:cs="Arial"/>
          <w:iCs/>
          <w:sz w:val="24"/>
          <w:szCs w:val="24"/>
        </w:rPr>
        <w:t xml:space="preserve">U izdvajanjima za </w:t>
      </w:r>
      <w:r w:rsidRPr="000E6197">
        <w:rPr>
          <w:rFonts w:eastAsia="Times New Roman" w:cs="Arial"/>
          <w:b/>
          <w:bCs/>
          <w:i/>
          <w:sz w:val="24"/>
          <w:szCs w:val="24"/>
        </w:rPr>
        <w:t>usluge</w:t>
      </w:r>
      <w:r w:rsidRPr="000E6197">
        <w:rPr>
          <w:rFonts w:eastAsia="Times New Roman" w:cs="Arial"/>
          <w:iCs/>
          <w:sz w:val="24"/>
          <w:szCs w:val="24"/>
        </w:rPr>
        <w:t xml:space="preserve"> u oblasti socijalne i dječje zaštite, lokalne samouprave najviše izdvajaju za uslugu </w:t>
      </w:r>
      <w:r w:rsidRPr="000E6197">
        <w:rPr>
          <w:rFonts w:eastAsia="Times New Roman" w:cs="Arial"/>
          <w:b/>
          <w:bCs/>
          <w:i/>
          <w:iCs/>
          <w:sz w:val="24"/>
          <w:szCs w:val="24"/>
        </w:rPr>
        <w:t>dnevnog boravka za djecu sa smetnj</w:t>
      </w:r>
      <w:r w:rsidR="005B43BE">
        <w:rPr>
          <w:rFonts w:eastAsia="Times New Roman" w:cs="Arial"/>
          <w:b/>
          <w:bCs/>
          <w:i/>
          <w:iCs/>
          <w:sz w:val="24"/>
          <w:szCs w:val="24"/>
        </w:rPr>
        <w:t>a</w:t>
      </w:r>
      <w:r w:rsidRPr="000E6197">
        <w:rPr>
          <w:rFonts w:eastAsia="Times New Roman" w:cs="Arial"/>
          <w:b/>
          <w:bCs/>
          <w:i/>
          <w:iCs/>
          <w:sz w:val="24"/>
          <w:szCs w:val="24"/>
        </w:rPr>
        <w:t>ma u razvoju</w:t>
      </w:r>
      <w:r w:rsidRPr="000E6197">
        <w:rPr>
          <w:rFonts w:eastAsia="Times New Roman" w:cs="Arial"/>
          <w:iCs/>
          <w:sz w:val="24"/>
          <w:szCs w:val="24"/>
        </w:rPr>
        <w:t xml:space="preserve">, </w:t>
      </w:r>
      <w:r w:rsidR="000E6197">
        <w:rPr>
          <w:rFonts w:eastAsia="Times New Roman" w:cs="Arial"/>
          <w:iCs/>
          <w:sz w:val="24"/>
          <w:szCs w:val="24"/>
        </w:rPr>
        <w:t xml:space="preserve">pa su u 2020. godini izdvojile </w:t>
      </w:r>
      <w:r w:rsidRPr="000E6197">
        <w:rPr>
          <w:rFonts w:eastAsia="Times New Roman" w:cs="Arial"/>
          <w:iCs/>
          <w:sz w:val="24"/>
          <w:szCs w:val="24"/>
        </w:rPr>
        <w:t>1.957.569,92 eura, u 2021. godini 2.230.208,93 eura, a u 2022. godini 2.721.274,36 eura, dakle</w:t>
      </w:r>
      <w:r w:rsidR="005B43BE">
        <w:rPr>
          <w:rFonts w:eastAsia="Times New Roman" w:cs="Arial"/>
          <w:iCs/>
          <w:sz w:val="24"/>
          <w:szCs w:val="24"/>
        </w:rPr>
        <w:t>,</w:t>
      </w:r>
      <w:r w:rsidRPr="000E6197">
        <w:rPr>
          <w:rFonts w:eastAsia="Times New Roman" w:cs="Arial"/>
          <w:iCs/>
          <w:sz w:val="24"/>
          <w:szCs w:val="24"/>
        </w:rPr>
        <w:t xml:space="preserve"> u prethodne tri godine 6.909.053,21</w:t>
      </w:r>
      <w:r w:rsidR="005B43BE">
        <w:rPr>
          <w:rFonts w:eastAsia="Times New Roman" w:cs="Arial"/>
          <w:iCs/>
          <w:sz w:val="24"/>
          <w:szCs w:val="24"/>
        </w:rPr>
        <w:t xml:space="preserve"> </w:t>
      </w:r>
      <w:r w:rsidRPr="000E6197">
        <w:rPr>
          <w:rFonts w:eastAsia="Times New Roman" w:cs="Arial"/>
          <w:iCs/>
          <w:sz w:val="24"/>
          <w:szCs w:val="24"/>
        </w:rPr>
        <w:t xml:space="preserve">eura.  Nakon usluge dnevnog boravka koja se pruža u dnevnim centrima, lokalne samouprave su najviše izdvajale za </w:t>
      </w:r>
      <w:r w:rsidRPr="000E6197">
        <w:rPr>
          <w:rFonts w:eastAsia="Times New Roman" w:cs="Arial"/>
          <w:b/>
          <w:bCs/>
          <w:i/>
          <w:sz w:val="24"/>
          <w:szCs w:val="24"/>
        </w:rPr>
        <w:lastRenderedPageBreak/>
        <w:t>uslugu narodne kuhinje</w:t>
      </w:r>
      <w:r w:rsidRPr="000E6197">
        <w:rPr>
          <w:rFonts w:eastAsia="Times New Roman" w:cs="Arial"/>
          <w:iCs/>
          <w:sz w:val="24"/>
          <w:szCs w:val="24"/>
        </w:rPr>
        <w:t xml:space="preserve">, u prethodne tri godine 1,483,797.38 eura, i </w:t>
      </w:r>
      <w:r w:rsidRPr="000E6197">
        <w:rPr>
          <w:rFonts w:eastAsia="Times New Roman" w:cs="Arial"/>
          <w:b/>
          <w:bCs/>
          <w:i/>
          <w:sz w:val="24"/>
          <w:szCs w:val="24"/>
        </w:rPr>
        <w:t>uslugu pomoć</w:t>
      </w:r>
      <w:r w:rsidR="005B43BE">
        <w:rPr>
          <w:rFonts w:eastAsia="Times New Roman" w:cs="Arial"/>
          <w:b/>
          <w:bCs/>
          <w:i/>
          <w:sz w:val="24"/>
          <w:szCs w:val="24"/>
        </w:rPr>
        <w:t>i</w:t>
      </w:r>
      <w:r w:rsidRPr="000E6197">
        <w:rPr>
          <w:rFonts w:eastAsia="Times New Roman" w:cs="Arial"/>
          <w:b/>
          <w:bCs/>
          <w:i/>
          <w:sz w:val="24"/>
          <w:szCs w:val="24"/>
        </w:rPr>
        <w:t xml:space="preserve"> u kući</w:t>
      </w:r>
      <w:r w:rsidR="005B43BE">
        <w:rPr>
          <w:rFonts w:eastAsia="Times New Roman" w:cs="Arial"/>
          <w:iCs/>
          <w:sz w:val="24"/>
          <w:szCs w:val="24"/>
        </w:rPr>
        <w:t xml:space="preserve">, </w:t>
      </w:r>
      <w:r w:rsidRPr="000E6197">
        <w:rPr>
          <w:rFonts w:eastAsia="Times New Roman" w:cs="Arial"/>
          <w:iCs/>
          <w:sz w:val="24"/>
          <w:szCs w:val="24"/>
        </w:rPr>
        <w:t>u prethodne tri godine 1,126,588.65 eura.</w:t>
      </w:r>
      <w:r w:rsidR="006F56C3">
        <w:rPr>
          <w:rStyle w:val="FootnoteReference"/>
          <w:rFonts w:eastAsia="Times New Roman" w:cs="Arial"/>
          <w:iCs/>
          <w:sz w:val="24"/>
          <w:szCs w:val="24"/>
        </w:rPr>
        <w:footnoteReference w:id="46"/>
      </w:r>
    </w:p>
    <w:p w14:paraId="64A6F532" w14:textId="77777777" w:rsidR="00E34C78" w:rsidRPr="00E34C78" w:rsidRDefault="00E34C78" w:rsidP="00780738">
      <w:pPr>
        <w:spacing w:after="120"/>
        <w:jc w:val="both"/>
        <w:rPr>
          <w:rFonts w:eastAsia="Calibri" w:cs="Arial"/>
          <w:sz w:val="24"/>
          <w:szCs w:val="24"/>
          <w:lang w:val="sr-Latn-ME"/>
        </w:rPr>
      </w:pPr>
    </w:p>
    <w:p w14:paraId="74197B2B" w14:textId="77777777" w:rsidR="002C7204" w:rsidRPr="00F96844" w:rsidRDefault="002C7204" w:rsidP="00780738">
      <w:pPr>
        <w:spacing w:after="120"/>
        <w:jc w:val="both"/>
        <w:rPr>
          <w:rFonts w:eastAsia="Times New Roman" w:cs="Arial"/>
          <w:color w:val="000000"/>
          <w:sz w:val="24"/>
          <w:szCs w:val="24"/>
          <w:lang w:val="sr-Latn-ME"/>
        </w:rPr>
      </w:pPr>
      <w:r w:rsidRPr="00F96844">
        <w:rPr>
          <w:rFonts w:eastAsia="Times New Roman" w:cs="Arial"/>
          <w:color w:val="000000"/>
          <w:sz w:val="24"/>
          <w:szCs w:val="24"/>
          <w:lang w:val="sr-Latn-ME"/>
        </w:rPr>
        <w:t>Postoji saglasnost svih aktera koji se bave pitanjima u oblasti SDZ da je tokom sprovođenja Strategije najmanje urađeno na planu sprovođenj</w:t>
      </w:r>
      <w:r w:rsidR="00324E0E">
        <w:rPr>
          <w:rFonts w:eastAsia="Times New Roman" w:cs="Arial"/>
          <w:color w:val="000000"/>
          <w:sz w:val="24"/>
          <w:szCs w:val="24"/>
          <w:lang w:val="sr-Latn-ME"/>
        </w:rPr>
        <w:t>a</w:t>
      </w:r>
      <w:r w:rsidRPr="00F96844">
        <w:rPr>
          <w:rFonts w:eastAsia="Times New Roman" w:cs="Arial"/>
          <w:color w:val="000000"/>
          <w:sz w:val="24"/>
          <w:szCs w:val="24"/>
          <w:lang w:val="sr-Latn-ME"/>
        </w:rPr>
        <w:t xml:space="preserve"> procesa deinstitucionalizacije.</w:t>
      </w:r>
    </w:p>
    <w:p w14:paraId="10971211" w14:textId="77777777" w:rsidR="002C7204" w:rsidRPr="00F96844" w:rsidRDefault="002C7204" w:rsidP="00780738">
      <w:pPr>
        <w:spacing w:after="120"/>
        <w:jc w:val="both"/>
        <w:rPr>
          <w:rFonts w:eastAsia="Times New Roman" w:cs="Arial"/>
          <w:color w:val="000000"/>
          <w:sz w:val="24"/>
          <w:szCs w:val="24"/>
          <w:lang w:val="sr-Latn-ME"/>
        </w:rPr>
      </w:pPr>
      <w:r w:rsidRPr="00F96844">
        <w:rPr>
          <w:rFonts w:eastAsia="Times New Roman" w:cs="Arial"/>
          <w:color w:val="000000"/>
          <w:sz w:val="24"/>
          <w:szCs w:val="24"/>
          <w:lang w:val="sr-Latn-ME"/>
        </w:rPr>
        <w:t>Pored gore navedenog, Evaluacija je pokazala da je jedan od faktora koji je uticao na umanjenu efikasnost i efektivnost sprovođenja Strategije bio i nedostatak odgovarajućih kapaciteta samih institucija.</w:t>
      </w:r>
    </w:p>
    <w:p w14:paraId="0E9CC9F4" w14:textId="77777777" w:rsidR="00A619F2" w:rsidRPr="005B71A4" w:rsidRDefault="002C7204" w:rsidP="00780738">
      <w:pPr>
        <w:spacing w:after="120"/>
        <w:jc w:val="both"/>
        <w:rPr>
          <w:rFonts w:eastAsia="Times New Roman" w:cs="Arial"/>
          <w:color w:val="000000"/>
          <w:sz w:val="24"/>
          <w:szCs w:val="24"/>
          <w:lang w:val="sr-Latn-ME"/>
        </w:rPr>
      </w:pPr>
      <w:r w:rsidRPr="00F96844">
        <w:rPr>
          <w:rFonts w:eastAsia="Times New Roman" w:cs="Arial"/>
          <w:color w:val="000000"/>
          <w:sz w:val="24"/>
          <w:szCs w:val="24"/>
          <w:lang w:val="sr-Latn-ME"/>
        </w:rPr>
        <w:t xml:space="preserve">Utvrđeno je da postoji diskonekcija između mjera koje </w:t>
      </w:r>
      <w:r w:rsidRPr="00CE4DC0">
        <w:rPr>
          <w:rFonts w:eastAsia="Times New Roman" w:cs="Arial"/>
          <w:color w:val="000000"/>
          <w:sz w:val="24"/>
          <w:szCs w:val="24"/>
          <w:lang w:val="sr-Latn-ME"/>
        </w:rPr>
        <w:t>se sprovode i efekata koji se postižu u smislu dostizanja proklamovanih ciljeva, čime se umanjuj</w:t>
      </w:r>
      <w:r w:rsidR="005A74EF" w:rsidRPr="00CE4DC0">
        <w:rPr>
          <w:rFonts w:eastAsia="Times New Roman" w:cs="Arial"/>
          <w:color w:val="000000"/>
          <w:sz w:val="24"/>
          <w:szCs w:val="24"/>
          <w:lang w:val="sr-Latn-ME"/>
        </w:rPr>
        <w:t>u</w:t>
      </w:r>
      <w:r w:rsidRPr="00CE4DC0">
        <w:rPr>
          <w:rFonts w:eastAsia="Times New Roman" w:cs="Arial"/>
          <w:color w:val="000000"/>
          <w:sz w:val="24"/>
          <w:szCs w:val="24"/>
          <w:lang w:val="sr-Latn-ME"/>
        </w:rPr>
        <w:t xml:space="preserve"> efekti</w:t>
      </w:r>
      <w:r w:rsidRPr="00F96844">
        <w:rPr>
          <w:rFonts w:eastAsia="Times New Roman" w:cs="Arial"/>
          <w:color w:val="000000"/>
          <w:sz w:val="24"/>
          <w:szCs w:val="24"/>
          <w:lang w:val="sr-Latn-ME"/>
        </w:rPr>
        <w:t xml:space="preserve"> sprovođenja Strategije.</w:t>
      </w:r>
    </w:p>
    <w:p w14:paraId="2FFC5CD3" w14:textId="77777777" w:rsidR="002B4243" w:rsidRPr="00F96844" w:rsidRDefault="002B4243" w:rsidP="00780738">
      <w:pPr>
        <w:jc w:val="both"/>
        <w:rPr>
          <w:rFonts w:cs="Arial"/>
          <w:sz w:val="24"/>
          <w:szCs w:val="24"/>
          <w:lang w:val="sr-Latn-ME"/>
        </w:rPr>
      </w:pPr>
      <w:r w:rsidRPr="00F96844">
        <w:rPr>
          <w:rFonts w:cs="Arial"/>
          <w:sz w:val="24"/>
          <w:szCs w:val="24"/>
          <w:lang w:val="sr-Latn-ME"/>
        </w:rPr>
        <w:t>Studije</w:t>
      </w:r>
      <w:r w:rsidRPr="00F96844">
        <w:rPr>
          <w:rFonts w:cs="Arial"/>
          <w:sz w:val="24"/>
          <w:szCs w:val="24"/>
          <w:vertAlign w:val="superscript"/>
          <w:lang w:val="sr-Latn-ME"/>
        </w:rPr>
        <w:footnoteReference w:id="47"/>
      </w:r>
      <w:r w:rsidRPr="00F96844">
        <w:rPr>
          <w:rFonts w:cs="Arial"/>
          <w:sz w:val="24"/>
          <w:szCs w:val="24"/>
          <w:lang w:val="sr-Latn-ME"/>
        </w:rPr>
        <w:t xml:space="preserve"> ukazuju</w:t>
      </w:r>
      <w:r w:rsidR="00324E0E">
        <w:rPr>
          <w:rFonts w:cs="Arial"/>
          <w:sz w:val="24"/>
          <w:szCs w:val="24"/>
          <w:lang w:val="sr-Latn-ME"/>
        </w:rPr>
        <w:t xml:space="preserve"> na to</w:t>
      </w:r>
      <w:r w:rsidRPr="00F96844">
        <w:rPr>
          <w:rFonts w:cs="Arial"/>
          <w:sz w:val="24"/>
          <w:szCs w:val="24"/>
          <w:lang w:val="sr-Latn-ME"/>
        </w:rPr>
        <w:t xml:space="preserve"> da deinstitucionalizacija, razvoj usluga u zajednici i unapređenje kvaliteta usluga (uključujući i osnaživanje regulat</w:t>
      </w:r>
      <w:r w:rsidR="00EE1A9E">
        <w:rPr>
          <w:rFonts w:cs="Arial"/>
          <w:sz w:val="24"/>
          <w:szCs w:val="24"/>
          <w:lang w:val="sr-Latn-ME"/>
        </w:rPr>
        <w:t>orne</w:t>
      </w:r>
      <w:r w:rsidRPr="00F96844">
        <w:rPr>
          <w:rFonts w:cs="Arial"/>
          <w:sz w:val="24"/>
          <w:szCs w:val="24"/>
          <w:lang w:val="sr-Latn-ME"/>
        </w:rPr>
        <w:t xml:space="preserve"> funkcije, usluga koje pružaju </w:t>
      </w:r>
      <w:r w:rsidR="00EE1A9E">
        <w:rPr>
          <w:rFonts w:cs="Arial"/>
          <w:sz w:val="24"/>
          <w:szCs w:val="24"/>
          <w:lang w:val="sr-Latn-ME"/>
        </w:rPr>
        <w:t>c</w:t>
      </w:r>
      <w:r w:rsidRPr="00F96844">
        <w:rPr>
          <w:rFonts w:cs="Arial"/>
          <w:sz w:val="24"/>
          <w:szCs w:val="24"/>
          <w:lang w:val="sr-Latn-ME"/>
        </w:rPr>
        <w:t>entri za socijalni rad, unapređenje kapaciteta za analizu sistema) ostaju ključne reforme koje će Crna Gora razvijati i narednih godina, pa je u tom smislu sve što je do sada urađeno kroz sprovođenje Strategije razvoja SDZ 2018</w:t>
      </w:r>
      <w:r w:rsidR="00324E0E">
        <w:rPr>
          <w:rFonts w:cs="Arial"/>
          <w:sz w:val="24"/>
          <w:szCs w:val="24"/>
          <w:lang w:val="sr-Latn-ME"/>
        </w:rPr>
        <w:t>‒</w:t>
      </w:r>
      <w:r w:rsidRPr="00F96844">
        <w:rPr>
          <w:rFonts w:cs="Arial"/>
          <w:sz w:val="24"/>
          <w:szCs w:val="24"/>
          <w:lang w:val="sr-Latn-ME"/>
        </w:rPr>
        <w:t>2022 temelj za buduće djelovanje.</w:t>
      </w:r>
    </w:p>
    <w:p w14:paraId="7F81D38E" w14:textId="77777777" w:rsidR="002B4243" w:rsidRPr="00F96844" w:rsidRDefault="002B4243" w:rsidP="00780738">
      <w:pPr>
        <w:jc w:val="both"/>
        <w:rPr>
          <w:rFonts w:cs="Arial"/>
          <w:sz w:val="24"/>
          <w:szCs w:val="24"/>
          <w:lang w:val="sr-Latn-ME"/>
        </w:rPr>
      </w:pPr>
    </w:p>
    <w:p w14:paraId="329DE4AD" w14:textId="77777777" w:rsidR="002B4243" w:rsidRPr="00F96844" w:rsidRDefault="002B4243" w:rsidP="00780738">
      <w:pPr>
        <w:pStyle w:val="Heading2"/>
        <w:rPr>
          <w:szCs w:val="24"/>
          <w:lang w:val="sr-Latn-ME"/>
        </w:rPr>
      </w:pPr>
      <w:bookmarkStart w:id="69" w:name="_Toc134402939"/>
      <w:bookmarkStart w:id="70" w:name="_Toc172541304"/>
      <w:bookmarkStart w:id="71" w:name="_Hlk164671714"/>
      <w:r w:rsidRPr="00F96844">
        <w:rPr>
          <w:szCs w:val="24"/>
          <w:lang w:val="sr-Latn-ME" w:bidi="en-US"/>
        </w:rPr>
        <w:t>Grupe koje žive u izraženom riziku od siromaštva i isključenosti</w:t>
      </w:r>
      <w:bookmarkEnd w:id="69"/>
      <w:bookmarkEnd w:id="70"/>
    </w:p>
    <w:p w14:paraId="6E5A7E83" w14:textId="77777777" w:rsidR="00A619F2" w:rsidRPr="00F96844" w:rsidRDefault="00A619F2" w:rsidP="00780738">
      <w:pPr>
        <w:jc w:val="both"/>
        <w:rPr>
          <w:rFonts w:cs="Arial"/>
          <w:b/>
          <w:bCs/>
          <w:sz w:val="24"/>
          <w:szCs w:val="24"/>
          <w:lang w:val="sr-Latn-ME" w:bidi="en-US"/>
        </w:rPr>
      </w:pPr>
    </w:p>
    <w:p w14:paraId="20B4543D" w14:textId="77777777" w:rsidR="003C5DC6" w:rsidRPr="00F96844" w:rsidRDefault="003C5DC6" w:rsidP="00780738">
      <w:pPr>
        <w:jc w:val="both"/>
        <w:rPr>
          <w:rFonts w:cs="Arial"/>
          <w:sz w:val="24"/>
          <w:szCs w:val="24"/>
          <w:lang w:val="sr-Latn-ME"/>
        </w:rPr>
      </w:pPr>
    </w:p>
    <w:p w14:paraId="41106A52" w14:textId="1071440D" w:rsidR="00427B5E" w:rsidRPr="00427B5E" w:rsidRDefault="002C7D71" w:rsidP="00427B5E">
      <w:pPr>
        <w:pStyle w:val="CommentText"/>
        <w:rPr>
          <w:rFonts w:cs="Arial"/>
          <w:sz w:val="24"/>
          <w:szCs w:val="24"/>
        </w:rPr>
      </w:pPr>
      <w:r>
        <w:rPr>
          <w:rFonts w:cs="Arial"/>
          <w:sz w:val="24"/>
          <w:szCs w:val="24"/>
          <w:lang w:val="sr-Latn-ME"/>
        </w:rPr>
        <w:t>S</w:t>
      </w:r>
      <w:r w:rsidRPr="00F96844">
        <w:rPr>
          <w:rFonts w:cs="Arial"/>
          <w:sz w:val="24"/>
          <w:szCs w:val="24"/>
          <w:lang w:val="sr-Latn-ME"/>
        </w:rPr>
        <w:t>topa rizika od siromaštva</w:t>
      </w:r>
      <w:r>
        <w:rPr>
          <w:rStyle w:val="FootnoteReference"/>
          <w:rFonts w:cs="Arial"/>
          <w:sz w:val="24"/>
          <w:szCs w:val="24"/>
          <w:lang w:val="sr-Latn-ME"/>
        </w:rPr>
        <w:footnoteReference w:id="48"/>
      </w:r>
      <w:r w:rsidRPr="00F96844">
        <w:rPr>
          <w:rFonts w:cs="Arial"/>
          <w:sz w:val="24"/>
          <w:szCs w:val="24"/>
          <w:lang w:val="sr-Latn-ME"/>
        </w:rPr>
        <w:t xml:space="preserve"> u Crnoj Gori </w:t>
      </w:r>
      <w:r>
        <w:rPr>
          <w:rFonts w:cs="Arial"/>
          <w:sz w:val="24"/>
          <w:szCs w:val="24"/>
          <w:lang w:val="sr-Latn-ME"/>
        </w:rPr>
        <w:t>je i dalje visoka, iako se po</w:t>
      </w:r>
      <w:r w:rsidR="009F661D">
        <w:rPr>
          <w:rFonts w:cs="Arial"/>
          <w:sz w:val="24"/>
          <w:szCs w:val="24"/>
          <w:lang w:val="sr-Latn-ME"/>
        </w:rPr>
        <w:t>sljed</w:t>
      </w:r>
      <w:r>
        <w:rPr>
          <w:rFonts w:cs="Arial"/>
          <w:sz w:val="24"/>
          <w:szCs w:val="24"/>
          <w:lang w:val="sr-Latn-ME"/>
        </w:rPr>
        <w:t>njih godina bilježi trend pada.</w:t>
      </w:r>
      <w:r w:rsidRPr="00F96844">
        <w:rPr>
          <w:rFonts w:cs="Arial"/>
          <w:sz w:val="24"/>
          <w:szCs w:val="24"/>
          <w:lang w:val="sr-Latn-ME"/>
        </w:rPr>
        <w:t xml:space="preserve"> Stopa rizika od siromaštva u 2022. godini iznosila je 20,3%</w:t>
      </w:r>
      <w:r w:rsidR="00324E0E">
        <w:rPr>
          <w:rFonts w:cs="Arial"/>
          <w:sz w:val="24"/>
          <w:szCs w:val="24"/>
          <w:lang w:val="sr-Latn-ME"/>
        </w:rPr>
        <w:t>.</w:t>
      </w:r>
      <w:r w:rsidRPr="00F96844">
        <w:rPr>
          <w:rFonts w:cs="Arial"/>
          <w:sz w:val="24"/>
          <w:szCs w:val="24"/>
          <w:vertAlign w:val="superscript"/>
          <w:lang w:val="sr-Latn-ME"/>
        </w:rPr>
        <w:footnoteReference w:id="49"/>
      </w:r>
      <w:r w:rsidR="006C66CD" w:rsidRPr="006C66CD">
        <w:t xml:space="preserve"> </w:t>
      </w:r>
      <w:r w:rsidR="006C66CD" w:rsidRPr="006C66CD">
        <w:rPr>
          <w:rFonts w:cs="Arial"/>
          <w:sz w:val="24"/>
          <w:szCs w:val="24"/>
          <w:lang w:val="sr-Latn-ME"/>
        </w:rPr>
        <w:t>Posmatrano prema starosti, u 2022. godini, lica mlađa od 18 godina, najviše su bila izložena riziku od</w:t>
      </w:r>
      <w:r w:rsidR="00324E0E">
        <w:rPr>
          <w:rFonts w:cs="Arial"/>
          <w:sz w:val="24"/>
          <w:szCs w:val="24"/>
          <w:lang w:val="sr-Latn-ME"/>
        </w:rPr>
        <w:t xml:space="preserve"> </w:t>
      </w:r>
      <w:r w:rsidR="006C66CD" w:rsidRPr="006C66CD">
        <w:rPr>
          <w:rFonts w:cs="Arial"/>
          <w:sz w:val="24"/>
          <w:szCs w:val="24"/>
          <w:lang w:val="sr-Latn-ME"/>
        </w:rPr>
        <w:t>siromaštva (28,4%), kao i lica starosti od 18 do 24 godine (25,8%).</w:t>
      </w:r>
      <w:r w:rsidR="006C66CD">
        <w:rPr>
          <w:rStyle w:val="FootnoteReference"/>
          <w:rFonts w:cs="Arial"/>
          <w:sz w:val="24"/>
          <w:szCs w:val="24"/>
          <w:lang w:val="sr-Latn-ME"/>
        </w:rPr>
        <w:footnoteReference w:id="50"/>
      </w:r>
      <w:r w:rsidR="006C66CD" w:rsidRPr="006C66CD">
        <w:rPr>
          <w:rFonts w:cs="Arial"/>
          <w:sz w:val="24"/>
          <w:szCs w:val="24"/>
          <w:lang w:val="sr-Latn-ME"/>
        </w:rPr>
        <w:t xml:space="preserve"> Najnižu s</w:t>
      </w:r>
      <w:r w:rsidR="000E6197">
        <w:rPr>
          <w:rFonts w:cs="Arial"/>
          <w:sz w:val="24"/>
          <w:szCs w:val="24"/>
          <w:lang w:val="sr-Latn-ME"/>
        </w:rPr>
        <w:t xml:space="preserve">topu rizika od siromaštva imale </w:t>
      </w:r>
      <w:r w:rsidR="006C66CD" w:rsidRPr="006C66CD">
        <w:rPr>
          <w:rFonts w:cs="Arial"/>
          <w:sz w:val="24"/>
          <w:szCs w:val="24"/>
          <w:lang w:val="sr-Latn-ME"/>
        </w:rPr>
        <w:t xml:space="preserve">su osobe starosti 55 do 64 godine (13,4%). </w:t>
      </w:r>
      <w:r w:rsidRPr="00F96844">
        <w:rPr>
          <w:rFonts w:cs="Arial"/>
          <w:sz w:val="24"/>
          <w:szCs w:val="24"/>
          <w:lang w:val="sr-Latn-ME"/>
        </w:rPr>
        <w:t>Poređenje osnovne stope rizika od siromaštva i stope rizika od siromaštva prije uključivanja socijalnih transfera u 2022. godini, pokazuje da isključivanje socijalnih transfera iz dohotka utiče na povećanje procenta osoba koje su u riziku od siromaštva</w:t>
      </w:r>
      <w:r w:rsidR="004C5D23">
        <w:rPr>
          <w:rFonts w:cs="Arial"/>
          <w:sz w:val="24"/>
          <w:szCs w:val="24"/>
          <w:lang w:val="sr-Latn-ME"/>
        </w:rPr>
        <w:t xml:space="preserve"> s o</w:t>
      </w:r>
      <w:r w:rsidRPr="00F96844">
        <w:rPr>
          <w:rFonts w:cs="Arial"/>
          <w:sz w:val="24"/>
          <w:szCs w:val="24"/>
          <w:lang w:val="sr-Latn-ME"/>
        </w:rPr>
        <w:t>snovnih 20,3% na 26,3%.</w:t>
      </w:r>
      <w:r w:rsidR="006A23FA">
        <w:rPr>
          <w:rStyle w:val="FootnoteReference"/>
          <w:rFonts w:cs="Arial"/>
          <w:sz w:val="24"/>
          <w:szCs w:val="24"/>
          <w:lang w:val="sr-Latn-ME"/>
        </w:rPr>
        <w:footnoteReference w:id="51"/>
      </w:r>
      <w:r w:rsidR="006A23FA">
        <w:rPr>
          <w:rFonts w:cs="Arial"/>
          <w:sz w:val="24"/>
          <w:szCs w:val="24"/>
          <w:lang w:val="sr-Latn-ME"/>
        </w:rPr>
        <w:t xml:space="preserve"> </w:t>
      </w:r>
      <w:r w:rsidR="00427B5E" w:rsidRPr="00427B5E">
        <w:rPr>
          <w:rFonts w:cs="Arial"/>
          <w:sz w:val="24"/>
          <w:szCs w:val="24"/>
          <w:lang w:val="sr-Latn-ME"/>
        </w:rPr>
        <w:t>Ako se iz dohotka isključe i socijalni transferi i penzije, tada stopa rizika od siromaštva iznosi 40,8%.</w:t>
      </w:r>
      <w:r w:rsidR="00427B5E" w:rsidRPr="00427B5E">
        <w:rPr>
          <w:rFonts w:cs="Arial"/>
          <w:sz w:val="24"/>
          <w:szCs w:val="24"/>
          <w:vertAlign w:val="superscript"/>
          <w:lang w:val="sr-Latn-ME"/>
        </w:rPr>
        <w:footnoteReference w:id="52"/>
      </w:r>
      <w:r w:rsidR="00427B5E" w:rsidRPr="00427B5E">
        <w:rPr>
          <w:rFonts w:cs="Arial"/>
          <w:sz w:val="24"/>
          <w:szCs w:val="24"/>
          <w:lang w:val="sr-Latn-ME"/>
        </w:rPr>
        <w:t xml:space="preserve"> </w:t>
      </w:r>
      <w:r w:rsidR="00427B5E" w:rsidRPr="00427B5E">
        <w:rPr>
          <w:rFonts w:cs="Arial"/>
          <w:sz w:val="24"/>
          <w:szCs w:val="24"/>
        </w:rPr>
        <w:t>Po statističkim podacima koje u Crnoj Gori sprovodi Monstat primjetno je da je godinama unazad trend rizika od siromaštva u ruralnim područjima i prvenstveno u sjevernoj regiji povećan.”</w:t>
      </w:r>
    </w:p>
    <w:p w14:paraId="2DCBB48A" w14:textId="77777777" w:rsidR="002C7D71" w:rsidRPr="00F96844" w:rsidRDefault="002C7D71" w:rsidP="00780738">
      <w:pPr>
        <w:jc w:val="both"/>
        <w:rPr>
          <w:rFonts w:cs="Arial"/>
          <w:sz w:val="24"/>
          <w:szCs w:val="24"/>
          <w:lang w:val="sr-Latn-ME"/>
        </w:rPr>
      </w:pPr>
    </w:p>
    <w:p w14:paraId="7AD9E96C" w14:textId="77777777" w:rsidR="003C5DC6" w:rsidRPr="00F96844" w:rsidRDefault="003C5DC6" w:rsidP="005114FD">
      <w:pPr>
        <w:jc w:val="both"/>
        <w:rPr>
          <w:rFonts w:cs="Arial"/>
          <w:sz w:val="24"/>
          <w:szCs w:val="24"/>
          <w:lang w:val="sr-Latn-ME"/>
        </w:rPr>
      </w:pPr>
    </w:p>
    <w:p w14:paraId="14DCC587" w14:textId="77777777" w:rsidR="002C7D71" w:rsidRPr="00F96844" w:rsidRDefault="002C7D71" w:rsidP="005114FD">
      <w:pPr>
        <w:jc w:val="both"/>
        <w:rPr>
          <w:rFonts w:cs="Arial"/>
          <w:sz w:val="24"/>
          <w:szCs w:val="24"/>
          <w:lang w:val="sr-Latn-ME"/>
        </w:rPr>
      </w:pPr>
    </w:p>
    <w:p w14:paraId="74929818" w14:textId="77777777" w:rsidR="00E16213" w:rsidRPr="00F96844" w:rsidRDefault="00E16213" w:rsidP="005114FD">
      <w:pPr>
        <w:jc w:val="both"/>
        <w:rPr>
          <w:rFonts w:cs="Arial"/>
          <w:b/>
          <w:i/>
          <w:sz w:val="24"/>
          <w:szCs w:val="24"/>
          <w:lang w:val="sr-Latn-ME" w:bidi="en-US"/>
        </w:rPr>
      </w:pPr>
      <w:r w:rsidRPr="00F96844">
        <w:rPr>
          <w:rFonts w:cs="Arial"/>
          <w:b/>
          <w:i/>
          <w:sz w:val="24"/>
          <w:szCs w:val="24"/>
          <w:lang w:val="sr-Latn-ME" w:bidi="en-US"/>
        </w:rPr>
        <w:t>Grafikon br. 2: Pokazatelji nejednakosti dohotka (Gini koeficijent)</w:t>
      </w:r>
      <w:r w:rsidRPr="00F96844">
        <w:rPr>
          <w:rFonts w:cs="Arial"/>
          <w:b/>
          <w:i/>
          <w:sz w:val="24"/>
          <w:szCs w:val="24"/>
          <w:vertAlign w:val="superscript"/>
          <w:lang w:val="sr-Latn-ME" w:bidi="en-US"/>
        </w:rPr>
        <w:footnoteReference w:id="53"/>
      </w:r>
    </w:p>
    <w:p w14:paraId="36E1B892" w14:textId="77777777" w:rsidR="003C5DC6" w:rsidRPr="00F96844" w:rsidRDefault="003C5DC6" w:rsidP="005114FD">
      <w:pPr>
        <w:jc w:val="both"/>
        <w:rPr>
          <w:rFonts w:cs="Arial"/>
          <w:b/>
          <w:i/>
          <w:sz w:val="24"/>
          <w:szCs w:val="24"/>
          <w:lang w:val="sr-Latn-ME" w:bidi="en-US"/>
        </w:rPr>
      </w:pPr>
    </w:p>
    <w:p w14:paraId="0C728997" w14:textId="77777777" w:rsidR="00E16213" w:rsidRDefault="00E16213" w:rsidP="005114FD">
      <w:pPr>
        <w:jc w:val="both"/>
        <w:rPr>
          <w:rFonts w:cs="Arial"/>
          <w:sz w:val="24"/>
          <w:szCs w:val="24"/>
          <w:lang w:val="sr-Latn-ME"/>
        </w:rPr>
      </w:pPr>
      <w:r w:rsidRPr="00F96844">
        <w:rPr>
          <w:rFonts w:cs="Arial"/>
          <w:noProof/>
          <w:sz w:val="24"/>
          <w:szCs w:val="24"/>
          <w:lang w:val="sr-Latn-ME" w:eastAsia="sr-Latn-ME"/>
        </w:rPr>
        <w:drawing>
          <wp:inline distT="0" distB="0" distL="0" distR="0" wp14:anchorId="0D0D4D7E" wp14:editId="52629298">
            <wp:extent cx="6019800" cy="2419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152373" w14:textId="77777777" w:rsidR="00C86CBE" w:rsidRDefault="00C86CBE" w:rsidP="005114FD">
      <w:pPr>
        <w:jc w:val="both"/>
        <w:rPr>
          <w:rFonts w:cs="Arial"/>
          <w:sz w:val="24"/>
          <w:szCs w:val="24"/>
          <w:lang w:val="sr-Latn-ME"/>
        </w:rPr>
      </w:pPr>
    </w:p>
    <w:p w14:paraId="42FDB218" w14:textId="77777777" w:rsidR="00C86CBE" w:rsidRPr="00F96844" w:rsidRDefault="00C86CBE" w:rsidP="005114FD">
      <w:pPr>
        <w:jc w:val="both"/>
        <w:rPr>
          <w:rFonts w:cs="Arial"/>
          <w:sz w:val="24"/>
          <w:szCs w:val="24"/>
          <w:lang w:val="sr-Latn-ME"/>
        </w:rPr>
      </w:pPr>
    </w:p>
    <w:p w14:paraId="19A608DB" w14:textId="77777777" w:rsidR="002C7D71" w:rsidRPr="00F96844" w:rsidRDefault="002C7D71" w:rsidP="00780738">
      <w:pPr>
        <w:jc w:val="both"/>
        <w:rPr>
          <w:rFonts w:cs="Arial"/>
          <w:sz w:val="24"/>
          <w:szCs w:val="24"/>
          <w:lang w:val="sr-Latn-ME"/>
        </w:rPr>
      </w:pPr>
      <w:r>
        <w:rPr>
          <w:rFonts w:cs="Arial"/>
          <w:sz w:val="24"/>
          <w:szCs w:val="24"/>
          <w:lang w:val="sr-Latn-ME"/>
        </w:rPr>
        <w:t>Na grafikonu br.</w:t>
      </w:r>
      <w:r w:rsidR="00B142AA">
        <w:rPr>
          <w:rFonts w:cs="Arial"/>
          <w:sz w:val="24"/>
          <w:szCs w:val="24"/>
          <w:lang w:val="sr-Latn-ME"/>
        </w:rPr>
        <w:t xml:space="preserve"> </w:t>
      </w:r>
      <w:r>
        <w:rPr>
          <w:rFonts w:cs="Arial"/>
          <w:sz w:val="24"/>
          <w:szCs w:val="24"/>
          <w:lang w:val="sr-Latn-ME"/>
        </w:rPr>
        <w:t>2 i br.</w:t>
      </w:r>
      <w:r w:rsidR="00B142AA">
        <w:rPr>
          <w:rFonts w:cs="Arial"/>
          <w:sz w:val="24"/>
          <w:szCs w:val="24"/>
          <w:lang w:val="sr-Latn-ME"/>
        </w:rPr>
        <w:t xml:space="preserve"> </w:t>
      </w:r>
      <w:r>
        <w:rPr>
          <w:rFonts w:cs="Arial"/>
          <w:sz w:val="24"/>
          <w:szCs w:val="24"/>
          <w:lang w:val="sr-Latn-ME"/>
        </w:rPr>
        <w:t xml:space="preserve">3 </w:t>
      </w:r>
      <w:r w:rsidR="00B142AA">
        <w:rPr>
          <w:rFonts w:cs="Arial"/>
          <w:sz w:val="24"/>
          <w:szCs w:val="24"/>
          <w:lang w:val="sr-Latn-ME"/>
        </w:rPr>
        <w:t xml:space="preserve">uporedno su </w:t>
      </w:r>
      <w:r>
        <w:rPr>
          <w:rFonts w:cs="Arial"/>
          <w:sz w:val="24"/>
          <w:szCs w:val="24"/>
          <w:lang w:val="sr-Latn-ME"/>
        </w:rPr>
        <w:t xml:space="preserve">prikazane vrijednosti pokazatelja nejednakosti dohotka i pokazatelja rizika od siromaštva ili socijalne isključenosti (AROPE) za Crnu </w:t>
      </w:r>
      <w:r w:rsidR="00B142AA">
        <w:rPr>
          <w:rFonts w:cs="Arial"/>
          <w:sz w:val="24"/>
          <w:szCs w:val="24"/>
          <w:lang w:val="sr-Latn-ME"/>
        </w:rPr>
        <w:t>G</w:t>
      </w:r>
      <w:r>
        <w:rPr>
          <w:rFonts w:cs="Arial"/>
          <w:sz w:val="24"/>
          <w:szCs w:val="24"/>
          <w:lang w:val="sr-Latn-ME"/>
        </w:rPr>
        <w:t>oru i za članice EU u 2022. godini</w:t>
      </w:r>
    </w:p>
    <w:p w14:paraId="11AE6DA3" w14:textId="77777777" w:rsidR="002C7D71" w:rsidRPr="00F96844" w:rsidRDefault="002C7D71" w:rsidP="00780738">
      <w:pPr>
        <w:jc w:val="both"/>
        <w:rPr>
          <w:rFonts w:cs="Arial"/>
          <w:sz w:val="24"/>
          <w:szCs w:val="24"/>
          <w:lang w:val="sr-Latn-ME"/>
        </w:rPr>
      </w:pPr>
    </w:p>
    <w:p w14:paraId="6BB0C2E8" w14:textId="77777777" w:rsidR="00780738" w:rsidRPr="00F96844" w:rsidRDefault="00780738" w:rsidP="005114FD">
      <w:pPr>
        <w:jc w:val="both"/>
        <w:rPr>
          <w:rFonts w:cs="Arial"/>
          <w:sz w:val="24"/>
          <w:szCs w:val="24"/>
          <w:lang w:val="sr-Latn-ME"/>
        </w:rPr>
      </w:pPr>
    </w:p>
    <w:p w14:paraId="77321D10" w14:textId="77777777" w:rsidR="003C5DC6" w:rsidRPr="00F96844" w:rsidRDefault="003C5DC6" w:rsidP="005114FD">
      <w:pPr>
        <w:jc w:val="both"/>
        <w:rPr>
          <w:rFonts w:cs="Arial"/>
          <w:sz w:val="24"/>
          <w:szCs w:val="24"/>
          <w:lang w:val="sr-Latn-ME"/>
        </w:rPr>
      </w:pPr>
    </w:p>
    <w:p w14:paraId="5891E679" w14:textId="77777777" w:rsidR="003C5DC6" w:rsidRPr="00F96844" w:rsidRDefault="00E16213" w:rsidP="005114FD">
      <w:pPr>
        <w:rPr>
          <w:rFonts w:cs="Arial"/>
          <w:b/>
          <w:i/>
          <w:sz w:val="24"/>
          <w:szCs w:val="24"/>
          <w:lang w:val="sr-Latn-ME"/>
        </w:rPr>
      </w:pPr>
      <w:r w:rsidRPr="00F96844">
        <w:rPr>
          <w:rFonts w:cs="Arial"/>
          <w:b/>
          <w:i/>
          <w:sz w:val="24"/>
          <w:szCs w:val="24"/>
          <w:lang w:val="sr-Latn-ME"/>
        </w:rPr>
        <w:t>Grafikon br. 3: Stopa rizika od siromaštva ili socijalne isključenosti (AROPE)</w:t>
      </w:r>
    </w:p>
    <w:p w14:paraId="70438CF1" w14:textId="77777777" w:rsidR="003C5DC6" w:rsidRPr="00F96844" w:rsidRDefault="003C5DC6" w:rsidP="005114FD">
      <w:pPr>
        <w:rPr>
          <w:rFonts w:cs="Arial"/>
          <w:b/>
          <w:i/>
          <w:sz w:val="24"/>
          <w:szCs w:val="24"/>
          <w:lang w:val="sr-Latn-ME"/>
        </w:rPr>
      </w:pPr>
    </w:p>
    <w:p w14:paraId="6A82E359" w14:textId="77777777" w:rsidR="00E16213" w:rsidRPr="00F96844" w:rsidRDefault="00E16213" w:rsidP="005114FD">
      <w:pPr>
        <w:rPr>
          <w:rFonts w:cs="Arial"/>
          <w:sz w:val="24"/>
          <w:szCs w:val="24"/>
          <w:lang w:val="sr-Latn-ME"/>
        </w:rPr>
      </w:pPr>
      <w:r w:rsidRPr="00F96844">
        <w:rPr>
          <w:rFonts w:cs="Arial"/>
          <w:noProof/>
          <w:sz w:val="24"/>
          <w:szCs w:val="24"/>
          <w:lang w:val="sr-Latn-ME" w:eastAsia="sr-Latn-ME"/>
        </w:rPr>
        <w:lastRenderedPageBreak/>
        <w:drawing>
          <wp:inline distT="0" distB="0" distL="0" distR="0" wp14:anchorId="2A9EB76C" wp14:editId="25EF7AC9">
            <wp:extent cx="6038850" cy="24193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58B974" w14:textId="77777777" w:rsidR="002B4243" w:rsidRPr="00F96844" w:rsidRDefault="002B4243" w:rsidP="005114FD">
      <w:pPr>
        <w:jc w:val="both"/>
        <w:rPr>
          <w:rFonts w:cs="Arial"/>
          <w:sz w:val="24"/>
          <w:szCs w:val="24"/>
          <w:lang w:val="sr-Latn-ME"/>
        </w:rPr>
      </w:pPr>
    </w:p>
    <w:p w14:paraId="78CF7519" w14:textId="77777777" w:rsidR="003C5DC6" w:rsidRPr="008046B8" w:rsidRDefault="005074FE" w:rsidP="008046B8">
      <w:pPr>
        <w:spacing w:before="100" w:beforeAutospacing="1" w:after="100" w:afterAutospacing="1"/>
        <w:rPr>
          <w:rFonts w:eastAsia="Times New Roman" w:cs="Arial"/>
          <w:color w:val="000000"/>
          <w:sz w:val="24"/>
          <w:szCs w:val="24"/>
          <w:lang w:val="sr-Latn-ME" w:eastAsia="sr-Latn-ME"/>
        </w:rPr>
      </w:pPr>
      <w:r w:rsidRPr="005074FE">
        <w:rPr>
          <w:rFonts w:eastAsia="Times New Roman" w:cs="Arial"/>
          <w:color w:val="000000"/>
          <w:sz w:val="24"/>
          <w:szCs w:val="24"/>
          <w:lang w:val="sr-Latn-ME" w:eastAsia="sr-Latn-ME"/>
        </w:rPr>
        <w:t xml:space="preserve">Pokazatelj AROPE (Rizik od siromaštva i/ili isključenja)  je </w:t>
      </w:r>
      <w:r>
        <w:rPr>
          <w:rFonts w:eastAsia="Times New Roman" w:cs="Arial"/>
          <w:color w:val="000000"/>
          <w:sz w:val="24"/>
          <w:szCs w:val="24"/>
          <w:lang w:val="sr-Latn-ME" w:eastAsia="sr-Latn-ME"/>
        </w:rPr>
        <w:t xml:space="preserve">pokazatelj </w:t>
      </w:r>
      <w:r w:rsidRPr="005074FE">
        <w:rPr>
          <w:rFonts w:eastAsia="Times New Roman" w:cs="Arial"/>
          <w:color w:val="000000"/>
          <w:sz w:val="24"/>
          <w:szCs w:val="24"/>
          <w:lang w:val="sr-Latn-ME" w:eastAsia="sr-Latn-ME"/>
        </w:rPr>
        <w:t>za borbu protiv siromaštva i socijalne isključenosti.</w:t>
      </w:r>
    </w:p>
    <w:p w14:paraId="49CC37BE" w14:textId="77777777" w:rsidR="003C5DC6" w:rsidRPr="00F96844" w:rsidRDefault="003C5DC6" w:rsidP="005114FD">
      <w:pPr>
        <w:jc w:val="both"/>
        <w:rPr>
          <w:rFonts w:cs="Arial"/>
          <w:b/>
          <w:i/>
          <w:sz w:val="24"/>
          <w:szCs w:val="24"/>
          <w:lang w:val="sr-Latn-ME"/>
        </w:rPr>
      </w:pPr>
    </w:p>
    <w:p w14:paraId="3A835103" w14:textId="77777777" w:rsidR="00E16213" w:rsidRPr="00F96844" w:rsidRDefault="00E16213" w:rsidP="005114FD">
      <w:pPr>
        <w:jc w:val="both"/>
        <w:rPr>
          <w:rFonts w:cs="Arial"/>
          <w:b/>
          <w:i/>
          <w:sz w:val="24"/>
          <w:szCs w:val="24"/>
          <w:lang w:val="sr-Latn-ME"/>
        </w:rPr>
      </w:pPr>
      <w:r w:rsidRPr="00F96844">
        <w:rPr>
          <w:rFonts w:cs="Arial"/>
          <w:b/>
          <w:i/>
          <w:sz w:val="24"/>
          <w:szCs w:val="24"/>
          <w:lang w:val="sr-Latn-ME"/>
        </w:rPr>
        <w:t>Grafikon</w:t>
      </w:r>
      <w:r w:rsidR="003E69C5">
        <w:rPr>
          <w:rFonts w:cs="Arial"/>
          <w:b/>
          <w:i/>
          <w:sz w:val="24"/>
          <w:szCs w:val="24"/>
          <w:lang w:val="sr-Latn-ME"/>
        </w:rPr>
        <w:t>i</w:t>
      </w:r>
      <w:r w:rsidRPr="00F96844">
        <w:rPr>
          <w:rFonts w:cs="Arial"/>
          <w:b/>
          <w:i/>
          <w:sz w:val="24"/>
          <w:szCs w:val="24"/>
          <w:lang w:val="sr-Latn-ME"/>
        </w:rPr>
        <w:t xml:space="preserve"> br. 4 i 5: Izvršenje budžeta Crne Gore za 2023. </w:t>
      </w:r>
      <w:r w:rsidR="00422F16">
        <w:rPr>
          <w:rFonts w:cs="Arial"/>
          <w:b/>
          <w:i/>
          <w:sz w:val="24"/>
          <w:szCs w:val="24"/>
          <w:lang w:val="sr-Latn-ME"/>
        </w:rPr>
        <w:t>g</w:t>
      </w:r>
      <w:r w:rsidRPr="00F96844">
        <w:rPr>
          <w:rFonts w:cs="Arial"/>
          <w:b/>
          <w:i/>
          <w:sz w:val="24"/>
          <w:szCs w:val="24"/>
          <w:lang w:val="sr-Latn-ME"/>
        </w:rPr>
        <w:t>odinu</w:t>
      </w:r>
    </w:p>
    <w:p w14:paraId="5AC7A386" w14:textId="77777777" w:rsidR="003C5DC6" w:rsidRPr="00F96844" w:rsidRDefault="003C5DC6" w:rsidP="005114FD">
      <w:pPr>
        <w:jc w:val="both"/>
        <w:rPr>
          <w:rFonts w:cs="Arial"/>
          <w:b/>
          <w:i/>
          <w:sz w:val="24"/>
          <w:szCs w:val="24"/>
          <w:lang w:val="sr-Latn-ME"/>
        </w:rPr>
      </w:pPr>
    </w:p>
    <w:p w14:paraId="37D937CD" w14:textId="77777777" w:rsidR="002B4243" w:rsidRDefault="002B4243" w:rsidP="005114FD">
      <w:pPr>
        <w:jc w:val="both"/>
        <w:rPr>
          <w:rFonts w:cs="Arial"/>
          <w:sz w:val="24"/>
          <w:szCs w:val="24"/>
          <w:lang w:val="sr-Latn-ME"/>
        </w:rPr>
      </w:pPr>
    </w:p>
    <w:p w14:paraId="233E916F" w14:textId="77777777" w:rsidR="00AD1B9C" w:rsidRPr="00AD1B9C" w:rsidRDefault="00AD1B9C" w:rsidP="00AD1B9C">
      <w:pPr>
        <w:jc w:val="both"/>
        <w:rPr>
          <w:rFonts w:cs="Arial"/>
          <w:sz w:val="24"/>
          <w:szCs w:val="24"/>
        </w:rPr>
      </w:pPr>
      <w:r w:rsidRPr="00AD1B9C">
        <w:rPr>
          <w:rFonts w:cs="Arial"/>
          <w:noProof/>
          <w:sz w:val="24"/>
          <w:szCs w:val="24"/>
          <w:lang w:val="sr-Latn-ME" w:eastAsia="sr-Latn-ME"/>
        </w:rPr>
        <w:drawing>
          <wp:inline distT="0" distB="0" distL="0" distR="0" wp14:anchorId="6F462E9C" wp14:editId="7276FC59">
            <wp:extent cx="5943600" cy="3060065"/>
            <wp:effectExtent l="0" t="0" r="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5E209F" w14:textId="77777777" w:rsidR="003E69C5" w:rsidRDefault="003E69C5" w:rsidP="003E69C5">
      <w:pPr>
        <w:rPr>
          <w:rFonts w:cs="Arial"/>
          <w:sz w:val="24"/>
          <w:szCs w:val="24"/>
        </w:rPr>
      </w:pPr>
    </w:p>
    <w:p w14:paraId="601650AC" w14:textId="77777777" w:rsidR="00AD1B9C" w:rsidRPr="00AD1B9C" w:rsidRDefault="00AD1B9C" w:rsidP="003E69C5">
      <w:pPr>
        <w:rPr>
          <w:rFonts w:cs="Arial"/>
          <w:sz w:val="24"/>
          <w:szCs w:val="24"/>
        </w:rPr>
      </w:pPr>
      <w:r w:rsidRPr="00AD1B9C">
        <w:rPr>
          <w:rFonts w:cs="Arial"/>
          <w:sz w:val="24"/>
          <w:szCs w:val="24"/>
        </w:rPr>
        <w:t>Izdaci budžeta iznose iznose 39% od ukupnog BDP-a</w:t>
      </w:r>
      <w:r w:rsidR="00DD4AEA">
        <w:rPr>
          <w:rFonts w:cs="Arial"/>
          <w:sz w:val="24"/>
          <w:szCs w:val="24"/>
        </w:rPr>
        <w:t>.</w:t>
      </w:r>
    </w:p>
    <w:p w14:paraId="5321B950" w14:textId="77777777" w:rsidR="00E16213" w:rsidRPr="00F96844" w:rsidRDefault="00E16213" w:rsidP="005114FD">
      <w:pPr>
        <w:jc w:val="both"/>
        <w:rPr>
          <w:rFonts w:cs="Arial"/>
          <w:sz w:val="24"/>
          <w:szCs w:val="24"/>
          <w:lang w:val="sr-Latn-ME"/>
        </w:rPr>
      </w:pPr>
    </w:p>
    <w:p w14:paraId="4FCF224E" w14:textId="77777777" w:rsidR="00E16213" w:rsidRDefault="00E16213" w:rsidP="005114FD">
      <w:pPr>
        <w:jc w:val="both"/>
        <w:rPr>
          <w:rFonts w:cs="Arial"/>
          <w:sz w:val="24"/>
          <w:szCs w:val="24"/>
          <w:lang w:val="sr-Latn-ME"/>
        </w:rPr>
      </w:pPr>
    </w:p>
    <w:p w14:paraId="5863E7EC" w14:textId="77777777" w:rsidR="000F1F58" w:rsidRPr="00F96844" w:rsidRDefault="000F1F58" w:rsidP="00780738">
      <w:pPr>
        <w:jc w:val="both"/>
        <w:rPr>
          <w:rFonts w:cs="Arial"/>
          <w:sz w:val="24"/>
          <w:szCs w:val="24"/>
          <w:lang w:val="sr-Latn-ME"/>
        </w:rPr>
      </w:pPr>
    </w:p>
    <w:p w14:paraId="0BC51D8F" w14:textId="77777777" w:rsidR="00AD1B9C" w:rsidRDefault="00AD1B9C" w:rsidP="00780738">
      <w:pPr>
        <w:jc w:val="both"/>
        <w:rPr>
          <w:rFonts w:cs="Arial"/>
          <w:sz w:val="24"/>
          <w:szCs w:val="24"/>
          <w:lang w:val="sr-Latn-ME"/>
        </w:rPr>
      </w:pPr>
    </w:p>
    <w:p w14:paraId="240B9BBE" w14:textId="77777777" w:rsidR="00AD1B9C" w:rsidRPr="00AD1B9C" w:rsidRDefault="00AD1B9C" w:rsidP="00AD1B9C">
      <w:pPr>
        <w:jc w:val="both"/>
        <w:rPr>
          <w:rFonts w:cs="Arial"/>
          <w:sz w:val="24"/>
          <w:szCs w:val="24"/>
          <w:lang w:val="sr-Latn-ME"/>
        </w:rPr>
      </w:pPr>
      <w:r w:rsidRPr="00AD1B9C">
        <w:rPr>
          <w:rFonts w:cs="Arial"/>
          <w:noProof/>
          <w:sz w:val="24"/>
          <w:szCs w:val="24"/>
          <w:lang w:val="sr-Latn-ME" w:eastAsia="sr-Latn-ME"/>
        </w:rPr>
        <w:lastRenderedPageBreak/>
        <w:drawing>
          <wp:inline distT="0" distB="0" distL="0" distR="0" wp14:anchorId="59BBCEE7" wp14:editId="14FD5567">
            <wp:extent cx="5943600" cy="2833370"/>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62829D" w14:textId="77777777" w:rsidR="00AD1B9C" w:rsidRPr="00AD1B9C" w:rsidRDefault="00AD1B9C" w:rsidP="00AD1B9C">
      <w:pPr>
        <w:jc w:val="both"/>
        <w:rPr>
          <w:rFonts w:cs="Arial"/>
          <w:sz w:val="24"/>
          <w:szCs w:val="24"/>
          <w:lang w:val="sr-Latn-ME"/>
        </w:rPr>
      </w:pPr>
    </w:p>
    <w:p w14:paraId="1A39C2E3" w14:textId="77777777" w:rsidR="00AD1B9C" w:rsidRPr="00AD1B9C" w:rsidRDefault="00AD1B9C" w:rsidP="00AD1B9C">
      <w:pPr>
        <w:jc w:val="both"/>
        <w:rPr>
          <w:rFonts w:cs="Arial"/>
          <w:sz w:val="24"/>
          <w:szCs w:val="24"/>
          <w:lang w:val="sr-Latn-ME"/>
        </w:rPr>
      </w:pPr>
      <w:r w:rsidRPr="00AD1B9C">
        <w:rPr>
          <w:rFonts w:cs="Arial"/>
          <w:sz w:val="24"/>
          <w:szCs w:val="24"/>
          <w:lang w:val="sr-Latn-ME"/>
        </w:rPr>
        <w:t>Tra</w:t>
      </w:r>
      <w:r w:rsidR="00E947BC">
        <w:rPr>
          <w:rFonts w:cs="Arial"/>
          <w:sz w:val="24"/>
          <w:szCs w:val="24"/>
          <w:lang w:val="sr-Latn-ME"/>
        </w:rPr>
        <w:t>n</w:t>
      </w:r>
      <w:r w:rsidRPr="00AD1B9C">
        <w:rPr>
          <w:rFonts w:cs="Arial"/>
          <w:sz w:val="24"/>
          <w:szCs w:val="24"/>
          <w:lang w:val="sr-Latn-ME"/>
        </w:rPr>
        <w:t xml:space="preserve">sferi za socijalnu zaštitu, institucijama, pojedincima, nevladinim organizacijama i javnom sektoru čine 18% od izdataka budžeta. </w:t>
      </w:r>
    </w:p>
    <w:p w14:paraId="34F65010" w14:textId="77777777" w:rsidR="00AD1B9C" w:rsidRDefault="00AD1B9C" w:rsidP="00780738">
      <w:pPr>
        <w:jc w:val="both"/>
        <w:rPr>
          <w:rFonts w:cs="Arial"/>
          <w:sz w:val="24"/>
          <w:szCs w:val="24"/>
          <w:lang w:val="sr-Latn-ME"/>
        </w:rPr>
      </w:pPr>
    </w:p>
    <w:p w14:paraId="686A483B" w14:textId="77777777" w:rsidR="002B4243" w:rsidRPr="00F96844" w:rsidRDefault="002B4243" w:rsidP="00780738">
      <w:pPr>
        <w:jc w:val="both"/>
        <w:rPr>
          <w:rFonts w:cs="Arial"/>
          <w:sz w:val="24"/>
          <w:szCs w:val="24"/>
          <w:lang w:val="sr-Latn-ME"/>
        </w:rPr>
      </w:pPr>
      <w:r w:rsidRPr="00F96844">
        <w:rPr>
          <w:rFonts w:cs="Arial"/>
          <w:sz w:val="24"/>
          <w:szCs w:val="24"/>
          <w:lang w:val="sr-Latn-ME"/>
        </w:rPr>
        <w:t>U Crnoj Gori grupe koje žive u izraženom riziku od siromaštva i socijalne isključenosti, a za koje postoje relevantni podaci i analize su:</w:t>
      </w:r>
    </w:p>
    <w:p w14:paraId="5061F824" w14:textId="77777777" w:rsidR="00A619F2" w:rsidRPr="00F96844" w:rsidRDefault="00A619F2" w:rsidP="00780738">
      <w:pPr>
        <w:jc w:val="both"/>
        <w:rPr>
          <w:rFonts w:cs="Arial"/>
          <w:sz w:val="24"/>
          <w:szCs w:val="24"/>
          <w:lang w:val="sr-Latn-ME"/>
        </w:rPr>
      </w:pPr>
    </w:p>
    <w:p w14:paraId="59796ED1" w14:textId="77777777" w:rsidR="002B4243" w:rsidRPr="006C66CD" w:rsidRDefault="002B4243" w:rsidP="00780738">
      <w:pPr>
        <w:jc w:val="both"/>
        <w:rPr>
          <w:rFonts w:cs="Arial"/>
          <w:color w:val="FF0000"/>
          <w:sz w:val="24"/>
          <w:szCs w:val="24"/>
          <w:lang w:val="sr-Latn-ME"/>
        </w:rPr>
      </w:pPr>
      <w:r w:rsidRPr="00F96844">
        <w:rPr>
          <w:rFonts w:cs="Arial"/>
          <w:b/>
          <w:bCs/>
          <w:sz w:val="24"/>
          <w:szCs w:val="24"/>
          <w:lang w:val="sr-Latn-ME"/>
        </w:rPr>
        <w:t>Djeca</w:t>
      </w:r>
      <w:r w:rsidR="00341F98" w:rsidRPr="00F96844">
        <w:rPr>
          <w:rFonts w:cs="Arial"/>
          <w:b/>
          <w:bCs/>
          <w:sz w:val="24"/>
          <w:szCs w:val="24"/>
          <w:lang w:val="sr-Latn-ME"/>
        </w:rPr>
        <w:t>:</w:t>
      </w:r>
      <w:r w:rsidRPr="00F96844">
        <w:rPr>
          <w:rFonts w:cs="Arial"/>
          <w:sz w:val="24"/>
          <w:szCs w:val="24"/>
          <w:lang w:val="sr-Latn-ME"/>
        </w:rPr>
        <w:t xml:space="preserve"> </w:t>
      </w:r>
      <w:bookmarkStart w:id="73" w:name="_Hlk157069246"/>
      <w:r w:rsidRPr="00F96844">
        <w:rPr>
          <w:rFonts w:cs="Arial"/>
          <w:sz w:val="24"/>
          <w:szCs w:val="24"/>
          <w:lang w:val="sr-Latn-ME"/>
        </w:rPr>
        <w:t>Prema indikatoru stopa rizika od siromaštva ili socijalne isključenosti (SRSSI)</w:t>
      </w:r>
      <w:r w:rsidR="00B142AA">
        <w:rPr>
          <w:rFonts w:cs="Arial"/>
          <w:sz w:val="24"/>
          <w:szCs w:val="24"/>
          <w:lang w:val="sr-Latn-ME"/>
        </w:rPr>
        <w:t>,</w:t>
      </w:r>
      <w:r w:rsidRPr="00F96844">
        <w:rPr>
          <w:rFonts w:cs="Arial"/>
          <w:sz w:val="24"/>
          <w:szCs w:val="24"/>
          <w:lang w:val="sr-Latn-ME"/>
        </w:rPr>
        <w:t xml:space="preserve"> djeca su u Crnoj Gori ugroženija od ukupne populacije. To potvrđuju i drugi pokazatelji životnog standarda</w:t>
      </w:r>
      <w:r w:rsidR="00B142AA">
        <w:rPr>
          <w:rFonts w:cs="Arial"/>
          <w:sz w:val="24"/>
          <w:szCs w:val="24"/>
          <w:lang w:val="sr-Latn-ME"/>
        </w:rPr>
        <w:t>,</w:t>
      </w:r>
      <w:r w:rsidRPr="00F96844">
        <w:rPr>
          <w:rFonts w:cs="Arial"/>
          <w:sz w:val="24"/>
          <w:szCs w:val="24"/>
          <w:lang w:val="sr-Latn-ME"/>
        </w:rPr>
        <w:t xml:space="preserve"> kao što su stopa rizika od siromaštva (SRS) i stopa izrazite materijalne deprivacije (SIMD). Prema dva od navedena tri pokazatelja</w:t>
      </w:r>
      <w:r w:rsidR="00B142AA">
        <w:rPr>
          <w:rFonts w:cs="Arial"/>
          <w:sz w:val="24"/>
          <w:szCs w:val="24"/>
          <w:lang w:val="sr-Latn-ME"/>
        </w:rPr>
        <w:t>,</w:t>
      </w:r>
      <w:r w:rsidRPr="00F96844">
        <w:rPr>
          <w:rFonts w:cs="Arial"/>
          <w:sz w:val="24"/>
          <w:szCs w:val="24"/>
          <w:lang w:val="sr-Latn-ME"/>
        </w:rPr>
        <w:t xml:space="preserve"> djeca najmlađeg uzrasta (0</w:t>
      </w:r>
      <w:r w:rsidR="00B142AA">
        <w:rPr>
          <w:rFonts w:cs="Arial"/>
          <w:sz w:val="24"/>
          <w:szCs w:val="24"/>
          <w:lang w:val="sr-Latn-ME"/>
        </w:rPr>
        <w:t>‒</w:t>
      </w:r>
      <w:r w:rsidRPr="00F96844">
        <w:rPr>
          <w:rFonts w:cs="Arial"/>
          <w:sz w:val="24"/>
          <w:szCs w:val="24"/>
          <w:lang w:val="sr-Latn-ME"/>
        </w:rPr>
        <w:t>5) su ugroženija od opšte populacije djece, što nije slučaj u EU.</w:t>
      </w:r>
      <w:r w:rsidRPr="00F96844">
        <w:rPr>
          <w:rFonts w:cs="Arial"/>
          <w:sz w:val="24"/>
          <w:szCs w:val="24"/>
          <w:vertAlign w:val="superscript"/>
          <w:lang w:val="sr-Latn-ME"/>
        </w:rPr>
        <w:footnoteReference w:id="54"/>
      </w:r>
      <w:r w:rsidRPr="00F96844">
        <w:rPr>
          <w:rFonts w:cs="Arial"/>
          <w:sz w:val="24"/>
          <w:szCs w:val="24"/>
          <w:lang w:val="sr-Latn-ME"/>
        </w:rPr>
        <w:t xml:space="preserve"> Podaci pokazuju da jedna trećina djece u Crnoj Gori uzrasta od 0 do 18 godina živi u riziku od siromaštva (30,5% u 2021. godini)</w:t>
      </w:r>
      <w:r w:rsidR="00B142AA" w:rsidRPr="00F96844">
        <w:rPr>
          <w:rFonts w:cs="Arial"/>
          <w:sz w:val="24"/>
          <w:szCs w:val="24"/>
          <w:lang w:val="sr-Latn-ME"/>
        </w:rPr>
        <w:t>,</w:t>
      </w:r>
      <w:r w:rsidRPr="00F96844">
        <w:rPr>
          <w:rFonts w:cs="Arial"/>
          <w:sz w:val="24"/>
          <w:szCs w:val="24"/>
          <w:vertAlign w:val="superscript"/>
          <w:lang w:val="sr-Latn-ME"/>
        </w:rPr>
        <w:footnoteReference w:id="55"/>
      </w:r>
      <w:r w:rsidRPr="00F96844">
        <w:rPr>
          <w:rFonts w:cs="Arial"/>
          <w:sz w:val="24"/>
          <w:szCs w:val="24"/>
          <w:lang w:val="sr-Latn-ME"/>
        </w:rPr>
        <w:t xml:space="preserve"> dok je rizik od siromaštva u populaciji 18–24 iznosio 24,7%</w:t>
      </w:r>
      <w:r w:rsidRPr="00F96844">
        <w:rPr>
          <w:rFonts w:cs="Arial"/>
          <w:color w:val="FF0000"/>
          <w:sz w:val="24"/>
          <w:szCs w:val="24"/>
          <w:lang w:val="sr-Latn-ME"/>
        </w:rPr>
        <w:t xml:space="preserve">. </w:t>
      </w:r>
      <w:r w:rsidR="006C66CD" w:rsidRPr="00F23AC4">
        <w:rPr>
          <w:rFonts w:cs="Arial"/>
          <w:sz w:val="24"/>
          <w:szCs w:val="24"/>
          <w:lang w:val="sr-Latn-ME"/>
        </w:rPr>
        <w:t>Prema tipu domaćinstva, u 2022. godini, najvišu stopu rizika od siromaštva imala su lica u domaćinstvima</w:t>
      </w:r>
      <w:r w:rsidR="00F23AC4" w:rsidRPr="00F23AC4">
        <w:rPr>
          <w:rFonts w:cs="Arial"/>
          <w:sz w:val="24"/>
          <w:szCs w:val="24"/>
          <w:lang w:val="sr-Latn-ME"/>
        </w:rPr>
        <w:t xml:space="preserve"> </w:t>
      </w:r>
      <w:r w:rsidR="006C66CD" w:rsidRPr="00F23AC4">
        <w:rPr>
          <w:rFonts w:cs="Arial"/>
          <w:sz w:val="24"/>
          <w:szCs w:val="24"/>
          <w:lang w:val="sr-Latn-ME"/>
        </w:rPr>
        <w:t>koja čine jedna odrasla osoba</w:t>
      </w:r>
      <w:r w:rsidR="00867803">
        <w:rPr>
          <w:rFonts w:cs="Arial"/>
          <w:sz w:val="24"/>
          <w:szCs w:val="24"/>
          <w:lang w:val="sr-Latn-ME"/>
        </w:rPr>
        <w:t xml:space="preserve"> s n</w:t>
      </w:r>
      <w:r w:rsidR="006C66CD" w:rsidRPr="00F23AC4">
        <w:rPr>
          <w:rFonts w:cs="Arial"/>
          <w:sz w:val="24"/>
          <w:szCs w:val="24"/>
          <w:lang w:val="sr-Latn-ME"/>
        </w:rPr>
        <w:t>ajmanje jednim izdržavanim</w:t>
      </w:r>
      <w:r w:rsidR="005E3856">
        <w:rPr>
          <w:rFonts w:cs="Arial"/>
          <w:sz w:val="24"/>
          <w:szCs w:val="24"/>
          <w:lang w:val="sr-Latn-ME"/>
        </w:rPr>
        <w:t xml:space="preserve"> djetetom (47,9%), zatim lica u </w:t>
      </w:r>
      <w:r w:rsidR="006C66CD" w:rsidRPr="00F23AC4">
        <w:rPr>
          <w:rFonts w:cs="Arial"/>
          <w:sz w:val="24"/>
          <w:szCs w:val="24"/>
          <w:lang w:val="sr-Latn-ME"/>
        </w:rPr>
        <w:t>domaćinstvima koja čine dvije odrasle osobe s troje ili više izdržavane djece (37,6%)</w:t>
      </w:r>
      <w:r w:rsidR="00B142AA">
        <w:rPr>
          <w:rFonts w:cs="Arial"/>
          <w:sz w:val="24"/>
          <w:szCs w:val="24"/>
          <w:lang w:val="sr-Latn-ME"/>
        </w:rPr>
        <w:t>.</w:t>
      </w:r>
      <w:r w:rsidR="00F23AC4">
        <w:rPr>
          <w:rStyle w:val="FootnoteReference"/>
          <w:rFonts w:cs="Arial"/>
          <w:sz w:val="24"/>
          <w:szCs w:val="24"/>
          <w:lang w:val="sr-Latn-ME"/>
        </w:rPr>
        <w:footnoteReference w:id="56"/>
      </w:r>
      <w:r w:rsidR="006C66CD" w:rsidRPr="00F23AC4">
        <w:rPr>
          <w:rFonts w:cs="Arial"/>
          <w:sz w:val="24"/>
          <w:szCs w:val="24"/>
          <w:lang w:val="sr-Latn-ME"/>
        </w:rPr>
        <w:t xml:space="preserve"> </w:t>
      </w:r>
      <w:r w:rsidRPr="00F96844">
        <w:rPr>
          <w:rFonts w:cs="Arial"/>
          <w:sz w:val="24"/>
          <w:szCs w:val="24"/>
          <w:lang w:val="sr-Latn-ME"/>
        </w:rPr>
        <w:t>Te stope su značajno veće od nacionalnog prosjeka koji iznosi 21.2%, što pokazuje da su djeca i mladi u povećanom riziku da žive u siromašnim domaćinstvima.</w:t>
      </w:r>
      <w:r w:rsidRPr="00F96844">
        <w:rPr>
          <w:rFonts w:cs="Arial"/>
          <w:sz w:val="24"/>
          <w:szCs w:val="24"/>
          <w:vertAlign w:val="superscript"/>
          <w:lang w:val="sr-Latn-ME"/>
        </w:rPr>
        <w:footnoteReference w:id="57"/>
      </w:r>
      <w:r w:rsidRPr="00F96844">
        <w:rPr>
          <w:rFonts w:cs="Arial"/>
          <w:sz w:val="24"/>
          <w:szCs w:val="24"/>
          <w:lang w:val="sr-Latn-ME"/>
        </w:rPr>
        <w:t xml:space="preserve"> U posebno teškoj situaciji se nalaze djeca bez adekvatnog roditeljskog staranja, djeca</w:t>
      </w:r>
      <w:r w:rsidR="004C5D23">
        <w:rPr>
          <w:rFonts w:cs="Arial"/>
          <w:sz w:val="24"/>
          <w:szCs w:val="24"/>
          <w:lang w:val="sr-Latn-ME"/>
        </w:rPr>
        <w:t xml:space="preserve"> s p</w:t>
      </w:r>
      <w:r w:rsidRPr="00F96844">
        <w:rPr>
          <w:rFonts w:cs="Arial"/>
          <w:sz w:val="24"/>
          <w:szCs w:val="24"/>
          <w:lang w:val="sr-Latn-ME"/>
        </w:rPr>
        <w:t>roblemima u ponašanju i koja zloupotrebljavaju alkohol, drogu</w:t>
      </w:r>
      <w:r w:rsidR="00352703">
        <w:rPr>
          <w:rFonts w:cs="Arial"/>
          <w:sz w:val="24"/>
          <w:szCs w:val="24"/>
          <w:lang w:val="sr-Latn-ME"/>
        </w:rPr>
        <w:t xml:space="preserve"> i druge psihoaktivne supstance,</w:t>
      </w:r>
      <w:r w:rsidRPr="00F96844">
        <w:rPr>
          <w:rFonts w:cs="Arial"/>
          <w:sz w:val="24"/>
          <w:szCs w:val="24"/>
          <w:lang w:val="sr-Latn-ME"/>
        </w:rPr>
        <w:t xml:space="preserve"> djeca ko</w:t>
      </w:r>
      <w:r w:rsidR="00352703">
        <w:rPr>
          <w:rFonts w:cs="Arial"/>
          <w:sz w:val="24"/>
          <w:szCs w:val="24"/>
          <w:lang w:val="sr-Latn-ME"/>
        </w:rPr>
        <w:t>joj</w:t>
      </w:r>
      <w:r w:rsidRPr="00F96844">
        <w:rPr>
          <w:rFonts w:cs="Arial"/>
          <w:sz w:val="24"/>
          <w:szCs w:val="24"/>
          <w:lang w:val="sr-Latn-ME"/>
        </w:rPr>
        <w:t xml:space="preserve"> roditelji nisu saglasni oko načina vršenja roditeljskog prava, kao i djeca bez pratnje</w:t>
      </w:r>
      <w:bookmarkEnd w:id="73"/>
      <w:r w:rsidR="00310086">
        <w:rPr>
          <w:rFonts w:cs="Arial"/>
          <w:color w:val="FF0000"/>
          <w:sz w:val="24"/>
          <w:szCs w:val="24"/>
          <w:lang w:val="sr-Latn-ME"/>
        </w:rPr>
        <w:t>.</w:t>
      </w:r>
    </w:p>
    <w:p w14:paraId="229D3DCA" w14:textId="77777777" w:rsidR="00A619F2" w:rsidRPr="00F96844" w:rsidRDefault="00A619F2" w:rsidP="00780738">
      <w:pPr>
        <w:jc w:val="both"/>
        <w:rPr>
          <w:rFonts w:cs="Arial"/>
          <w:sz w:val="24"/>
          <w:szCs w:val="24"/>
          <w:lang w:val="sr-Latn-ME"/>
        </w:rPr>
      </w:pPr>
    </w:p>
    <w:p w14:paraId="05583D83" w14:textId="77777777" w:rsidR="002B4243" w:rsidRDefault="002B4243" w:rsidP="00780738">
      <w:pPr>
        <w:jc w:val="both"/>
        <w:rPr>
          <w:rFonts w:cs="Arial"/>
          <w:iCs/>
          <w:sz w:val="24"/>
          <w:szCs w:val="24"/>
          <w:lang w:val="sr-Latn-ME"/>
        </w:rPr>
      </w:pPr>
      <w:r w:rsidRPr="00F96844">
        <w:rPr>
          <w:rFonts w:cs="Arial"/>
          <w:b/>
          <w:iCs/>
          <w:sz w:val="24"/>
          <w:szCs w:val="24"/>
          <w:lang w:val="sr-Latn-ME"/>
        </w:rPr>
        <w:t>Djeca žrtve nasilja</w:t>
      </w:r>
      <w:r w:rsidR="001B5095">
        <w:rPr>
          <w:rFonts w:cs="Arial"/>
          <w:b/>
          <w:iCs/>
          <w:sz w:val="24"/>
          <w:szCs w:val="24"/>
          <w:lang w:val="sr-Latn-ME"/>
        </w:rPr>
        <w:t xml:space="preserve"> i eksploatacije</w:t>
      </w:r>
      <w:r w:rsidR="00341F98" w:rsidRPr="00F96844">
        <w:rPr>
          <w:rFonts w:cs="Arial"/>
          <w:b/>
          <w:iCs/>
          <w:sz w:val="24"/>
          <w:szCs w:val="24"/>
          <w:lang w:val="sr-Latn-ME"/>
        </w:rPr>
        <w:t>:</w:t>
      </w:r>
      <w:r w:rsidR="00A619F2" w:rsidRPr="00F96844">
        <w:rPr>
          <w:rFonts w:cs="Arial"/>
          <w:b/>
          <w:iCs/>
          <w:sz w:val="24"/>
          <w:szCs w:val="24"/>
          <w:lang w:val="sr-Latn-ME"/>
        </w:rPr>
        <w:t xml:space="preserve"> </w:t>
      </w:r>
      <w:r w:rsidRPr="00F96844">
        <w:rPr>
          <w:rFonts w:cs="Arial"/>
          <w:iCs/>
          <w:sz w:val="24"/>
          <w:szCs w:val="24"/>
          <w:lang w:val="sr-Latn-ME"/>
        </w:rPr>
        <w:t xml:space="preserve">Problemi vezani za nasilje nad djecom su </w:t>
      </w:r>
      <w:r w:rsidR="009F661D">
        <w:rPr>
          <w:rFonts w:cs="Arial"/>
          <w:iCs/>
          <w:sz w:val="24"/>
          <w:szCs w:val="24"/>
          <w:lang w:val="sr-Latn-ME"/>
        </w:rPr>
        <w:t>sljed</w:t>
      </w:r>
      <w:r w:rsidRPr="00F96844">
        <w:rPr>
          <w:rFonts w:cs="Arial"/>
          <w:iCs/>
          <w:sz w:val="24"/>
          <w:szCs w:val="24"/>
          <w:lang w:val="sr-Latn-ME"/>
        </w:rPr>
        <w:t xml:space="preserve">eći: nizak nivo svijesti javnosti o prisutnosti nasilja nad djecom, nedostatak koordinacije </w:t>
      </w:r>
      <w:r w:rsidRPr="00F96844">
        <w:rPr>
          <w:rFonts w:cs="Arial"/>
          <w:iCs/>
          <w:sz w:val="24"/>
          <w:szCs w:val="24"/>
          <w:lang w:val="sr-Latn-ME"/>
        </w:rPr>
        <w:lastRenderedPageBreak/>
        <w:t>između relevantnih institucija u prevenciji, identifikaciji žrtava i pružanju podrške, nedovoljna obučenost različitih profesionalaca za rad s djecom žrtvama nasilja, visok rizik za djecu koja žive u nepovoljnim uslovima (djeca romske i egipćanske nacionalnosti, djeca stranci koji traže međunarodnu zaštitu i djeca</w:t>
      </w:r>
      <w:r w:rsidR="004C5D23">
        <w:rPr>
          <w:rFonts w:cs="Arial"/>
          <w:iCs/>
          <w:sz w:val="24"/>
          <w:szCs w:val="24"/>
          <w:lang w:val="sr-Latn-ME"/>
        </w:rPr>
        <w:t xml:space="preserve"> s o</w:t>
      </w:r>
      <w:r w:rsidRPr="00F96844">
        <w:rPr>
          <w:rFonts w:cs="Arial"/>
          <w:iCs/>
          <w:sz w:val="24"/>
          <w:szCs w:val="24"/>
          <w:lang w:val="sr-Latn-ME"/>
        </w:rPr>
        <w:t>dobrenom međunarodnom zaštitom, djeca koja žive na ulici) da postanu žrtve seksualnog zlostavljanja i eksploatacije.</w:t>
      </w:r>
      <w:r w:rsidR="001347D0">
        <w:rPr>
          <w:rFonts w:cs="Arial"/>
          <w:iCs/>
          <w:sz w:val="24"/>
          <w:szCs w:val="24"/>
          <w:lang w:val="sr-Latn-ME"/>
        </w:rPr>
        <w:t xml:space="preserve"> </w:t>
      </w:r>
      <w:r w:rsidRPr="00F96844">
        <w:rPr>
          <w:rFonts w:cs="Arial"/>
          <w:iCs/>
          <w:sz w:val="24"/>
          <w:szCs w:val="24"/>
          <w:lang w:val="sr-Latn-ME"/>
        </w:rPr>
        <w:t>U vezi</w:t>
      </w:r>
      <w:r w:rsidR="004C5D23">
        <w:rPr>
          <w:rFonts w:cs="Arial"/>
          <w:iCs/>
          <w:sz w:val="24"/>
          <w:szCs w:val="24"/>
          <w:lang w:val="sr-Latn-ME"/>
        </w:rPr>
        <w:t xml:space="preserve"> s p</w:t>
      </w:r>
      <w:r w:rsidRPr="00F96844">
        <w:rPr>
          <w:rFonts w:cs="Arial"/>
          <w:iCs/>
          <w:sz w:val="24"/>
          <w:szCs w:val="24"/>
          <w:lang w:val="sr-Latn-ME"/>
        </w:rPr>
        <w:t xml:space="preserve">roblematikom djece žrtava zlostavljanja, prepoznaje se nedostatak dodatnih servisa podrške i zaštite žrtava. </w:t>
      </w:r>
    </w:p>
    <w:p w14:paraId="253C76E0" w14:textId="77777777" w:rsidR="002B4243" w:rsidRPr="00F96844" w:rsidRDefault="0007683F" w:rsidP="00780738">
      <w:pPr>
        <w:jc w:val="both"/>
        <w:rPr>
          <w:rFonts w:cs="Arial"/>
          <w:iCs/>
          <w:sz w:val="24"/>
          <w:szCs w:val="24"/>
          <w:lang w:val="sr-Latn-ME"/>
        </w:rPr>
      </w:pPr>
      <w:r>
        <w:rPr>
          <w:rFonts w:cs="Arial"/>
          <w:iCs/>
          <w:sz w:val="24"/>
          <w:szCs w:val="24"/>
          <w:lang w:val="sr-Latn-ME"/>
        </w:rPr>
        <w:t>Evidentno je postojanje ugovorenih d</w:t>
      </w:r>
      <w:r w:rsidR="00EB2F1D">
        <w:rPr>
          <w:rFonts w:cs="Arial"/>
          <w:iCs/>
          <w:sz w:val="24"/>
          <w:szCs w:val="24"/>
          <w:lang w:val="sr-Latn-ME"/>
        </w:rPr>
        <w:t>ječj</w:t>
      </w:r>
      <w:r>
        <w:rPr>
          <w:rFonts w:cs="Arial"/>
          <w:iCs/>
          <w:sz w:val="24"/>
          <w:szCs w:val="24"/>
          <w:lang w:val="sr-Latn-ME"/>
        </w:rPr>
        <w:t xml:space="preserve">ih brakova, posebno među romskom populacijom, gdje je neophodno raditi na </w:t>
      </w:r>
      <w:r w:rsidR="00D757C8">
        <w:rPr>
          <w:rFonts w:cs="Arial"/>
          <w:iCs/>
          <w:sz w:val="24"/>
          <w:szCs w:val="24"/>
          <w:lang w:val="sr-Latn-ME"/>
        </w:rPr>
        <w:t>unapre</w:t>
      </w:r>
      <w:r>
        <w:rPr>
          <w:rFonts w:cs="Arial"/>
          <w:iCs/>
          <w:sz w:val="24"/>
          <w:szCs w:val="24"/>
          <w:lang w:val="sr-Latn-ME"/>
        </w:rPr>
        <w:t xml:space="preserve">đenju </w:t>
      </w:r>
      <w:r w:rsidR="002B4243" w:rsidRPr="00F96844">
        <w:rPr>
          <w:rFonts w:cs="Arial"/>
          <w:iCs/>
          <w:sz w:val="24"/>
          <w:szCs w:val="24"/>
          <w:lang w:val="sr-Latn-ME"/>
        </w:rPr>
        <w:t>zaštit</w:t>
      </w:r>
      <w:r>
        <w:rPr>
          <w:rFonts w:cs="Arial"/>
          <w:iCs/>
          <w:sz w:val="24"/>
          <w:szCs w:val="24"/>
          <w:lang w:val="sr-Latn-ME"/>
        </w:rPr>
        <w:t>e</w:t>
      </w:r>
      <w:r w:rsidR="002B4243" w:rsidRPr="00F96844">
        <w:rPr>
          <w:rFonts w:cs="Arial"/>
          <w:iCs/>
          <w:sz w:val="24"/>
          <w:szCs w:val="24"/>
          <w:lang w:val="sr-Latn-ME"/>
        </w:rPr>
        <w:t>, rehabilitacij</w:t>
      </w:r>
      <w:r>
        <w:rPr>
          <w:rFonts w:cs="Arial"/>
          <w:iCs/>
          <w:sz w:val="24"/>
          <w:szCs w:val="24"/>
          <w:lang w:val="sr-Latn-ME"/>
        </w:rPr>
        <w:t>e</w:t>
      </w:r>
      <w:r w:rsidR="002B4243" w:rsidRPr="00F96844">
        <w:rPr>
          <w:rFonts w:cs="Arial"/>
          <w:iCs/>
          <w:sz w:val="24"/>
          <w:szCs w:val="24"/>
          <w:lang w:val="sr-Latn-ME"/>
        </w:rPr>
        <w:t xml:space="preserve"> i reintegracij</w:t>
      </w:r>
      <w:r>
        <w:rPr>
          <w:rFonts w:cs="Arial"/>
          <w:iCs/>
          <w:sz w:val="24"/>
          <w:szCs w:val="24"/>
          <w:lang w:val="sr-Latn-ME"/>
        </w:rPr>
        <w:t>e</w:t>
      </w:r>
      <w:r w:rsidR="002B4243" w:rsidRPr="00F96844">
        <w:rPr>
          <w:rFonts w:cs="Arial"/>
          <w:iCs/>
          <w:sz w:val="24"/>
          <w:szCs w:val="24"/>
          <w:lang w:val="sr-Latn-ME"/>
        </w:rPr>
        <w:t xml:space="preserve"> žrtava ugovorenih brakova</w:t>
      </w:r>
      <w:r w:rsidR="00310086">
        <w:rPr>
          <w:rFonts w:cs="Arial"/>
          <w:iCs/>
          <w:sz w:val="24"/>
          <w:szCs w:val="24"/>
          <w:lang w:val="sr-Latn-ME"/>
        </w:rPr>
        <w:t>, kao i p</w:t>
      </w:r>
      <w:r w:rsidR="00310086" w:rsidRPr="00310086">
        <w:rPr>
          <w:rFonts w:cs="Arial"/>
          <w:iCs/>
          <w:sz w:val="24"/>
          <w:szCs w:val="24"/>
          <w:lang w:val="sr-Latn-ME"/>
        </w:rPr>
        <w:t>rosja</w:t>
      </w:r>
      <w:r w:rsidR="0073450C">
        <w:rPr>
          <w:rFonts w:cs="Arial"/>
          <w:iCs/>
          <w:sz w:val="24"/>
          <w:szCs w:val="24"/>
          <w:lang w:val="sr-Latn-ME"/>
        </w:rPr>
        <w:t>č</w:t>
      </w:r>
      <w:r w:rsidR="00310086" w:rsidRPr="00310086">
        <w:rPr>
          <w:rFonts w:cs="Arial"/>
          <w:iCs/>
          <w:sz w:val="24"/>
          <w:szCs w:val="24"/>
          <w:lang w:val="sr-Latn-ME"/>
        </w:rPr>
        <w:t>enja</w:t>
      </w:r>
      <w:r w:rsidR="004D3D4A">
        <w:rPr>
          <w:rFonts w:cs="Arial"/>
          <w:iCs/>
          <w:sz w:val="24"/>
          <w:szCs w:val="24"/>
          <w:lang w:val="sr-Latn-ME"/>
        </w:rPr>
        <w:t>,</w:t>
      </w:r>
      <w:r w:rsidR="00310086" w:rsidRPr="00310086">
        <w:rPr>
          <w:rFonts w:cs="Arial"/>
          <w:iCs/>
          <w:sz w:val="24"/>
          <w:szCs w:val="24"/>
          <w:lang w:val="sr-Latn-ME"/>
        </w:rPr>
        <w:t xml:space="preserve"> </w:t>
      </w:r>
      <w:r w:rsidR="00310086">
        <w:rPr>
          <w:rFonts w:cs="Arial"/>
          <w:iCs/>
          <w:sz w:val="24"/>
          <w:szCs w:val="24"/>
          <w:lang w:val="sr-Latn-ME"/>
        </w:rPr>
        <w:t xml:space="preserve">gdje je </w:t>
      </w:r>
      <w:r w:rsidR="00310086" w:rsidRPr="00310086">
        <w:rPr>
          <w:rFonts w:cs="Arial"/>
          <w:iCs/>
          <w:sz w:val="24"/>
          <w:szCs w:val="24"/>
          <w:lang w:val="sr-Latn-ME"/>
        </w:rPr>
        <w:t>veoma va</w:t>
      </w:r>
      <w:r w:rsidR="00310086">
        <w:rPr>
          <w:rFonts w:cs="Arial"/>
          <w:iCs/>
          <w:sz w:val="24"/>
          <w:szCs w:val="24"/>
          <w:lang w:val="sr-Latn-ME"/>
        </w:rPr>
        <w:t>ž</w:t>
      </w:r>
      <w:r w:rsidR="00310086" w:rsidRPr="00310086">
        <w:rPr>
          <w:rFonts w:cs="Arial"/>
          <w:iCs/>
          <w:sz w:val="24"/>
          <w:szCs w:val="24"/>
          <w:lang w:val="sr-Latn-ME"/>
        </w:rPr>
        <w:t xml:space="preserve">no raditi ne samo na rehabilitaciji </w:t>
      </w:r>
      <w:r w:rsidR="00310086">
        <w:rPr>
          <w:rFonts w:cs="Arial"/>
          <w:iCs/>
          <w:sz w:val="24"/>
          <w:szCs w:val="24"/>
          <w:lang w:val="sr-Latn-ME"/>
        </w:rPr>
        <w:t>ž</w:t>
      </w:r>
      <w:r w:rsidR="00310086" w:rsidRPr="00310086">
        <w:rPr>
          <w:rFonts w:cs="Arial"/>
          <w:iCs/>
          <w:sz w:val="24"/>
          <w:szCs w:val="24"/>
          <w:lang w:val="sr-Latn-ME"/>
        </w:rPr>
        <w:t>rtava ve</w:t>
      </w:r>
      <w:r w:rsidR="00310086">
        <w:rPr>
          <w:rFonts w:cs="Arial"/>
          <w:iCs/>
          <w:sz w:val="24"/>
          <w:szCs w:val="24"/>
          <w:lang w:val="sr-Latn-ME"/>
        </w:rPr>
        <w:t>ć</w:t>
      </w:r>
      <w:r w:rsidR="004C5D23">
        <w:rPr>
          <w:rFonts w:cs="Arial"/>
          <w:iCs/>
          <w:sz w:val="24"/>
          <w:szCs w:val="24"/>
          <w:lang w:val="sr-Latn-ME"/>
        </w:rPr>
        <w:t xml:space="preserve"> s r</w:t>
      </w:r>
      <w:r w:rsidR="00310086" w:rsidRPr="00310086">
        <w:rPr>
          <w:rFonts w:cs="Arial"/>
          <w:iCs/>
          <w:sz w:val="24"/>
          <w:szCs w:val="24"/>
          <w:lang w:val="sr-Latn-ME"/>
        </w:rPr>
        <w:t>oditeljima, z</w:t>
      </w:r>
      <w:r w:rsidR="004D3D4A">
        <w:rPr>
          <w:rFonts w:cs="Arial"/>
          <w:iCs/>
          <w:sz w:val="24"/>
          <w:szCs w:val="24"/>
          <w:lang w:val="sr-Latn-ME"/>
        </w:rPr>
        <w:t>a</w:t>
      </w:r>
      <w:r w:rsidR="00310086" w:rsidRPr="00310086">
        <w:rPr>
          <w:rFonts w:cs="Arial"/>
          <w:iCs/>
          <w:sz w:val="24"/>
          <w:szCs w:val="24"/>
          <w:lang w:val="sr-Latn-ME"/>
        </w:rPr>
        <w:t>jedn</w:t>
      </w:r>
      <w:r w:rsidR="00310086">
        <w:rPr>
          <w:rFonts w:cs="Arial"/>
          <w:iCs/>
          <w:sz w:val="24"/>
          <w:szCs w:val="24"/>
          <w:lang w:val="sr-Latn-ME"/>
        </w:rPr>
        <w:t>i</w:t>
      </w:r>
      <w:r w:rsidR="00310086" w:rsidRPr="00310086">
        <w:rPr>
          <w:rFonts w:cs="Arial"/>
          <w:iCs/>
          <w:sz w:val="24"/>
          <w:szCs w:val="24"/>
          <w:lang w:val="sr-Latn-ME"/>
        </w:rPr>
        <w:t>com, kroz programe osna</w:t>
      </w:r>
      <w:r w:rsidR="00310086">
        <w:rPr>
          <w:rFonts w:cs="Arial"/>
          <w:iCs/>
          <w:sz w:val="24"/>
          <w:szCs w:val="24"/>
          <w:lang w:val="sr-Latn-ME"/>
        </w:rPr>
        <w:t>ž</w:t>
      </w:r>
      <w:r w:rsidR="00310086" w:rsidRPr="00310086">
        <w:rPr>
          <w:rFonts w:cs="Arial"/>
          <w:iCs/>
          <w:sz w:val="24"/>
          <w:szCs w:val="24"/>
          <w:lang w:val="sr-Latn-ME"/>
        </w:rPr>
        <w:t>ivanja</w:t>
      </w:r>
      <w:r w:rsidR="00310086">
        <w:rPr>
          <w:rFonts w:cs="Arial"/>
          <w:iCs/>
          <w:sz w:val="24"/>
          <w:szCs w:val="24"/>
          <w:lang w:val="sr-Latn-ME"/>
        </w:rPr>
        <w:t>.</w:t>
      </w:r>
    </w:p>
    <w:p w14:paraId="1BA93044" w14:textId="77777777" w:rsidR="008B2F62" w:rsidRPr="00F96844" w:rsidRDefault="008B2F62" w:rsidP="00780738">
      <w:pPr>
        <w:jc w:val="both"/>
        <w:rPr>
          <w:rFonts w:cs="Arial"/>
          <w:iCs/>
          <w:sz w:val="24"/>
          <w:szCs w:val="24"/>
          <w:lang w:val="sr-Latn-ME"/>
        </w:rPr>
      </w:pPr>
    </w:p>
    <w:p w14:paraId="44AD5FB8" w14:textId="644C4F68" w:rsidR="002B4243" w:rsidRPr="00F96844" w:rsidRDefault="002B4243" w:rsidP="00780738">
      <w:pPr>
        <w:jc w:val="both"/>
        <w:rPr>
          <w:rFonts w:cs="Arial"/>
          <w:sz w:val="24"/>
          <w:szCs w:val="24"/>
          <w:lang w:val="sr-Latn-ME"/>
        </w:rPr>
      </w:pPr>
      <w:r w:rsidRPr="00F96844">
        <w:rPr>
          <w:rFonts w:cs="Arial"/>
          <w:b/>
          <w:iCs/>
          <w:sz w:val="24"/>
          <w:szCs w:val="24"/>
          <w:lang w:val="sr-Latn-ME"/>
        </w:rPr>
        <w:t>Djeca sa smetnjama i teškoćama u razvoju</w:t>
      </w:r>
      <w:r w:rsidR="00341F98" w:rsidRPr="00F96844">
        <w:rPr>
          <w:rFonts w:cs="Arial"/>
          <w:b/>
          <w:iCs/>
          <w:sz w:val="24"/>
          <w:szCs w:val="24"/>
          <w:lang w:val="sr-Latn-ME"/>
        </w:rPr>
        <w:t>:</w:t>
      </w:r>
      <w:r w:rsidRPr="00F96844">
        <w:rPr>
          <w:rFonts w:cs="Arial"/>
          <w:b/>
          <w:iCs/>
          <w:sz w:val="24"/>
          <w:szCs w:val="24"/>
          <w:lang w:val="sr-Latn-ME"/>
        </w:rPr>
        <w:t xml:space="preserve"> </w:t>
      </w:r>
      <w:r w:rsidRPr="00F96844">
        <w:rPr>
          <w:rFonts w:cs="Arial"/>
          <w:sz w:val="24"/>
          <w:szCs w:val="24"/>
          <w:lang w:val="sr-Latn-ME"/>
        </w:rPr>
        <w:t xml:space="preserve">U Crnoj Gori nema adekvatne baze podataka o broju djece sa smetnjama u razvoju. Nejednakost u ostvarivanju prava djece sa smetnjama u razvoju u direktnoj je vezi s barijerama s kojima se ta djeca suočavaju u pristupu zdravstvu, obrazovanju i uslugama socijalne i dječje zaštite. Međusektorska saradnja u podršci djeci sa smetnjama u razvoju i njihovim porodicama je </w:t>
      </w:r>
      <w:r w:rsidRPr="00CE4DC0">
        <w:rPr>
          <w:rFonts w:cs="Arial"/>
          <w:sz w:val="24"/>
          <w:szCs w:val="24"/>
          <w:lang w:val="sr-Latn-ME"/>
        </w:rPr>
        <w:t xml:space="preserve">slaba. </w:t>
      </w:r>
      <w:r w:rsidR="00E93977" w:rsidRPr="00CE4DC0">
        <w:rPr>
          <w:rFonts w:cs="Arial"/>
          <w:sz w:val="24"/>
          <w:szCs w:val="24"/>
          <w:lang w:val="sr-Latn-ME"/>
        </w:rPr>
        <w:t>Ne postoji dovoljna povezanost i saradnja među stručnjacima</w:t>
      </w:r>
      <w:r w:rsidR="005E3856">
        <w:rPr>
          <w:rFonts w:cs="Arial"/>
          <w:sz w:val="24"/>
          <w:szCs w:val="24"/>
          <w:lang w:val="sr-Latn-ME"/>
        </w:rPr>
        <w:t>/</w:t>
      </w:r>
      <w:r w:rsidR="004D3D4A">
        <w:rPr>
          <w:rFonts w:cs="Arial"/>
          <w:sz w:val="24"/>
          <w:szCs w:val="24"/>
          <w:lang w:val="sr-Latn-ME"/>
        </w:rPr>
        <w:t>stručnja</w:t>
      </w:r>
      <w:r w:rsidR="005E3856">
        <w:rPr>
          <w:rFonts w:cs="Arial"/>
          <w:sz w:val="24"/>
          <w:szCs w:val="24"/>
          <w:lang w:val="sr-Latn-ME"/>
        </w:rPr>
        <w:t>kinjama</w:t>
      </w:r>
      <w:r w:rsidR="00E93977" w:rsidRPr="00CE4DC0">
        <w:rPr>
          <w:rFonts w:cs="Arial"/>
          <w:sz w:val="24"/>
          <w:szCs w:val="24"/>
          <w:lang w:val="sr-Latn-ME"/>
        </w:rPr>
        <w:t xml:space="preserve"> iz centara za socijalni rad, domova zdravlja, razvojnih savjetovališta, dnevnih centara, resursnih centara i sl</w:t>
      </w:r>
      <w:r w:rsidR="004D3D4A">
        <w:rPr>
          <w:rFonts w:cs="Arial"/>
          <w:sz w:val="24"/>
          <w:szCs w:val="24"/>
          <w:lang w:val="sr-Latn-ME"/>
        </w:rPr>
        <w:t>.</w:t>
      </w:r>
      <w:r w:rsidR="00E93977" w:rsidRPr="00CE4DC0">
        <w:rPr>
          <w:rFonts w:cs="Arial"/>
          <w:sz w:val="24"/>
          <w:szCs w:val="24"/>
          <w:lang w:val="sr-Latn-ME"/>
        </w:rPr>
        <w:t xml:space="preserve">, iako je u nadležnosti svih tih institucija da obezbjeđuju prilagođene intervencije i usluge podrške, socijalizacije, i rehabilitacije i habilitacije za djecu sa smetnjama u razvoju. </w:t>
      </w:r>
      <w:r w:rsidRPr="00CE4DC0">
        <w:rPr>
          <w:rFonts w:cs="Arial"/>
          <w:sz w:val="24"/>
          <w:szCs w:val="24"/>
          <w:lang w:val="sr-Latn-ME"/>
        </w:rPr>
        <w:t>Sistem</w:t>
      </w:r>
      <w:r w:rsidRPr="00F96844">
        <w:rPr>
          <w:rFonts w:cs="Arial"/>
          <w:sz w:val="24"/>
          <w:szCs w:val="24"/>
          <w:lang w:val="sr-Latn-ME"/>
        </w:rPr>
        <w:t xml:space="preserve"> intervencija i upućivanja i dalje se dominantno oslanja na medicinski model invaliditeta, koji </w:t>
      </w:r>
      <w:r w:rsidR="00F755BE">
        <w:rPr>
          <w:rFonts w:cs="Arial"/>
          <w:sz w:val="24"/>
          <w:szCs w:val="24"/>
          <w:lang w:val="sr-Latn-ME"/>
        </w:rPr>
        <w:t>nije usaglašen</w:t>
      </w:r>
      <w:r w:rsidR="004C5D23">
        <w:rPr>
          <w:rFonts w:cs="Arial"/>
          <w:sz w:val="24"/>
          <w:szCs w:val="24"/>
          <w:lang w:val="sr-Latn-ME"/>
        </w:rPr>
        <w:t xml:space="preserve"> s p</w:t>
      </w:r>
      <w:r w:rsidRPr="00F96844">
        <w:rPr>
          <w:rFonts w:cs="Arial"/>
          <w:sz w:val="24"/>
          <w:szCs w:val="24"/>
          <w:lang w:val="sr-Latn-ME"/>
        </w:rPr>
        <w:t xml:space="preserve">rincipom pune inkluzije djece sa smetnjama u razvoju i </w:t>
      </w:r>
      <w:r w:rsidR="00F755BE">
        <w:rPr>
          <w:rFonts w:cs="Arial"/>
          <w:sz w:val="24"/>
          <w:szCs w:val="24"/>
          <w:lang w:val="sr-Latn-ME"/>
        </w:rPr>
        <w:t xml:space="preserve">onemogućava </w:t>
      </w:r>
      <w:r w:rsidRPr="00F96844">
        <w:rPr>
          <w:rFonts w:cs="Arial"/>
          <w:sz w:val="24"/>
          <w:szCs w:val="24"/>
          <w:lang w:val="sr-Latn-ME"/>
        </w:rPr>
        <w:t xml:space="preserve">primjenu holističkog i integrisanog pristupa u pružanju usluga ovoj djeci. Djeca sa smetnjama </w:t>
      </w:r>
      <w:r w:rsidR="00F755BE">
        <w:rPr>
          <w:rFonts w:cs="Arial"/>
          <w:sz w:val="24"/>
          <w:szCs w:val="24"/>
          <w:lang w:val="sr-Latn-ME"/>
        </w:rPr>
        <w:t xml:space="preserve">i teškoćama </w:t>
      </w:r>
      <w:r w:rsidRPr="00F96844">
        <w:rPr>
          <w:rFonts w:cs="Arial"/>
          <w:sz w:val="24"/>
          <w:szCs w:val="24"/>
          <w:lang w:val="sr-Latn-ME"/>
        </w:rPr>
        <w:t>u razvoju često trpe diskriminaciju i isključivanje, što ih čini posebno osjetljivom kategorijom, izloženom većem riziku od nasilja, zanemarivanja i zlostavljanja. Iako su se dnevni centri u Crnoj Gori dosta brzo razvili, potrebno ih je učiniti inkluzivnijim i komplementarnijim</w:t>
      </w:r>
      <w:r w:rsidR="004C5D23">
        <w:rPr>
          <w:rFonts w:cs="Arial"/>
          <w:sz w:val="24"/>
          <w:szCs w:val="24"/>
          <w:lang w:val="sr-Latn-ME"/>
        </w:rPr>
        <w:t xml:space="preserve"> s o</w:t>
      </w:r>
      <w:r w:rsidRPr="00F96844">
        <w:rPr>
          <w:rFonts w:cs="Arial"/>
          <w:sz w:val="24"/>
          <w:szCs w:val="24"/>
          <w:lang w:val="sr-Latn-ME"/>
        </w:rPr>
        <w:t xml:space="preserve">stalim </w:t>
      </w:r>
      <w:r w:rsidR="00B329C3">
        <w:rPr>
          <w:rFonts w:cs="Arial"/>
          <w:sz w:val="24"/>
          <w:szCs w:val="24"/>
          <w:lang w:val="sr-Latn-ME"/>
        </w:rPr>
        <w:t>uslugama SDZ</w:t>
      </w:r>
      <w:r w:rsidRPr="00F96844">
        <w:rPr>
          <w:rFonts w:cs="Arial"/>
          <w:sz w:val="24"/>
          <w:szCs w:val="24"/>
          <w:lang w:val="sr-Latn-ME"/>
        </w:rPr>
        <w:t>. Ostal</w:t>
      </w:r>
      <w:r w:rsidR="00B329C3">
        <w:rPr>
          <w:rFonts w:cs="Arial"/>
          <w:sz w:val="24"/>
          <w:szCs w:val="24"/>
          <w:lang w:val="sr-Latn-ME"/>
        </w:rPr>
        <w:t>e usluge</w:t>
      </w:r>
      <w:r w:rsidRPr="00F96844">
        <w:rPr>
          <w:rFonts w:cs="Arial"/>
          <w:sz w:val="24"/>
          <w:szCs w:val="24"/>
          <w:lang w:val="sr-Latn-ME"/>
        </w:rPr>
        <w:t xml:space="preserve"> za djecu sa smetnjama </w:t>
      </w:r>
      <w:r w:rsidR="00B329C3">
        <w:rPr>
          <w:rFonts w:cs="Arial"/>
          <w:sz w:val="24"/>
          <w:szCs w:val="24"/>
          <w:lang w:val="sr-Latn-ME"/>
        </w:rPr>
        <w:t xml:space="preserve">i teškoćama u </w:t>
      </w:r>
      <w:r w:rsidR="00B329C3" w:rsidRPr="00CE4DC0">
        <w:rPr>
          <w:rFonts w:cs="Arial"/>
          <w:sz w:val="24"/>
          <w:szCs w:val="24"/>
          <w:lang w:val="sr-Latn-ME"/>
        </w:rPr>
        <w:t>razvoju</w:t>
      </w:r>
      <w:r w:rsidRPr="00CE4DC0">
        <w:rPr>
          <w:rFonts w:cs="Arial"/>
          <w:sz w:val="24"/>
          <w:szCs w:val="24"/>
          <w:lang w:val="sr-Latn-ME"/>
        </w:rPr>
        <w:t>, osobe s invaliditetom i njihove porodice slabije su razvijen</w:t>
      </w:r>
      <w:r w:rsidR="00DA071E" w:rsidRPr="00CE4DC0">
        <w:rPr>
          <w:rFonts w:cs="Arial"/>
          <w:sz w:val="24"/>
          <w:szCs w:val="24"/>
          <w:lang w:val="sr-Latn-ME"/>
        </w:rPr>
        <w:t>e</w:t>
      </w:r>
      <w:r w:rsidRPr="00CE4DC0">
        <w:rPr>
          <w:rFonts w:cs="Arial"/>
          <w:sz w:val="24"/>
          <w:szCs w:val="24"/>
          <w:lang w:val="sr-Latn-ME"/>
        </w:rPr>
        <w:t xml:space="preserve"> ili ih ima izuzetno malo.</w:t>
      </w:r>
      <w:r w:rsidRPr="00CE4DC0">
        <w:rPr>
          <w:rFonts w:cs="Arial"/>
          <w:sz w:val="24"/>
          <w:szCs w:val="24"/>
          <w:vertAlign w:val="superscript"/>
          <w:lang w:val="sr-Latn-ME"/>
        </w:rPr>
        <w:footnoteReference w:id="58"/>
      </w:r>
      <w:r w:rsidR="00E93977" w:rsidRPr="00CE4DC0">
        <w:t xml:space="preserve"> </w:t>
      </w:r>
      <w:r w:rsidR="00621B38" w:rsidRPr="00CE4DC0">
        <w:rPr>
          <w:rFonts w:cs="Arial"/>
          <w:sz w:val="24"/>
          <w:szCs w:val="24"/>
          <w:lang w:val="sr-Latn-ME"/>
        </w:rPr>
        <w:t>Navedene usluge</w:t>
      </w:r>
      <w:r w:rsidR="00E93977" w:rsidRPr="00CE4DC0">
        <w:rPr>
          <w:rFonts w:cs="Arial"/>
          <w:sz w:val="24"/>
          <w:szCs w:val="24"/>
          <w:lang w:val="sr-Latn-ME"/>
        </w:rPr>
        <w:t xml:space="preserve"> nisu pristupačne i ne odgovaraju na potrebe djece sa smetnjama u razvoju i njihovih porodica u dovoljnoj </w:t>
      </w:r>
      <w:r w:rsidR="00E93977" w:rsidRPr="00F26EBD">
        <w:rPr>
          <w:rFonts w:cs="Arial"/>
          <w:sz w:val="24"/>
          <w:szCs w:val="24"/>
          <w:lang w:val="sr-Latn-ME"/>
        </w:rPr>
        <w:t>mjeri.</w:t>
      </w:r>
      <w:r w:rsidR="00F26EBD" w:rsidRPr="00F26EBD">
        <w:rPr>
          <w:sz w:val="24"/>
          <w:szCs w:val="24"/>
        </w:rPr>
        <w:t xml:space="preserve"> Posebno treba naglasiti da je potreban veći broj dnevnih centara kao i njihova transformacija, jer je primjetan trend rasta broja djece sa poteškoćama u razvoju, na koji zahtijeva adekvatan i blagovremen sistemski odgovor. S tim u vezi, neophodno je osigurati odgovarajuće kadrovske kapacitete kako bi tretmani u specijalizovanim institucijama bili blagovremeni, a liste čekanja smanjene. Važno je jačati i sistem obrazovanja kako bi se pružila adekvatna podrška i obezbijedio efikasniji obuhvat asistenata. Posebnu pažnju je neophodno usmjeriti na razvijanje usluga podrške članovima porodice djece sa smetnjama u razvoju, kako bi ih dodatno osnažili i pružili svu neophodnu pomoć i podršku.</w:t>
      </w:r>
    </w:p>
    <w:p w14:paraId="4A3DE677" w14:textId="77777777" w:rsidR="008B2F62" w:rsidRPr="00F96844" w:rsidRDefault="008B2F62" w:rsidP="00780738">
      <w:pPr>
        <w:jc w:val="both"/>
        <w:rPr>
          <w:rFonts w:cs="Arial"/>
          <w:color w:val="FF0000"/>
          <w:sz w:val="24"/>
          <w:szCs w:val="24"/>
          <w:lang w:val="sr-Latn-ME"/>
        </w:rPr>
      </w:pPr>
    </w:p>
    <w:p w14:paraId="43BF4E27" w14:textId="5E8F3AD2" w:rsidR="00EC2B77" w:rsidRPr="00EC2B77" w:rsidRDefault="002B4243" w:rsidP="00EC2B77">
      <w:pPr>
        <w:jc w:val="both"/>
        <w:rPr>
          <w:rFonts w:cs="Arial"/>
          <w:color w:val="000000" w:themeColor="text1"/>
          <w:sz w:val="24"/>
          <w:szCs w:val="24"/>
          <w:lang w:val="sr-Latn-ME"/>
        </w:rPr>
      </w:pPr>
      <w:r w:rsidRPr="00F96844">
        <w:rPr>
          <w:rFonts w:cs="Arial"/>
          <w:b/>
          <w:iCs/>
          <w:sz w:val="24"/>
          <w:szCs w:val="24"/>
          <w:lang w:val="sr-Latn-ME"/>
        </w:rPr>
        <w:t>Djeca bez roditeljskog staranja</w:t>
      </w:r>
      <w:r w:rsidR="00341F98" w:rsidRPr="00F96844">
        <w:rPr>
          <w:rFonts w:cs="Arial"/>
          <w:b/>
          <w:iCs/>
          <w:sz w:val="24"/>
          <w:szCs w:val="24"/>
          <w:lang w:val="sr-Latn-ME"/>
        </w:rPr>
        <w:t>:</w:t>
      </w:r>
      <w:r w:rsidRPr="00F96844">
        <w:rPr>
          <w:rFonts w:cs="Arial"/>
          <w:b/>
          <w:iCs/>
          <w:sz w:val="24"/>
          <w:szCs w:val="24"/>
          <w:lang w:val="sr-Latn-ME"/>
        </w:rPr>
        <w:t xml:space="preserve"> </w:t>
      </w:r>
      <w:bookmarkStart w:id="75" w:name="_Hlk171510970"/>
      <w:r w:rsidR="00EC2B77" w:rsidRPr="00EC2B77">
        <w:rPr>
          <w:rFonts w:cs="Arial"/>
          <w:sz w:val="24"/>
          <w:szCs w:val="24"/>
          <w:lang w:val="sr-Latn-ME"/>
        </w:rPr>
        <w:t>Uzrok institucionalizacije djece</w:t>
      </w:r>
      <w:r w:rsidR="00EC2B77" w:rsidRPr="00EC2B77">
        <w:rPr>
          <w:rFonts w:cs="Arial"/>
          <w:b/>
          <w:sz w:val="24"/>
          <w:szCs w:val="24"/>
          <w:lang w:val="sr-Latn-ME"/>
        </w:rPr>
        <w:t xml:space="preserve"> </w:t>
      </w:r>
      <w:r w:rsidR="00EC2B77" w:rsidRPr="00EC2B77">
        <w:rPr>
          <w:rFonts w:cs="Arial"/>
          <w:sz w:val="24"/>
          <w:szCs w:val="24"/>
          <w:lang w:val="sr-Latn-ME"/>
        </w:rPr>
        <w:t>je</w:t>
      </w:r>
      <w:r w:rsidR="00EC2B77" w:rsidRPr="00EC2B77">
        <w:rPr>
          <w:rFonts w:cs="Arial"/>
          <w:b/>
          <w:sz w:val="24"/>
          <w:szCs w:val="24"/>
          <w:lang w:val="sr-Latn-ME"/>
        </w:rPr>
        <w:t xml:space="preserve"> </w:t>
      </w:r>
      <w:r w:rsidR="00EC2B77" w:rsidRPr="00EC2B77">
        <w:rPr>
          <w:rFonts w:cs="Arial"/>
          <w:sz w:val="24"/>
          <w:szCs w:val="24"/>
          <w:lang w:val="sr-Latn-ME"/>
        </w:rPr>
        <w:t>izdvajanje iz porodica zbog nemogućnosti roditelja da brinu o njima.</w:t>
      </w:r>
      <w:r w:rsidR="00EC2B77" w:rsidRPr="00EC2B77">
        <w:rPr>
          <w:rFonts w:cs="Arial"/>
          <w:color w:val="000000" w:themeColor="text1"/>
          <w:sz w:val="24"/>
          <w:szCs w:val="24"/>
          <w:lang w:val="sr-Latn-ME"/>
        </w:rPr>
        <w:t xml:space="preserve"> Djeca koja žive u najnepovoljnijim uslovima (krajnje siromaštvo, </w:t>
      </w:r>
      <w:r w:rsidR="00EC2B77" w:rsidRPr="00EC2B77">
        <w:rPr>
          <w:rFonts w:cs="Arial"/>
          <w:sz w:val="24"/>
          <w:szCs w:val="24"/>
        </w:rPr>
        <w:t xml:space="preserve">djeca žrtve nasilja kao i raznih  drugih oblika zlostavljanja i </w:t>
      </w:r>
      <w:r w:rsidR="00EC2B77" w:rsidRPr="00EC2B77">
        <w:rPr>
          <w:rFonts w:cs="Arial"/>
          <w:sz w:val="24"/>
          <w:szCs w:val="24"/>
        </w:rPr>
        <w:lastRenderedPageBreak/>
        <w:t>zanemarivanja</w:t>
      </w:r>
      <w:r w:rsidR="00EC2B77" w:rsidRPr="00EC2B77">
        <w:rPr>
          <w:rFonts w:cs="Arial"/>
          <w:color w:val="000000" w:themeColor="text1"/>
          <w:sz w:val="24"/>
          <w:szCs w:val="24"/>
          <w:lang w:val="sr-Latn-ME"/>
        </w:rPr>
        <w:t xml:space="preserve"> </w:t>
      </w:r>
      <w:r w:rsidR="00EC2B77" w:rsidRPr="00EC2B77">
        <w:rPr>
          <w:rFonts w:cs="Arial"/>
          <w:sz w:val="24"/>
          <w:szCs w:val="24"/>
        </w:rPr>
        <w:t>Višečlane porodice, koje pored nezaposlenosti roditelja ili staratelja imaju dodatne poteškoće u funkcionisanju, čime se ugrožava spokojstvo djece</w:t>
      </w:r>
      <w:r w:rsidR="00EC2B77" w:rsidRPr="00EC2B77">
        <w:rPr>
          <w:rFonts w:cs="Arial"/>
          <w:color w:val="000000" w:themeColor="text1"/>
          <w:sz w:val="24"/>
          <w:szCs w:val="24"/>
          <w:lang w:val="sr-Latn-ME"/>
        </w:rPr>
        <w:t>.) izložena su visokom stepenu rizika da budu razdvojena od porodice. Obim i kvalitet usluga koje se pružaju u okviru podrške biološkoj porodici kako bi se omogućio ostanak djece u njoj nije na zadovoljavajućem nivou.</w:t>
      </w:r>
      <w:r w:rsidR="00EC2B77" w:rsidRPr="00EC2B77">
        <w:rPr>
          <w:rFonts w:cs="Arial"/>
          <w:sz w:val="24"/>
          <w:szCs w:val="24"/>
          <w:lang w:val="sr-Latn-ME"/>
        </w:rPr>
        <w:t xml:space="preserve"> </w:t>
      </w:r>
      <w:bookmarkStart w:id="76" w:name="_Hlk169667235"/>
      <w:r w:rsidR="00EC2B77" w:rsidRPr="006D5FFA">
        <w:rPr>
          <w:rFonts w:cs="Arial"/>
          <w:sz w:val="24"/>
          <w:szCs w:val="24"/>
        </w:rPr>
        <w:t xml:space="preserve">Sistem haniteljstva prvenstveno nesrodničkog, a posebno </w:t>
      </w:r>
      <w:r w:rsidR="006D5FFA" w:rsidRPr="006D5FFA">
        <w:rPr>
          <w:rFonts w:cs="Arial"/>
          <w:sz w:val="24"/>
          <w:szCs w:val="24"/>
        </w:rPr>
        <w:t xml:space="preserve">hraniteljstva uz intenzivnu ili dodatnu podršku, </w:t>
      </w:r>
      <w:r w:rsidR="00EC2B77" w:rsidRPr="006D5FFA">
        <w:rPr>
          <w:rFonts w:cs="Arial"/>
          <w:sz w:val="24"/>
          <w:szCs w:val="24"/>
        </w:rPr>
        <w:t xml:space="preserve">nije razvijen dovoljno, a procjenu i </w:t>
      </w:r>
      <w:r w:rsidR="00EC2B77" w:rsidRPr="00EC2B77">
        <w:rPr>
          <w:rFonts w:cs="Arial"/>
          <w:sz w:val="24"/>
          <w:szCs w:val="24"/>
        </w:rPr>
        <w:t>pripremu hranitelja i djece je neophodno u narednom period dodatno unaprijediti.</w:t>
      </w:r>
    </w:p>
    <w:bookmarkEnd w:id="76"/>
    <w:p w14:paraId="1D260FBA" w14:textId="77777777" w:rsidR="00EC2B77" w:rsidRPr="00EC2B77" w:rsidRDefault="00EC2B77" w:rsidP="00EC2B77">
      <w:pPr>
        <w:jc w:val="both"/>
        <w:rPr>
          <w:rFonts w:cs="Arial"/>
          <w:color w:val="000000" w:themeColor="text1"/>
          <w:sz w:val="24"/>
          <w:szCs w:val="24"/>
          <w:lang w:val="sr-Latn-ME"/>
        </w:rPr>
      </w:pPr>
      <w:r w:rsidRPr="00EC2B77">
        <w:rPr>
          <w:rFonts w:eastAsiaTheme="minorEastAsia" w:cs="Arial"/>
          <w:sz w:val="24"/>
          <w:szCs w:val="24"/>
          <w:lang w:val="sr-Latn-ME"/>
        </w:rPr>
        <w:t>O</w:t>
      </w:r>
      <w:r w:rsidRPr="00EC2B77">
        <w:rPr>
          <w:rFonts w:cs="Arial"/>
          <w:color w:val="000000" w:themeColor="text1"/>
          <w:sz w:val="24"/>
          <w:szCs w:val="24"/>
          <w:lang w:val="sr-Latn-ME"/>
        </w:rPr>
        <w:t>graničeni su kapaciteti potrebni za praćenje djece (njihovog statusa i uslova života), kao i resursi koji bi osigurali održivost napretka postignutog u procesu deinstitucionalizacije.</w:t>
      </w:r>
      <w:bookmarkEnd w:id="75"/>
    </w:p>
    <w:p w14:paraId="58361914" w14:textId="77777777" w:rsidR="005B1815" w:rsidRDefault="005B1815" w:rsidP="00780738">
      <w:pPr>
        <w:jc w:val="both"/>
        <w:rPr>
          <w:rFonts w:cs="Arial"/>
          <w:color w:val="000000" w:themeColor="text1"/>
          <w:sz w:val="24"/>
          <w:szCs w:val="24"/>
          <w:lang w:val="sr-Latn-ME"/>
        </w:rPr>
      </w:pPr>
    </w:p>
    <w:p w14:paraId="2E6CEB2F" w14:textId="77777777" w:rsidR="00C61880" w:rsidRDefault="00C61880" w:rsidP="005114FD">
      <w:pPr>
        <w:jc w:val="both"/>
        <w:rPr>
          <w:rFonts w:cs="Arial"/>
          <w:color w:val="000000" w:themeColor="text1"/>
          <w:sz w:val="24"/>
          <w:szCs w:val="24"/>
          <w:lang w:val="sr-Latn-ME"/>
        </w:rPr>
      </w:pPr>
    </w:p>
    <w:p w14:paraId="23873887" w14:textId="77777777" w:rsidR="00956732" w:rsidRPr="007D47B3" w:rsidRDefault="00C61880" w:rsidP="00780738">
      <w:pPr>
        <w:jc w:val="both"/>
        <w:rPr>
          <w:rFonts w:cs="Arial"/>
          <w:b/>
          <w:bCs/>
          <w:color w:val="000000" w:themeColor="text1"/>
          <w:sz w:val="24"/>
          <w:szCs w:val="24"/>
          <w:lang w:val="sr-Latn-ME"/>
        </w:rPr>
      </w:pPr>
      <w:r w:rsidRPr="00956732">
        <w:rPr>
          <w:rFonts w:cs="Arial"/>
          <w:b/>
          <w:bCs/>
          <w:color w:val="000000" w:themeColor="text1"/>
          <w:sz w:val="24"/>
          <w:szCs w:val="24"/>
          <w:lang w:val="sr-Latn-ME"/>
        </w:rPr>
        <w:t>Djeca</w:t>
      </w:r>
      <w:r w:rsidR="004C5D23">
        <w:rPr>
          <w:rFonts w:cs="Arial"/>
          <w:b/>
          <w:bCs/>
          <w:color w:val="000000" w:themeColor="text1"/>
          <w:sz w:val="24"/>
          <w:szCs w:val="24"/>
          <w:lang w:val="sr-Latn-ME"/>
        </w:rPr>
        <w:t xml:space="preserve"> s p</w:t>
      </w:r>
      <w:r w:rsidRPr="00956732">
        <w:rPr>
          <w:rFonts w:cs="Arial"/>
          <w:b/>
          <w:bCs/>
          <w:color w:val="000000" w:themeColor="text1"/>
          <w:sz w:val="24"/>
          <w:szCs w:val="24"/>
          <w:lang w:val="sr-Latn-ME"/>
        </w:rPr>
        <w:t>roblemima u ponašanju:</w:t>
      </w:r>
      <w:r w:rsidR="007D47B3">
        <w:rPr>
          <w:rFonts w:cs="Arial"/>
          <w:b/>
          <w:bCs/>
          <w:color w:val="000000" w:themeColor="text1"/>
          <w:sz w:val="24"/>
          <w:szCs w:val="24"/>
          <w:lang w:val="sr-Latn-ME"/>
        </w:rPr>
        <w:t xml:space="preserve"> </w:t>
      </w:r>
      <w:r w:rsidR="00B242F8">
        <w:rPr>
          <w:rFonts w:cs="Arial"/>
          <w:color w:val="000000" w:themeColor="text1"/>
          <w:sz w:val="24"/>
          <w:szCs w:val="24"/>
          <w:lang w:val="sr-Latn-ME"/>
        </w:rPr>
        <w:t>S obzirom</w:t>
      </w:r>
      <w:r w:rsidR="004D3D4A">
        <w:rPr>
          <w:rFonts w:cs="Arial"/>
          <w:color w:val="000000" w:themeColor="text1"/>
          <w:sz w:val="24"/>
          <w:szCs w:val="24"/>
          <w:lang w:val="sr-Latn-ME"/>
        </w:rPr>
        <w:t xml:space="preserve"> na to</w:t>
      </w:r>
      <w:r w:rsidR="00B242F8">
        <w:rPr>
          <w:rFonts w:cs="Arial"/>
          <w:color w:val="000000" w:themeColor="text1"/>
          <w:sz w:val="24"/>
          <w:szCs w:val="24"/>
          <w:lang w:val="sr-Latn-ME"/>
        </w:rPr>
        <w:t xml:space="preserve"> da se povećava broj djece</w:t>
      </w:r>
      <w:r w:rsidR="004C5D23">
        <w:rPr>
          <w:rFonts w:cs="Arial"/>
          <w:color w:val="000000" w:themeColor="text1"/>
          <w:sz w:val="24"/>
          <w:szCs w:val="24"/>
          <w:lang w:val="sr-Latn-ME"/>
        </w:rPr>
        <w:t xml:space="preserve"> s p</w:t>
      </w:r>
      <w:r w:rsidR="00B242F8">
        <w:rPr>
          <w:rFonts w:cs="Arial"/>
          <w:color w:val="000000" w:themeColor="text1"/>
          <w:sz w:val="24"/>
          <w:szCs w:val="24"/>
          <w:lang w:val="sr-Latn-ME"/>
        </w:rPr>
        <w:t>roblemima u ponašanju</w:t>
      </w:r>
      <w:r w:rsidR="004D3D4A">
        <w:rPr>
          <w:rFonts w:cs="Arial"/>
          <w:color w:val="000000" w:themeColor="text1"/>
          <w:sz w:val="24"/>
          <w:szCs w:val="24"/>
          <w:lang w:val="sr-Latn-ME"/>
        </w:rPr>
        <w:t>,</w:t>
      </w:r>
      <w:r w:rsidR="00B242F8">
        <w:rPr>
          <w:rFonts w:cs="Arial"/>
          <w:color w:val="000000" w:themeColor="text1"/>
          <w:sz w:val="24"/>
          <w:szCs w:val="24"/>
          <w:lang w:val="sr-Latn-ME"/>
        </w:rPr>
        <w:t xml:space="preserve"> ova pojava predstavlja značajan izazov</w:t>
      </w:r>
      <w:r w:rsidR="004D3D4A">
        <w:rPr>
          <w:rFonts w:cs="Arial"/>
          <w:color w:val="000000" w:themeColor="text1"/>
          <w:sz w:val="24"/>
          <w:szCs w:val="24"/>
          <w:lang w:val="sr-Latn-ME"/>
        </w:rPr>
        <w:t>,</w:t>
      </w:r>
      <w:r w:rsidR="00B242F8">
        <w:rPr>
          <w:rFonts w:cs="Arial"/>
          <w:color w:val="000000" w:themeColor="text1"/>
          <w:sz w:val="24"/>
          <w:szCs w:val="24"/>
          <w:lang w:val="sr-Latn-ME"/>
        </w:rPr>
        <w:t xml:space="preserve"> a još uvijek nijesu uspostavljene usluge u zajednici nam</w:t>
      </w:r>
      <w:r w:rsidR="004D3D4A">
        <w:rPr>
          <w:rFonts w:cs="Arial"/>
          <w:color w:val="000000" w:themeColor="text1"/>
          <w:sz w:val="24"/>
          <w:szCs w:val="24"/>
          <w:lang w:val="sr-Latn-ME"/>
        </w:rPr>
        <w:t>i</w:t>
      </w:r>
      <w:r w:rsidR="00B242F8">
        <w:rPr>
          <w:rFonts w:cs="Arial"/>
          <w:color w:val="000000" w:themeColor="text1"/>
          <w:sz w:val="24"/>
          <w:szCs w:val="24"/>
          <w:lang w:val="sr-Latn-ME"/>
        </w:rPr>
        <w:t>jenjene djeci u riziku (dnevni centri za djecu u riziku, savjetovališta za roditelje ove djece i sl.)</w:t>
      </w:r>
      <w:r w:rsidR="004D3D4A">
        <w:rPr>
          <w:rFonts w:cs="Arial"/>
          <w:color w:val="000000" w:themeColor="text1"/>
          <w:sz w:val="24"/>
          <w:szCs w:val="24"/>
          <w:lang w:val="sr-Latn-ME"/>
        </w:rPr>
        <w:t>.</w:t>
      </w:r>
    </w:p>
    <w:p w14:paraId="15904D57" w14:textId="77777777" w:rsidR="00B242F8" w:rsidRDefault="00B242F8" w:rsidP="00780738">
      <w:pPr>
        <w:jc w:val="both"/>
        <w:rPr>
          <w:rFonts w:cs="Arial"/>
          <w:color w:val="000000" w:themeColor="text1"/>
          <w:sz w:val="24"/>
          <w:szCs w:val="24"/>
          <w:lang w:val="sr-Latn-ME"/>
        </w:rPr>
      </w:pPr>
    </w:p>
    <w:p w14:paraId="5BF3C238" w14:textId="77777777" w:rsidR="00956732" w:rsidRDefault="00956732" w:rsidP="00780738">
      <w:pPr>
        <w:jc w:val="both"/>
        <w:rPr>
          <w:rFonts w:cs="Arial"/>
          <w:color w:val="000000" w:themeColor="text1"/>
          <w:sz w:val="24"/>
          <w:szCs w:val="24"/>
          <w:lang w:val="sr-Latn-ME"/>
        </w:rPr>
      </w:pPr>
      <w:r>
        <w:rPr>
          <w:rFonts w:cs="Arial"/>
          <w:color w:val="000000" w:themeColor="text1"/>
          <w:sz w:val="24"/>
          <w:szCs w:val="24"/>
          <w:lang w:val="sr-Latn-ME"/>
        </w:rPr>
        <w:t>Porast broja djece</w:t>
      </w:r>
      <w:r w:rsidR="004C5D23">
        <w:rPr>
          <w:rFonts w:cs="Arial"/>
          <w:color w:val="000000" w:themeColor="text1"/>
          <w:sz w:val="24"/>
          <w:szCs w:val="24"/>
          <w:lang w:val="sr-Latn-ME"/>
        </w:rPr>
        <w:t xml:space="preserve"> s p</w:t>
      </w:r>
      <w:r>
        <w:rPr>
          <w:rFonts w:cs="Arial"/>
          <w:color w:val="000000" w:themeColor="text1"/>
          <w:sz w:val="24"/>
          <w:szCs w:val="24"/>
          <w:lang w:val="sr-Latn-ME"/>
        </w:rPr>
        <w:t>roblemima u ponašanju, usložnjavanje problema, povećanje br</w:t>
      </w:r>
      <w:r w:rsidR="004D3D4A">
        <w:rPr>
          <w:rFonts w:cs="Arial"/>
          <w:color w:val="000000" w:themeColor="text1"/>
          <w:sz w:val="24"/>
          <w:szCs w:val="24"/>
          <w:lang w:val="sr-Latn-ME"/>
        </w:rPr>
        <w:t>o</w:t>
      </w:r>
      <w:r>
        <w:rPr>
          <w:rFonts w:cs="Arial"/>
          <w:color w:val="000000" w:themeColor="text1"/>
          <w:sz w:val="24"/>
          <w:szCs w:val="24"/>
          <w:lang w:val="sr-Latn-ME"/>
        </w:rPr>
        <w:t>ja punoljetnih lica neprihvatljivog ponašanja</w:t>
      </w:r>
      <w:r w:rsidR="004D3D4A">
        <w:rPr>
          <w:rFonts w:cs="Arial"/>
          <w:color w:val="000000" w:themeColor="text1"/>
          <w:sz w:val="24"/>
          <w:szCs w:val="24"/>
          <w:lang w:val="sr-Latn-ME"/>
        </w:rPr>
        <w:t>,</w:t>
      </w:r>
      <w:r>
        <w:rPr>
          <w:rFonts w:cs="Arial"/>
          <w:color w:val="000000" w:themeColor="text1"/>
          <w:sz w:val="24"/>
          <w:szCs w:val="24"/>
          <w:lang w:val="sr-Latn-ME"/>
        </w:rPr>
        <w:t xml:space="preserve"> </w:t>
      </w:r>
      <w:r w:rsidR="004D3D4A">
        <w:rPr>
          <w:rFonts w:cs="Arial"/>
          <w:color w:val="000000" w:themeColor="text1"/>
          <w:sz w:val="24"/>
          <w:szCs w:val="24"/>
          <w:lang w:val="sr-Latn-ME"/>
        </w:rPr>
        <w:t xml:space="preserve">su </w:t>
      </w:r>
      <w:r w:rsidR="003C5CED">
        <w:rPr>
          <w:rFonts w:cs="Arial"/>
          <w:color w:val="000000" w:themeColor="text1"/>
          <w:sz w:val="24"/>
          <w:szCs w:val="24"/>
          <w:lang w:val="sr-Latn-ME"/>
        </w:rPr>
        <w:t xml:space="preserve"> štetne </w:t>
      </w:r>
      <w:r>
        <w:rPr>
          <w:rFonts w:cs="Arial"/>
          <w:color w:val="000000" w:themeColor="text1"/>
          <w:sz w:val="24"/>
          <w:szCs w:val="24"/>
          <w:lang w:val="sr-Latn-ME"/>
        </w:rPr>
        <w:t>kako za pojedinca tako i za kompletno društvo</w:t>
      </w:r>
      <w:r w:rsidR="004D3D4A">
        <w:rPr>
          <w:rFonts w:cs="Arial"/>
          <w:color w:val="000000" w:themeColor="text1"/>
          <w:sz w:val="24"/>
          <w:szCs w:val="24"/>
          <w:lang w:val="sr-Latn-ME"/>
        </w:rPr>
        <w:t>,</w:t>
      </w:r>
      <w:r>
        <w:rPr>
          <w:rFonts w:cs="Arial"/>
          <w:color w:val="000000" w:themeColor="text1"/>
          <w:sz w:val="24"/>
          <w:szCs w:val="24"/>
          <w:lang w:val="sr-Latn-ME"/>
        </w:rPr>
        <w:t xml:space="preserve"> i vremenom postaju sve veće</w:t>
      </w:r>
      <w:r w:rsidR="000244D8">
        <w:rPr>
          <w:rFonts w:cs="Arial"/>
          <w:color w:val="000000" w:themeColor="text1"/>
          <w:sz w:val="24"/>
          <w:szCs w:val="24"/>
          <w:lang w:val="sr-Latn-ME"/>
        </w:rPr>
        <w:t>,</w:t>
      </w:r>
      <w:r>
        <w:rPr>
          <w:rFonts w:cs="Arial"/>
          <w:color w:val="000000" w:themeColor="text1"/>
          <w:sz w:val="24"/>
          <w:szCs w:val="24"/>
          <w:lang w:val="sr-Latn-ME"/>
        </w:rPr>
        <w:t xml:space="preserve"> što ima za posljedicu porast stope kriminaliteta i </w:t>
      </w:r>
      <w:r w:rsidR="003C5CED">
        <w:rPr>
          <w:rFonts w:cs="Arial"/>
          <w:color w:val="000000" w:themeColor="text1"/>
          <w:sz w:val="24"/>
          <w:szCs w:val="24"/>
          <w:lang w:val="sr-Latn-ME"/>
        </w:rPr>
        <w:t xml:space="preserve">izazivaju </w:t>
      </w:r>
      <w:r>
        <w:rPr>
          <w:rFonts w:cs="Arial"/>
          <w:color w:val="000000" w:themeColor="text1"/>
          <w:sz w:val="24"/>
          <w:szCs w:val="24"/>
          <w:lang w:val="sr-Latn-ME"/>
        </w:rPr>
        <w:t>posljedice koje ova pojava ima</w:t>
      </w:r>
      <w:r w:rsidR="003C5CED">
        <w:rPr>
          <w:rFonts w:cs="Arial"/>
          <w:color w:val="000000" w:themeColor="text1"/>
          <w:sz w:val="24"/>
          <w:szCs w:val="24"/>
          <w:lang w:val="sr-Latn-ME"/>
        </w:rPr>
        <w:t xml:space="preserve"> za</w:t>
      </w:r>
      <w:r>
        <w:rPr>
          <w:rFonts w:cs="Arial"/>
          <w:color w:val="000000" w:themeColor="text1"/>
          <w:sz w:val="24"/>
          <w:szCs w:val="24"/>
          <w:lang w:val="sr-Latn-ME"/>
        </w:rPr>
        <w:t xml:space="preserve"> cjelokupno društvo.</w:t>
      </w:r>
    </w:p>
    <w:p w14:paraId="316EC05A" w14:textId="77777777" w:rsidR="00956732" w:rsidRDefault="00956732" w:rsidP="00780738">
      <w:pPr>
        <w:jc w:val="both"/>
        <w:rPr>
          <w:rFonts w:cs="Arial"/>
          <w:color w:val="000000" w:themeColor="text1"/>
          <w:sz w:val="24"/>
          <w:szCs w:val="24"/>
          <w:lang w:val="sr-Latn-ME"/>
        </w:rPr>
      </w:pPr>
    </w:p>
    <w:p w14:paraId="00D606A7" w14:textId="77777777" w:rsidR="005E7282" w:rsidRPr="00607BF1" w:rsidRDefault="00D93D54" w:rsidP="00607BF1">
      <w:pPr>
        <w:jc w:val="both"/>
        <w:rPr>
          <w:rFonts w:cs="Arial"/>
          <w:color w:val="000000" w:themeColor="text1"/>
          <w:sz w:val="24"/>
          <w:szCs w:val="24"/>
          <w:lang w:val="sr-Latn-ME"/>
        </w:rPr>
      </w:pPr>
      <w:r>
        <w:rPr>
          <w:rFonts w:cs="Arial"/>
          <w:color w:val="000000" w:themeColor="text1"/>
          <w:sz w:val="24"/>
          <w:szCs w:val="24"/>
          <w:lang w:val="sr-Latn-ME"/>
        </w:rPr>
        <w:t xml:space="preserve">Uzroci </w:t>
      </w:r>
      <w:r w:rsidR="00956732">
        <w:rPr>
          <w:rFonts w:cs="Arial"/>
          <w:color w:val="000000" w:themeColor="text1"/>
          <w:sz w:val="24"/>
          <w:szCs w:val="24"/>
          <w:lang w:val="sr-Latn-ME"/>
        </w:rPr>
        <w:t xml:space="preserve">ove </w:t>
      </w:r>
      <w:r>
        <w:rPr>
          <w:rFonts w:cs="Arial"/>
          <w:color w:val="000000" w:themeColor="text1"/>
          <w:sz w:val="24"/>
          <w:szCs w:val="24"/>
          <w:lang w:val="sr-Latn-ME"/>
        </w:rPr>
        <w:t>pojave problema u ponašanju kod djece su odnosi u porodici, vaspitne metode, nedostatak koordinacije između relevantnih institucija u prevenciji, identifikaciji žrtava i pružanju podrške.</w:t>
      </w:r>
      <w:r w:rsidR="00607BF1">
        <w:rPr>
          <w:rFonts w:cs="Arial"/>
          <w:color w:val="000000" w:themeColor="text1"/>
          <w:sz w:val="24"/>
          <w:szCs w:val="24"/>
          <w:lang w:val="sr-Latn-ME"/>
        </w:rPr>
        <w:t xml:space="preserve"> </w:t>
      </w:r>
      <w:r w:rsidR="005E7282" w:rsidRPr="005E7282">
        <w:rPr>
          <w:sz w:val="24"/>
          <w:szCs w:val="24"/>
        </w:rPr>
        <w:t xml:space="preserve">Posebnu pažnju u narednom periodu potrebno je usmjeriti na djecu korisnike droga te one koji ispoljavaju različite oblike hemijske i nehemijske zavisnosti, prvenstveno jer nam različita istraživanja ukazuju na povećanje broja djece koja počinju sa korišćenjem psihoaktivnih supstanci u najranijem uzrastu. S tim u sprezi je povećan broj krivičnih dijela koja vrše djeca zbog pribavljanja sredstava zarad nabavke droga ili pod dejstvom istih. U Crnoj Gori po ESPAD istraživanju, koje je spovedeno 2019. godine, više nego jedan u deset učenika (11%) koristio je neku ilegalnu drogu do svoje šesnaeste godine – 14% dječaci i 8% djevojčice. </w:t>
      </w:r>
      <w:r w:rsidR="005E7282" w:rsidRPr="005E7282">
        <w:rPr>
          <w:color w:val="000000"/>
          <w:sz w:val="24"/>
          <w:szCs w:val="24"/>
        </w:rPr>
        <w:t>Ovom problemu se treba pristupiti na jedan multidisciplinaran način, gdje postoji potreba uključivanja i angažovanja stručnjaka različitih profila</w:t>
      </w:r>
      <w:r w:rsidR="005E7282">
        <w:rPr>
          <w:color w:val="000000"/>
          <w:sz w:val="24"/>
          <w:szCs w:val="24"/>
        </w:rPr>
        <w:t>.</w:t>
      </w:r>
    </w:p>
    <w:p w14:paraId="2DC9F2DC" w14:textId="77777777" w:rsidR="005E7282" w:rsidRDefault="005E7282" w:rsidP="00780738">
      <w:pPr>
        <w:jc w:val="both"/>
        <w:rPr>
          <w:rFonts w:cs="Arial"/>
          <w:color w:val="000000" w:themeColor="text1"/>
          <w:sz w:val="24"/>
          <w:szCs w:val="24"/>
          <w:lang w:val="sr-Latn-ME"/>
        </w:rPr>
      </w:pPr>
    </w:p>
    <w:p w14:paraId="3776B29F" w14:textId="77777777" w:rsidR="00795C52" w:rsidRPr="00F96844" w:rsidRDefault="00795C52" w:rsidP="00780738">
      <w:pPr>
        <w:jc w:val="both"/>
        <w:rPr>
          <w:rFonts w:cs="Arial"/>
          <w:color w:val="000000" w:themeColor="text1"/>
          <w:sz w:val="24"/>
          <w:szCs w:val="24"/>
          <w:lang w:val="sr-Latn-ME"/>
        </w:rPr>
      </w:pPr>
    </w:p>
    <w:p w14:paraId="5FAF54CA" w14:textId="77777777" w:rsidR="002B4243" w:rsidRPr="00F96844" w:rsidRDefault="002B4243" w:rsidP="00780738">
      <w:pPr>
        <w:jc w:val="both"/>
        <w:rPr>
          <w:rFonts w:cs="Arial"/>
          <w:sz w:val="24"/>
          <w:szCs w:val="24"/>
          <w:lang w:val="sr-Latn-ME"/>
        </w:rPr>
      </w:pPr>
      <w:r w:rsidRPr="00F96844">
        <w:rPr>
          <w:rFonts w:cs="Arial"/>
          <w:b/>
          <w:sz w:val="24"/>
          <w:szCs w:val="24"/>
          <w:lang w:val="sr-Latn-ME"/>
        </w:rPr>
        <w:t>Lica</w:t>
      </w:r>
      <w:r w:rsidR="00867803">
        <w:rPr>
          <w:rFonts w:cs="Arial"/>
          <w:b/>
          <w:sz w:val="24"/>
          <w:szCs w:val="24"/>
          <w:lang w:val="sr-Latn-ME"/>
        </w:rPr>
        <w:t xml:space="preserve"> s i</w:t>
      </w:r>
      <w:r w:rsidRPr="00F96844">
        <w:rPr>
          <w:rFonts w:cs="Arial"/>
          <w:b/>
          <w:sz w:val="24"/>
          <w:szCs w:val="24"/>
          <w:lang w:val="sr-Latn-ME"/>
        </w:rPr>
        <w:t>nvaliditetom</w:t>
      </w:r>
      <w:r w:rsidR="00341F98" w:rsidRPr="00F96844">
        <w:rPr>
          <w:rFonts w:cs="Arial"/>
          <w:b/>
          <w:sz w:val="24"/>
          <w:szCs w:val="24"/>
          <w:lang w:val="sr-Latn-ME"/>
        </w:rPr>
        <w:t>:</w:t>
      </w:r>
      <w:r w:rsidRPr="00F96844">
        <w:rPr>
          <w:rFonts w:cs="Arial"/>
          <w:b/>
          <w:sz w:val="24"/>
          <w:szCs w:val="24"/>
          <w:lang w:val="sr-Latn-ME"/>
        </w:rPr>
        <w:t xml:space="preserve"> </w:t>
      </w:r>
      <w:r w:rsidRPr="00F96844">
        <w:rPr>
          <w:rFonts w:cs="Arial"/>
          <w:sz w:val="24"/>
          <w:szCs w:val="24"/>
          <w:lang w:val="sr-Latn-ME"/>
        </w:rPr>
        <w:t>Prema podacima Svjetske zdravstvene organizacije iz 2022. godine</w:t>
      </w:r>
      <w:r w:rsidR="004D3D4A">
        <w:rPr>
          <w:rFonts w:cs="Arial"/>
          <w:sz w:val="24"/>
          <w:szCs w:val="24"/>
          <w:lang w:val="sr-Latn-ME"/>
        </w:rPr>
        <w:t>,</w:t>
      </w:r>
      <w:r w:rsidRPr="00F96844">
        <w:rPr>
          <w:rFonts w:cs="Arial"/>
          <w:sz w:val="24"/>
          <w:szCs w:val="24"/>
          <w:lang w:val="sr-Latn-ME"/>
        </w:rPr>
        <w:t xml:space="preserve"> procenat lica koja imaju invaliditet je 16%.</w:t>
      </w:r>
      <w:r w:rsidRPr="00F96844">
        <w:rPr>
          <w:rFonts w:cs="Arial"/>
          <w:b/>
          <w:sz w:val="24"/>
          <w:szCs w:val="24"/>
          <w:lang w:val="sr-Latn-ME"/>
        </w:rPr>
        <w:t xml:space="preserve"> </w:t>
      </w:r>
      <w:r w:rsidRPr="00F96844">
        <w:rPr>
          <w:rFonts w:cs="Arial"/>
          <w:sz w:val="24"/>
          <w:szCs w:val="24"/>
          <w:lang w:val="sr-Latn-ME"/>
        </w:rPr>
        <w:t>Pošto je popis u Crnoj Gori održan krajem 2023. godine</w:t>
      </w:r>
      <w:r w:rsidR="004D3D4A">
        <w:rPr>
          <w:rFonts w:cs="Arial"/>
          <w:sz w:val="24"/>
          <w:szCs w:val="24"/>
          <w:lang w:val="sr-Latn-ME"/>
        </w:rPr>
        <w:t>,</w:t>
      </w:r>
      <w:r w:rsidRPr="00F96844">
        <w:rPr>
          <w:rFonts w:cs="Arial"/>
          <w:sz w:val="24"/>
          <w:szCs w:val="24"/>
          <w:lang w:val="sr-Latn-ME"/>
        </w:rPr>
        <w:t xml:space="preserve"> podaci o broju </w:t>
      </w:r>
      <w:r w:rsidRPr="00CE4DC0">
        <w:rPr>
          <w:rFonts w:cs="Arial"/>
          <w:sz w:val="24"/>
          <w:szCs w:val="24"/>
          <w:lang w:val="sr-Latn-ME"/>
        </w:rPr>
        <w:t>lica</w:t>
      </w:r>
      <w:r w:rsidR="00867803">
        <w:rPr>
          <w:rFonts w:cs="Arial"/>
          <w:sz w:val="24"/>
          <w:szCs w:val="24"/>
          <w:lang w:val="sr-Latn-ME"/>
        </w:rPr>
        <w:t xml:space="preserve"> s i</w:t>
      </w:r>
      <w:r w:rsidRPr="00CE4DC0">
        <w:rPr>
          <w:rFonts w:cs="Arial"/>
          <w:sz w:val="24"/>
          <w:szCs w:val="24"/>
          <w:lang w:val="sr-Latn-ME"/>
        </w:rPr>
        <w:t>nvaliditetom još uvijek</w:t>
      </w:r>
      <w:r w:rsidRPr="00F96844">
        <w:rPr>
          <w:rFonts w:cs="Arial"/>
          <w:sz w:val="24"/>
          <w:szCs w:val="24"/>
          <w:lang w:val="sr-Latn-ME"/>
        </w:rPr>
        <w:t xml:space="preserve"> nisu ažurirani. Prema dostupnim podacima MONSTAT-a, od ukupnog broja stanovnika Crne Gore (popis 2011.</w:t>
      </w:r>
      <w:r w:rsidR="00536AB2">
        <w:rPr>
          <w:rFonts w:cs="Arial"/>
          <w:sz w:val="24"/>
          <w:szCs w:val="24"/>
          <w:lang w:val="sr-Latn-ME"/>
        </w:rPr>
        <w:t xml:space="preserve"> </w:t>
      </w:r>
      <w:r w:rsidRPr="00F96844">
        <w:rPr>
          <w:rFonts w:cs="Arial"/>
          <w:sz w:val="24"/>
          <w:szCs w:val="24"/>
          <w:lang w:val="sr-Latn-ME"/>
        </w:rPr>
        <w:t>god.), 11% (68.064) njih</w:t>
      </w:r>
      <w:r w:rsidR="004D3D4A">
        <w:rPr>
          <w:rFonts w:cs="Arial"/>
          <w:sz w:val="24"/>
          <w:szCs w:val="24"/>
          <w:lang w:val="sr-Latn-ME"/>
        </w:rPr>
        <w:t xml:space="preserve"> se</w:t>
      </w:r>
      <w:r w:rsidRPr="00F96844">
        <w:rPr>
          <w:rFonts w:cs="Arial"/>
          <w:sz w:val="24"/>
          <w:szCs w:val="24"/>
          <w:lang w:val="sr-Latn-ME"/>
        </w:rPr>
        <w:t xml:space="preserve"> suočava s preprekama pri obavljanju svakodnevnih aktivnosti uzrokovanih dugotrajnom bolešću, invaliditetom i starošću. Lica s invaliditetom u Crnoj Gori suočavaju se s brojnim preprekama i diskriminacijom u svakodnevnom životu.</w:t>
      </w:r>
      <w:r w:rsidRPr="00F96844">
        <w:rPr>
          <w:rFonts w:cs="Arial"/>
          <w:sz w:val="24"/>
          <w:szCs w:val="24"/>
          <w:vertAlign w:val="superscript"/>
          <w:lang w:val="sr-Latn-ME"/>
        </w:rPr>
        <w:footnoteReference w:id="59"/>
      </w:r>
      <w:r w:rsidRPr="00F96844">
        <w:rPr>
          <w:rFonts w:cs="Arial"/>
          <w:sz w:val="24"/>
          <w:szCs w:val="24"/>
          <w:lang w:val="sr-Latn-ME"/>
        </w:rPr>
        <w:t xml:space="preserve"> Mnoga lica</w:t>
      </w:r>
      <w:r w:rsidR="00867803">
        <w:rPr>
          <w:rFonts w:cs="Arial"/>
          <w:sz w:val="24"/>
          <w:szCs w:val="24"/>
          <w:lang w:val="sr-Latn-ME"/>
        </w:rPr>
        <w:t xml:space="preserve"> s i</w:t>
      </w:r>
      <w:r w:rsidRPr="00F96844">
        <w:rPr>
          <w:rFonts w:cs="Arial"/>
          <w:sz w:val="24"/>
          <w:szCs w:val="24"/>
          <w:lang w:val="sr-Latn-ME"/>
        </w:rPr>
        <w:t xml:space="preserve">nvaliditetom su nezaposlena ili imaju poteškoća u pristupu odgovarajućim </w:t>
      </w:r>
      <w:r w:rsidRPr="00F96844">
        <w:rPr>
          <w:rFonts w:cs="Arial"/>
          <w:sz w:val="24"/>
          <w:szCs w:val="24"/>
          <w:lang w:val="sr-Latn-ME"/>
        </w:rPr>
        <w:lastRenderedPageBreak/>
        <w:t>poslovima.</w:t>
      </w:r>
      <w:r w:rsidRPr="00F96844">
        <w:rPr>
          <w:rFonts w:cs="Arial"/>
          <w:sz w:val="24"/>
          <w:szCs w:val="24"/>
          <w:vertAlign w:val="superscript"/>
          <w:lang w:val="sr-Latn-ME"/>
        </w:rPr>
        <w:footnoteReference w:id="60"/>
      </w:r>
      <w:r w:rsidRPr="00F96844">
        <w:rPr>
          <w:rFonts w:cs="Arial"/>
          <w:sz w:val="24"/>
          <w:szCs w:val="24"/>
          <w:lang w:val="sr-Latn-ME"/>
        </w:rPr>
        <w:t xml:space="preserve"> Broj lica</w:t>
      </w:r>
      <w:r w:rsidR="00867803">
        <w:rPr>
          <w:rFonts w:cs="Arial"/>
          <w:sz w:val="24"/>
          <w:szCs w:val="24"/>
          <w:lang w:val="sr-Latn-ME"/>
        </w:rPr>
        <w:t xml:space="preserve"> s i</w:t>
      </w:r>
      <w:r w:rsidRPr="00F96844">
        <w:rPr>
          <w:rFonts w:cs="Arial"/>
          <w:sz w:val="24"/>
          <w:szCs w:val="24"/>
          <w:lang w:val="sr-Latn-ME"/>
        </w:rPr>
        <w:t>nvaliditetom uvrštenih na evidenciju nezaposlenih na kraju 2023. godine bio je 9.522, od čega je 59</w:t>
      </w:r>
      <w:r w:rsidR="00EF5729">
        <w:rPr>
          <w:rFonts w:cs="Arial"/>
          <w:sz w:val="24"/>
          <w:szCs w:val="24"/>
          <w:lang w:val="sr-Latn-ME"/>
        </w:rPr>
        <w:t xml:space="preserve">% </w:t>
      </w:r>
      <w:r w:rsidRPr="00F96844">
        <w:rPr>
          <w:rFonts w:cs="Arial"/>
          <w:sz w:val="24"/>
          <w:szCs w:val="24"/>
          <w:lang w:val="sr-Latn-ME"/>
        </w:rPr>
        <w:t xml:space="preserve">žena. </w:t>
      </w:r>
      <w:r w:rsidR="00C25318" w:rsidRPr="00CE4DC0">
        <w:rPr>
          <w:rFonts w:cs="Arial"/>
          <w:sz w:val="24"/>
          <w:szCs w:val="24"/>
        </w:rPr>
        <w:t>Žene</w:t>
      </w:r>
      <w:r w:rsidR="00867803">
        <w:rPr>
          <w:rFonts w:cs="Arial"/>
          <w:sz w:val="24"/>
          <w:szCs w:val="24"/>
        </w:rPr>
        <w:t xml:space="preserve"> s i</w:t>
      </w:r>
      <w:r w:rsidR="00C25318" w:rsidRPr="00CE4DC0">
        <w:rPr>
          <w:rFonts w:cs="Arial"/>
          <w:sz w:val="24"/>
          <w:szCs w:val="24"/>
        </w:rPr>
        <w:t>nvaliditetom su posebno izložene siromaštvu, jer su naročito pogođene nezaposlenošću, i zato što se njihove zarade i/ili naknade koje primaju često dijele ili ih koriste u potpunosti njihove porodice.</w:t>
      </w:r>
      <w:r w:rsidR="00C25318" w:rsidRPr="00CE4DC0">
        <w:rPr>
          <w:rFonts w:cs="Arial"/>
          <w:sz w:val="24"/>
          <w:szCs w:val="24"/>
          <w:vertAlign w:val="superscript"/>
        </w:rPr>
        <w:footnoteReference w:id="61"/>
      </w:r>
      <w:r w:rsidR="00C25318" w:rsidRPr="00C25318">
        <w:rPr>
          <w:rFonts w:cs="Arial"/>
          <w:sz w:val="24"/>
          <w:szCs w:val="24"/>
        </w:rPr>
        <w:t xml:space="preserve"> </w:t>
      </w:r>
      <w:r w:rsidRPr="00F96844">
        <w:rPr>
          <w:rFonts w:cs="Arial"/>
          <w:sz w:val="24"/>
          <w:szCs w:val="24"/>
          <w:lang w:val="sr-Latn-ME"/>
        </w:rPr>
        <w:t xml:space="preserve">U narednom periodu je potrebno staviti veći akcenat na </w:t>
      </w:r>
      <w:r w:rsidR="00252337">
        <w:rPr>
          <w:rFonts w:cs="Arial"/>
          <w:sz w:val="24"/>
          <w:szCs w:val="24"/>
          <w:lang w:val="sr-Latn-ME"/>
        </w:rPr>
        <w:t>unapređenj</w:t>
      </w:r>
      <w:r w:rsidR="004D3D4A">
        <w:rPr>
          <w:rFonts w:cs="Arial"/>
          <w:sz w:val="24"/>
          <w:szCs w:val="24"/>
          <w:lang w:val="sr-Latn-ME"/>
        </w:rPr>
        <w:t>e</w:t>
      </w:r>
      <w:r w:rsidR="00252337">
        <w:rPr>
          <w:rFonts w:cs="Arial"/>
          <w:sz w:val="24"/>
          <w:szCs w:val="24"/>
          <w:lang w:val="sr-Latn-ME"/>
        </w:rPr>
        <w:t xml:space="preserve"> uslova za</w:t>
      </w:r>
      <w:r w:rsidRPr="00F96844">
        <w:rPr>
          <w:rFonts w:cs="Arial"/>
          <w:sz w:val="24"/>
          <w:szCs w:val="24"/>
          <w:lang w:val="sr-Latn-ME"/>
        </w:rPr>
        <w:t xml:space="preserve"> samostalan život i veći nivo inkluzije u zajednicu. </w:t>
      </w:r>
    </w:p>
    <w:p w14:paraId="6454B56D" w14:textId="77777777" w:rsidR="00341F98" w:rsidRPr="00F96844" w:rsidRDefault="00341F98" w:rsidP="00780738">
      <w:pPr>
        <w:jc w:val="both"/>
        <w:rPr>
          <w:rFonts w:cs="Arial"/>
          <w:sz w:val="24"/>
          <w:szCs w:val="24"/>
          <w:lang w:val="sr-Latn-ME"/>
        </w:rPr>
      </w:pPr>
    </w:p>
    <w:p w14:paraId="20C113F4" w14:textId="77777777" w:rsidR="002B4243" w:rsidRPr="00F96844" w:rsidRDefault="002B4243" w:rsidP="00780738">
      <w:pPr>
        <w:jc w:val="both"/>
        <w:rPr>
          <w:rFonts w:cs="Arial"/>
          <w:sz w:val="24"/>
          <w:szCs w:val="24"/>
          <w:lang w:val="sr-Latn-ME"/>
        </w:rPr>
      </w:pPr>
      <w:r w:rsidRPr="00F96844">
        <w:rPr>
          <w:rFonts w:cs="Arial"/>
          <w:sz w:val="24"/>
          <w:szCs w:val="24"/>
          <w:lang w:val="sr-Latn-ME"/>
        </w:rPr>
        <w:t>Vlada Crne Gore, uz podršku UNDP i Delegacije EU</w:t>
      </w:r>
      <w:r w:rsidR="00252337">
        <w:rPr>
          <w:rFonts w:cs="Arial"/>
          <w:sz w:val="24"/>
          <w:szCs w:val="24"/>
          <w:lang w:val="sr-Latn-ME"/>
        </w:rPr>
        <w:t xml:space="preserve"> u Crnoj Gori</w:t>
      </w:r>
      <w:r w:rsidRPr="00F96844">
        <w:rPr>
          <w:rFonts w:cs="Arial"/>
          <w:sz w:val="24"/>
          <w:szCs w:val="24"/>
          <w:lang w:val="sr-Latn-ME"/>
        </w:rPr>
        <w:t>, sprovodi sveukupnu reformu nacionalnog sistema vještačenja invaliditeta</w:t>
      </w:r>
      <w:r w:rsidR="006F76B0">
        <w:rPr>
          <w:rFonts w:cs="Arial"/>
          <w:sz w:val="24"/>
          <w:szCs w:val="24"/>
          <w:lang w:val="sr-Latn-ME"/>
        </w:rPr>
        <w:t>.</w:t>
      </w:r>
      <w:r w:rsidRPr="00F96844">
        <w:rPr>
          <w:rFonts w:cs="Arial"/>
          <w:sz w:val="24"/>
          <w:szCs w:val="24"/>
          <w:lang w:val="sr-Latn-ME"/>
        </w:rPr>
        <w:t xml:space="preserve"> Ovom reformom biće uvedena nova metodologija za vještačenje invaliditeta</w:t>
      </w:r>
      <w:r w:rsidR="004D3D4A">
        <w:rPr>
          <w:rFonts w:cs="Arial"/>
          <w:sz w:val="24"/>
          <w:szCs w:val="24"/>
          <w:lang w:val="sr-Latn-ME"/>
        </w:rPr>
        <w:t>,</w:t>
      </w:r>
      <w:r w:rsidRPr="00F96844">
        <w:rPr>
          <w:rFonts w:cs="Arial"/>
          <w:sz w:val="24"/>
          <w:szCs w:val="24"/>
          <w:lang w:val="sr-Latn-ME"/>
        </w:rPr>
        <w:t xml:space="preserve"> zasnovana na modelu ljudskih prava. U postojećem sistemu u okviru pet resora funkcioniše više od 35 komisija, pri čemu svi resori imaju svoje komisije</w:t>
      </w:r>
      <w:r w:rsidR="000B2A93">
        <w:rPr>
          <w:rFonts w:cs="Arial"/>
          <w:sz w:val="24"/>
          <w:szCs w:val="24"/>
          <w:lang w:val="sr-Latn-ME"/>
        </w:rPr>
        <w:t>,</w:t>
      </w:r>
      <w:r w:rsidRPr="00F96844">
        <w:rPr>
          <w:rFonts w:cs="Arial"/>
          <w:sz w:val="24"/>
          <w:szCs w:val="24"/>
          <w:lang w:val="sr-Latn-ME"/>
        </w:rPr>
        <w:t xml:space="preserve"> kao i kriterijume koji su dominantno zasnovani na medicinskom pristupu invaliditetu (oboljenja i zdravstvenog stanja). Postojeći pravni okvir funkcioniše na osnovu pet zakona i 17 podzakonskih akata. </w:t>
      </w:r>
      <w:r w:rsidR="006F76B0">
        <w:rPr>
          <w:rFonts w:cs="Arial"/>
          <w:sz w:val="24"/>
          <w:szCs w:val="24"/>
          <w:lang w:val="sr-Latn-ME"/>
        </w:rPr>
        <w:t xml:space="preserve">Reforma sistema vještačenja invaliditeta će doprinijeti </w:t>
      </w:r>
      <w:r w:rsidR="006F76B0" w:rsidRPr="00F96844">
        <w:rPr>
          <w:rFonts w:cs="Arial"/>
          <w:sz w:val="24"/>
          <w:szCs w:val="24"/>
          <w:lang w:val="sr-Latn-ME"/>
        </w:rPr>
        <w:t>uspostavljanj</w:t>
      </w:r>
      <w:r w:rsidR="006F76B0">
        <w:rPr>
          <w:rFonts w:cs="Arial"/>
          <w:sz w:val="24"/>
          <w:szCs w:val="24"/>
          <w:lang w:val="sr-Latn-ME"/>
        </w:rPr>
        <w:t>u</w:t>
      </w:r>
      <w:r w:rsidR="006F76B0" w:rsidRPr="00F96844">
        <w:rPr>
          <w:rFonts w:cs="Arial"/>
          <w:sz w:val="24"/>
          <w:szCs w:val="24"/>
          <w:lang w:val="sr-Latn-ME"/>
        </w:rPr>
        <w:t xml:space="preserve"> pravednijeg, ravnopravnijeg i jednostavn</w:t>
      </w:r>
      <w:r w:rsidR="006F76B0">
        <w:rPr>
          <w:rFonts w:cs="Arial"/>
          <w:sz w:val="24"/>
          <w:szCs w:val="24"/>
          <w:lang w:val="sr-Latn-ME"/>
        </w:rPr>
        <w:t>ije</w:t>
      </w:r>
      <w:r w:rsidR="006F76B0" w:rsidRPr="00F96844">
        <w:rPr>
          <w:rFonts w:cs="Arial"/>
          <w:sz w:val="24"/>
          <w:szCs w:val="24"/>
          <w:lang w:val="sr-Latn-ME"/>
        </w:rPr>
        <w:t>g pristup</w:t>
      </w:r>
      <w:r w:rsidR="006F76B0">
        <w:rPr>
          <w:rFonts w:cs="Arial"/>
          <w:sz w:val="24"/>
          <w:szCs w:val="24"/>
          <w:lang w:val="sr-Latn-ME"/>
        </w:rPr>
        <w:t>a</w:t>
      </w:r>
      <w:r w:rsidR="006F76B0" w:rsidRPr="00F96844">
        <w:rPr>
          <w:rFonts w:cs="Arial"/>
          <w:sz w:val="24"/>
          <w:szCs w:val="24"/>
          <w:lang w:val="sr-Latn-ME"/>
        </w:rPr>
        <w:t xml:space="preserve"> pravima na novčanu podršku i uslug</w:t>
      </w:r>
      <w:r w:rsidR="006F76B0">
        <w:rPr>
          <w:rFonts w:cs="Arial"/>
          <w:sz w:val="24"/>
          <w:szCs w:val="24"/>
          <w:lang w:val="sr-Latn-ME"/>
        </w:rPr>
        <w:t>ama</w:t>
      </w:r>
      <w:r w:rsidR="006F76B0" w:rsidRPr="00F96844">
        <w:rPr>
          <w:rFonts w:cs="Arial"/>
          <w:sz w:val="24"/>
          <w:szCs w:val="24"/>
          <w:lang w:val="sr-Latn-ME"/>
        </w:rPr>
        <w:t xml:space="preserve"> namijenjen</w:t>
      </w:r>
      <w:r w:rsidR="006F76B0">
        <w:rPr>
          <w:rFonts w:cs="Arial"/>
          <w:sz w:val="24"/>
          <w:szCs w:val="24"/>
          <w:lang w:val="sr-Latn-ME"/>
        </w:rPr>
        <w:t>i</w:t>
      </w:r>
      <w:r w:rsidR="004D3D4A">
        <w:rPr>
          <w:rFonts w:cs="Arial"/>
          <w:sz w:val="24"/>
          <w:szCs w:val="24"/>
          <w:lang w:val="sr-Latn-ME"/>
        </w:rPr>
        <w:t>m</w:t>
      </w:r>
      <w:r w:rsidR="006F76B0" w:rsidRPr="00F96844">
        <w:rPr>
          <w:rFonts w:cs="Arial"/>
          <w:sz w:val="24"/>
          <w:szCs w:val="24"/>
          <w:lang w:val="sr-Latn-ME"/>
        </w:rPr>
        <w:t xml:space="preserve"> licima</w:t>
      </w:r>
      <w:r w:rsidR="00867803">
        <w:rPr>
          <w:rFonts w:cs="Arial"/>
          <w:sz w:val="24"/>
          <w:szCs w:val="24"/>
          <w:lang w:val="sr-Latn-ME"/>
        </w:rPr>
        <w:t xml:space="preserve"> s i</w:t>
      </w:r>
      <w:r w:rsidR="006F76B0" w:rsidRPr="00F96844">
        <w:rPr>
          <w:rFonts w:cs="Arial"/>
          <w:sz w:val="24"/>
          <w:szCs w:val="24"/>
          <w:lang w:val="sr-Latn-ME"/>
        </w:rPr>
        <w:t>nvaliditetom.</w:t>
      </w:r>
    </w:p>
    <w:p w14:paraId="2A274D0F" w14:textId="77777777" w:rsidR="00341F98" w:rsidRPr="00F96844" w:rsidRDefault="00341F98" w:rsidP="00780738">
      <w:pPr>
        <w:jc w:val="both"/>
        <w:rPr>
          <w:rFonts w:cs="Arial"/>
          <w:b/>
          <w:bCs/>
          <w:sz w:val="24"/>
          <w:szCs w:val="24"/>
          <w:lang w:val="sr-Latn-ME"/>
        </w:rPr>
      </w:pPr>
    </w:p>
    <w:p w14:paraId="40C414FC" w14:textId="77777777" w:rsidR="002B4243" w:rsidRDefault="002B4243" w:rsidP="00780738">
      <w:pPr>
        <w:jc w:val="both"/>
        <w:rPr>
          <w:rFonts w:cs="Arial"/>
          <w:sz w:val="24"/>
          <w:szCs w:val="24"/>
          <w:lang w:val="sr-Latn-ME"/>
        </w:rPr>
      </w:pPr>
      <w:r w:rsidRPr="00F96844">
        <w:rPr>
          <w:rFonts w:cs="Arial"/>
          <w:b/>
          <w:sz w:val="24"/>
          <w:szCs w:val="24"/>
          <w:lang w:val="sr-Latn-ME"/>
        </w:rPr>
        <w:t xml:space="preserve">Starija lica: </w:t>
      </w:r>
      <w:r w:rsidRPr="00F96844">
        <w:rPr>
          <w:rFonts w:cs="Arial"/>
          <w:sz w:val="24"/>
          <w:szCs w:val="24"/>
          <w:lang w:val="sr-Latn-ME"/>
        </w:rPr>
        <w:t>Rezultati Zavoda za statistiku Crne Gore (Monstat)</w:t>
      </w:r>
      <w:r w:rsidR="00D443FE">
        <w:rPr>
          <w:rFonts w:cs="Arial"/>
          <w:sz w:val="24"/>
          <w:szCs w:val="24"/>
          <w:lang w:val="sr-Latn-ME"/>
        </w:rPr>
        <w:t xml:space="preserve"> </w:t>
      </w:r>
      <w:r w:rsidRPr="00F96844">
        <w:rPr>
          <w:rFonts w:cs="Arial"/>
          <w:sz w:val="24"/>
          <w:szCs w:val="24"/>
          <w:lang w:val="sr-Latn-ME"/>
        </w:rPr>
        <w:t xml:space="preserve">o </w:t>
      </w:r>
      <w:r w:rsidR="00B2712A" w:rsidRPr="00B2712A">
        <w:rPr>
          <w:rFonts w:cs="Arial"/>
          <w:sz w:val="24"/>
          <w:szCs w:val="24"/>
          <w:lang w:val="sr-Latn-ME"/>
        </w:rPr>
        <w:t>Popis</w:t>
      </w:r>
      <w:r w:rsidR="003C5CED">
        <w:rPr>
          <w:rFonts w:cs="Arial"/>
          <w:sz w:val="24"/>
          <w:szCs w:val="24"/>
          <w:lang w:val="sr-Latn-ME"/>
        </w:rPr>
        <w:t>u</w:t>
      </w:r>
      <w:r w:rsidR="00B2712A" w:rsidRPr="00B2712A">
        <w:rPr>
          <w:rFonts w:cs="Arial"/>
          <w:sz w:val="24"/>
          <w:szCs w:val="24"/>
          <w:lang w:val="sr-Latn-ME"/>
        </w:rPr>
        <w:t xml:space="preserve"> stanovništva, domaćinstava i stanova</w:t>
      </w:r>
      <w:r w:rsidR="00B2712A">
        <w:rPr>
          <w:rFonts w:cs="Arial"/>
          <w:sz w:val="24"/>
          <w:szCs w:val="24"/>
          <w:lang w:val="sr-Latn-ME"/>
        </w:rPr>
        <w:t xml:space="preserve"> </w:t>
      </w:r>
      <w:r w:rsidRPr="00F96844">
        <w:rPr>
          <w:rFonts w:cs="Arial"/>
          <w:sz w:val="24"/>
          <w:szCs w:val="24"/>
          <w:lang w:val="sr-Latn-ME"/>
        </w:rPr>
        <w:t>Crne Gore iz 2011. godine pokazali su nastavak trendova starenja crnogorskog stanovništva. U Crnoj Gori je 2011. godine bilo ukupno 620.029 stanovnika, od čega su 50,6% ili 313.793 žene, a 49,4% ili 306.236 muškarci. Prosječna starost stanovništva Crne Gore je 37 godina, žene u prosjeku imaju 38, a muškarci 36 godina.</w:t>
      </w:r>
      <w:r w:rsidR="008C0F7F">
        <w:rPr>
          <w:rStyle w:val="FootnoteReference"/>
          <w:rFonts w:cs="Arial"/>
          <w:sz w:val="24"/>
          <w:szCs w:val="24"/>
          <w:lang w:val="sr-Latn-ME"/>
        </w:rPr>
        <w:footnoteReference w:id="62"/>
      </w:r>
      <w:r w:rsidRPr="00F96844">
        <w:rPr>
          <w:rFonts w:cs="Arial"/>
          <w:sz w:val="24"/>
          <w:szCs w:val="24"/>
          <w:lang w:val="sr-Latn-ME"/>
        </w:rPr>
        <w:t xml:space="preserve"> Povećan broj starijih osoba u Crnoj Gori uvećava potrebu da se odgovori na specifične izazove u poštovanju njihovih ljudskih prava. Stariji mogu biti posebno osjetljivi kada je u pitanju siromaštvo, lošije zdravstveno stanje, zanemarivanje, koje može rezultirati nekim oblikom nasilja, a koje se najčešće dešava u porodici. Sistem usluga socijalne zaštite usmjerenih ka starijima, danas je u Crnoj Gori razvijeniji i sadržajniji, što se svakako mora smatrati unapređenjem. Zbog kompleksnih promjena u starosti, u zajednici je sve izraženija potreba za uvođenjem integrisanih usluga, kako bi se na što kvalitetniji način odgovorilo na potrebe starijih korisnika.</w:t>
      </w:r>
      <w:r w:rsidR="00E25B9C" w:rsidRPr="00F96844">
        <w:rPr>
          <w:rFonts w:cs="Arial"/>
          <w:sz w:val="24"/>
          <w:szCs w:val="24"/>
          <w:lang w:val="sr-Latn-ME"/>
        </w:rPr>
        <w:t xml:space="preserve"> </w:t>
      </w:r>
      <w:r w:rsidR="00FF7EE9" w:rsidRPr="00FF7EE9">
        <w:rPr>
          <w:sz w:val="24"/>
          <w:szCs w:val="24"/>
        </w:rPr>
        <w:t>Neophodno je poseban akcenat  staviti na izazove sa kojim se suočavaju starija lica u ruralnim područima u kojim je evidentan porast starenja stanovništva, a nedovoljan razvijen sistem usluga podrške</w:t>
      </w:r>
      <w:r w:rsidR="00FF7EE9">
        <w:rPr>
          <w:sz w:val="24"/>
          <w:szCs w:val="24"/>
        </w:rPr>
        <w:t>.</w:t>
      </w:r>
    </w:p>
    <w:p w14:paraId="3D65EDE6" w14:textId="77777777" w:rsidR="00780738" w:rsidRPr="00F96844" w:rsidRDefault="00780738" w:rsidP="00780738">
      <w:pPr>
        <w:jc w:val="both"/>
        <w:rPr>
          <w:rFonts w:cs="Arial"/>
          <w:sz w:val="24"/>
          <w:szCs w:val="24"/>
          <w:lang w:val="sr-Latn-ME"/>
        </w:rPr>
      </w:pPr>
    </w:p>
    <w:p w14:paraId="0A646F0B" w14:textId="77777777" w:rsidR="00BC2A76" w:rsidRPr="00002CE3" w:rsidRDefault="002B4243" w:rsidP="00780738">
      <w:pPr>
        <w:jc w:val="both"/>
        <w:rPr>
          <w:rFonts w:cs="Arial"/>
          <w:sz w:val="24"/>
          <w:szCs w:val="24"/>
          <w:lang w:val="sr-Latn-ME"/>
        </w:rPr>
      </w:pPr>
      <w:r w:rsidRPr="00F96844">
        <w:rPr>
          <w:rFonts w:cs="Arial"/>
          <w:b/>
          <w:bCs/>
          <w:sz w:val="24"/>
          <w:szCs w:val="24"/>
          <w:lang w:val="sr-Latn-ME"/>
        </w:rPr>
        <w:t>Romi i Egipćani:</w:t>
      </w:r>
      <w:r w:rsidRPr="00F96844">
        <w:rPr>
          <w:rFonts w:cs="Arial"/>
          <w:sz w:val="24"/>
          <w:szCs w:val="24"/>
          <w:lang w:val="sr-Latn-ME"/>
        </w:rPr>
        <w:t xml:space="preserve"> </w:t>
      </w:r>
      <w:r w:rsidR="00DD706A" w:rsidRPr="00F96844">
        <w:rPr>
          <w:rFonts w:cs="Arial"/>
          <w:sz w:val="24"/>
          <w:szCs w:val="24"/>
          <w:lang w:val="sr-Latn-ME"/>
        </w:rPr>
        <w:t xml:space="preserve">Prema podacima iz </w:t>
      </w:r>
      <w:r w:rsidR="00DD706A" w:rsidRPr="00D443FE">
        <w:rPr>
          <w:rFonts w:cs="Arial"/>
          <w:sz w:val="24"/>
          <w:szCs w:val="24"/>
          <w:lang w:val="sr-Latn-ME"/>
        </w:rPr>
        <w:t>Popisa stanovništva, domaćinstava i stanova u Crnoj Gori iz 2011. godine, 6</w:t>
      </w:r>
      <w:r w:rsidR="00DD706A" w:rsidRPr="00F96844">
        <w:rPr>
          <w:rFonts w:cs="Arial"/>
          <w:sz w:val="24"/>
          <w:szCs w:val="24"/>
          <w:lang w:val="sr-Latn-ME"/>
        </w:rPr>
        <w:t>.251 lice se izjasnilo da pripada romskoj nacionalnosti, što predstavlja 1,01 % od ukupnog stanovništva, dok su se</w:t>
      </w:r>
      <w:r w:rsidR="00DD706A" w:rsidRPr="00F96844">
        <w:rPr>
          <w:rFonts w:cs="Arial"/>
          <w:bCs/>
          <w:sz w:val="24"/>
          <w:szCs w:val="24"/>
          <w:lang w:val="sr-Latn-ME"/>
        </w:rPr>
        <w:t xml:space="preserve"> 2</w:t>
      </w:r>
      <w:r w:rsidR="00DD706A">
        <w:rPr>
          <w:rFonts w:cs="Arial"/>
          <w:bCs/>
          <w:sz w:val="24"/>
          <w:szCs w:val="24"/>
          <w:lang w:val="sr-Latn-ME"/>
        </w:rPr>
        <w:t>.</w:t>
      </w:r>
      <w:r w:rsidR="00DD706A" w:rsidRPr="00F96844">
        <w:rPr>
          <w:rFonts w:cs="Arial"/>
          <w:bCs/>
          <w:sz w:val="24"/>
          <w:szCs w:val="24"/>
          <w:lang w:val="sr-Latn-ME"/>
        </w:rPr>
        <w:t>054 lica izjasnila da pripadaju populaciji Egipćana</w:t>
      </w:r>
      <w:r w:rsidR="00DD706A" w:rsidRPr="00F96844">
        <w:rPr>
          <w:rStyle w:val="FootnoteReference"/>
          <w:rFonts w:cs="Arial"/>
          <w:bCs/>
          <w:sz w:val="24"/>
          <w:szCs w:val="24"/>
          <w:lang w:val="sr-Latn-ME"/>
        </w:rPr>
        <w:footnoteReference w:id="63"/>
      </w:r>
      <w:r w:rsidR="00DD706A" w:rsidRPr="00F96844">
        <w:rPr>
          <w:rFonts w:cs="Arial"/>
          <w:sz w:val="24"/>
          <w:szCs w:val="24"/>
          <w:lang w:val="sr-Latn-ME"/>
        </w:rPr>
        <w:t>. Najveći broj Roma</w:t>
      </w:r>
      <w:r w:rsidR="008C0F7F">
        <w:rPr>
          <w:rFonts w:cs="Arial"/>
          <w:sz w:val="24"/>
          <w:szCs w:val="24"/>
          <w:lang w:val="sr-Latn-ME"/>
        </w:rPr>
        <w:t>/</w:t>
      </w:r>
      <w:r w:rsidR="00EA104D">
        <w:rPr>
          <w:rFonts w:cs="Arial"/>
          <w:sz w:val="24"/>
          <w:szCs w:val="24"/>
          <w:lang w:val="sr-Latn-ME"/>
        </w:rPr>
        <w:t>Rom</w:t>
      </w:r>
      <w:r w:rsidR="008C0F7F">
        <w:rPr>
          <w:rFonts w:cs="Arial"/>
          <w:sz w:val="24"/>
          <w:szCs w:val="24"/>
          <w:lang w:val="sr-Latn-ME"/>
        </w:rPr>
        <w:t>kinja</w:t>
      </w:r>
      <w:r w:rsidR="00DD706A" w:rsidRPr="00F96844">
        <w:rPr>
          <w:rFonts w:cs="Arial"/>
          <w:sz w:val="24"/>
          <w:szCs w:val="24"/>
          <w:lang w:val="sr-Latn-ME"/>
        </w:rPr>
        <w:t xml:space="preserve"> i Egipćana</w:t>
      </w:r>
      <w:r w:rsidR="008C0F7F">
        <w:rPr>
          <w:rFonts w:cs="Arial"/>
          <w:sz w:val="24"/>
          <w:szCs w:val="24"/>
          <w:lang w:val="sr-Latn-ME"/>
        </w:rPr>
        <w:t>/</w:t>
      </w:r>
      <w:r w:rsidR="00EA104D">
        <w:rPr>
          <w:rFonts w:cs="Arial"/>
          <w:sz w:val="24"/>
          <w:szCs w:val="24"/>
          <w:lang w:val="sr-Latn-ME"/>
        </w:rPr>
        <w:t>Egipćan</w:t>
      </w:r>
      <w:r w:rsidR="008C0F7F">
        <w:rPr>
          <w:rFonts w:cs="Arial"/>
          <w:sz w:val="24"/>
          <w:szCs w:val="24"/>
          <w:lang w:val="sr-Latn-ME"/>
        </w:rPr>
        <w:t>ki</w:t>
      </w:r>
      <w:r w:rsidR="00DD706A" w:rsidRPr="00F96844">
        <w:rPr>
          <w:rFonts w:cs="Arial"/>
          <w:sz w:val="24"/>
          <w:szCs w:val="24"/>
          <w:lang w:val="sr-Latn-ME"/>
        </w:rPr>
        <w:t xml:space="preserve"> živi na teritoriji Podgorice, Berana i Nikšića</w:t>
      </w:r>
      <w:r w:rsidR="00DD706A" w:rsidRPr="00002CE3">
        <w:rPr>
          <w:rFonts w:cs="Arial"/>
          <w:sz w:val="24"/>
          <w:szCs w:val="24"/>
          <w:lang w:val="sr-Latn-ME"/>
        </w:rPr>
        <w:t xml:space="preserve">. </w:t>
      </w:r>
      <w:r w:rsidR="00BC2A76" w:rsidRPr="00002CE3">
        <w:rPr>
          <w:rFonts w:cs="Arial"/>
          <w:sz w:val="24"/>
          <w:szCs w:val="24"/>
          <w:lang w:val="sr-Latn-ME"/>
        </w:rPr>
        <w:t xml:space="preserve">Izvještajem Evropske komisije </w:t>
      </w:r>
      <w:r w:rsidR="00DD706A" w:rsidRPr="00002CE3">
        <w:rPr>
          <w:rFonts w:cs="Arial"/>
          <w:sz w:val="24"/>
          <w:szCs w:val="24"/>
          <w:lang w:val="sr-Latn-ME"/>
        </w:rPr>
        <w:t>za</w:t>
      </w:r>
      <w:r w:rsidR="00BC2A76" w:rsidRPr="00002CE3">
        <w:rPr>
          <w:rFonts w:cs="Arial"/>
          <w:sz w:val="24"/>
          <w:szCs w:val="24"/>
          <w:lang w:val="sr-Latn-ME"/>
        </w:rPr>
        <w:t xml:space="preserve"> Crn</w:t>
      </w:r>
      <w:r w:rsidR="00DD706A" w:rsidRPr="00002CE3">
        <w:rPr>
          <w:rFonts w:cs="Arial"/>
          <w:sz w:val="24"/>
          <w:szCs w:val="24"/>
          <w:lang w:val="sr-Latn-ME"/>
        </w:rPr>
        <w:t>u</w:t>
      </w:r>
      <w:r w:rsidR="00BC2A76" w:rsidRPr="00002CE3">
        <w:rPr>
          <w:rFonts w:cs="Arial"/>
          <w:sz w:val="24"/>
          <w:szCs w:val="24"/>
          <w:lang w:val="sr-Latn-ME"/>
        </w:rPr>
        <w:t xml:space="preserve"> Gor</w:t>
      </w:r>
      <w:r w:rsidR="00DD706A" w:rsidRPr="00002CE3">
        <w:rPr>
          <w:rFonts w:cs="Arial"/>
          <w:sz w:val="24"/>
          <w:szCs w:val="24"/>
          <w:lang w:val="sr-Latn-ME"/>
        </w:rPr>
        <w:t>u</w:t>
      </w:r>
      <w:r w:rsidR="00BC2A76" w:rsidRPr="00002CE3">
        <w:rPr>
          <w:rFonts w:cs="Arial"/>
          <w:sz w:val="24"/>
          <w:szCs w:val="24"/>
          <w:lang w:val="sr-Latn-ME"/>
        </w:rPr>
        <w:t xml:space="preserve"> za 2023. godinu</w:t>
      </w:r>
      <w:r w:rsidR="00E25B9C" w:rsidRPr="00002CE3">
        <w:rPr>
          <w:rFonts w:cs="Arial"/>
          <w:sz w:val="24"/>
          <w:szCs w:val="24"/>
          <w:lang w:val="sr-Latn-ME"/>
        </w:rPr>
        <w:t xml:space="preserve"> </w:t>
      </w:r>
      <w:r w:rsidR="00BC2A76" w:rsidRPr="00002CE3">
        <w:rPr>
          <w:rFonts w:cs="Arial"/>
          <w:sz w:val="24"/>
          <w:szCs w:val="24"/>
          <w:lang w:val="sr-Latn-ME"/>
        </w:rPr>
        <w:t>navodi se da su Romi</w:t>
      </w:r>
      <w:r w:rsidR="008C0F7F">
        <w:rPr>
          <w:rFonts w:cs="Arial"/>
          <w:sz w:val="24"/>
          <w:szCs w:val="24"/>
          <w:lang w:val="sr-Latn-ME"/>
        </w:rPr>
        <w:t>/</w:t>
      </w:r>
      <w:r w:rsidR="00EA104D">
        <w:rPr>
          <w:rFonts w:cs="Arial"/>
          <w:sz w:val="24"/>
          <w:szCs w:val="24"/>
          <w:lang w:val="sr-Latn-ME"/>
        </w:rPr>
        <w:t>Rom</w:t>
      </w:r>
      <w:r w:rsidR="008C0F7F">
        <w:rPr>
          <w:rFonts w:cs="Arial"/>
          <w:sz w:val="24"/>
          <w:szCs w:val="24"/>
          <w:lang w:val="sr-Latn-ME"/>
        </w:rPr>
        <w:t>kinje</w:t>
      </w:r>
      <w:r w:rsidR="00BC2A76" w:rsidRPr="00002CE3">
        <w:rPr>
          <w:rFonts w:cs="Arial"/>
          <w:sz w:val="24"/>
          <w:szCs w:val="24"/>
          <w:lang w:val="sr-Latn-ME"/>
        </w:rPr>
        <w:t xml:space="preserve"> i Egipćani</w:t>
      </w:r>
      <w:r w:rsidR="008C0F7F">
        <w:rPr>
          <w:rFonts w:cs="Arial"/>
          <w:sz w:val="24"/>
          <w:szCs w:val="24"/>
          <w:lang w:val="sr-Latn-ME"/>
        </w:rPr>
        <w:t>/</w:t>
      </w:r>
      <w:r w:rsidR="00EA104D">
        <w:rPr>
          <w:rFonts w:cs="Arial"/>
          <w:sz w:val="24"/>
          <w:szCs w:val="24"/>
          <w:lang w:val="sr-Latn-ME"/>
        </w:rPr>
        <w:t>Egipćan</w:t>
      </w:r>
      <w:r w:rsidR="008C0F7F">
        <w:rPr>
          <w:rFonts w:cs="Arial"/>
          <w:sz w:val="24"/>
          <w:szCs w:val="24"/>
          <w:lang w:val="sr-Latn-ME"/>
        </w:rPr>
        <w:t>ke</w:t>
      </w:r>
      <w:r w:rsidR="00BC2A76" w:rsidRPr="00002CE3">
        <w:rPr>
          <w:rFonts w:cs="Arial"/>
          <w:sz w:val="24"/>
          <w:szCs w:val="24"/>
          <w:lang w:val="sr-Latn-ME"/>
        </w:rPr>
        <w:t xml:space="preserve"> i dalje najugroženiji, a anticiganizam i dalje ostaje problem</w:t>
      </w:r>
      <w:r w:rsidR="00BC2A76" w:rsidRPr="00002CE3">
        <w:rPr>
          <w:rStyle w:val="FootnoteReference"/>
          <w:rFonts w:cs="Arial"/>
          <w:sz w:val="24"/>
          <w:szCs w:val="24"/>
          <w:lang w:val="sr-Latn-ME"/>
        </w:rPr>
        <w:footnoteReference w:id="64"/>
      </w:r>
      <w:r w:rsidR="00BC2A76" w:rsidRPr="00002CE3">
        <w:rPr>
          <w:rFonts w:cs="Arial"/>
          <w:sz w:val="24"/>
          <w:szCs w:val="24"/>
          <w:lang w:val="sr-Latn-ME"/>
        </w:rPr>
        <w:t xml:space="preserve">. </w:t>
      </w:r>
    </w:p>
    <w:p w14:paraId="4A04AE58" w14:textId="77777777" w:rsidR="00341F98" w:rsidRPr="00F96844" w:rsidRDefault="00341F98" w:rsidP="00780738">
      <w:pPr>
        <w:jc w:val="both"/>
        <w:rPr>
          <w:rFonts w:cs="Arial"/>
          <w:sz w:val="24"/>
          <w:szCs w:val="24"/>
          <w:lang w:val="sr-Latn-ME"/>
        </w:rPr>
      </w:pPr>
    </w:p>
    <w:p w14:paraId="30A14C66" w14:textId="77777777" w:rsidR="00BC2A76" w:rsidRPr="00F96844" w:rsidRDefault="00BC2A76" w:rsidP="00780738">
      <w:pPr>
        <w:jc w:val="both"/>
        <w:rPr>
          <w:rFonts w:cs="Arial"/>
          <w:sz w:val="24"/>
          <w:szCs w:val="24"/>
          <w:lang w:val="sr-Latn-ME"/>
        </w:rPr>
      </w:pPr>
      <w:r w:rsidRPr="00F96844">
        <w:rPr>
          <w:rFonts w:cs="Arial"/>
          <w:sz w:val="24"/>
          <w:szCs w:val="24"/>
          <w:lang w:val="sr-Latn-ME"/>
        </w:rPr>
        <w:lastRenderedPageBreak/>
        <w:t>Istraživanje socio-ekonomskog položaj</w:t>
      </w:r>
      <w:r w:rsidR="00EA104D">
        <w:rPr>
          <w:rFonts w:cs="Arial"/>
          <w:sz w:val="24"/>
          <w:szCs w:val="24"/>
          <w:lang w:val="sr-Latn-ME"/>
        </w:rPr>
        <w:t>a</w:t>
      </w:r>
      <w:r w:rsidRPr="00F96844">
        <w:rPr>
          <w:rFonts w:cs="Arial"/>
          <w:sz w:val="24"/>
          <w:szCs w:val="24"/>
          <w:lang w:val="sr-Latn-ME"/>
        </w:rPr>
        <w:t xml:space="preserve"> Roma i Egipćana u Crnoj Gori iz 2020. godine konstatuje “da nešto manje od polovine ispitanika iz ovog istraživanja, pripadnika</w:t>
      </w:r>
      <w:r w:rsidR="008C0F7F">
        <w:rPr>
          <w:rFonts w:cs="Arial"/>
          <w:sz w:val="24"/>
          <w:szCs w:val="24"/>
          <w:lang w:val="sr-Latn-ME"/>
        </w:rPr>
        <w:t>/ca</w:t>
      </w:r>
      <w:r w:rsidRPr="00F96844">
        <w:rPr>
          <w:rFonts w:cs="Arial"/>
          <w:sz w:val="24"/>
          <w:szCs w:val="24"/>
          <w:lang w:val="sr-Latn-ME"/>
        </w:rPr>
        <w:t xml:space="preserve"> Roma</w:t>
      </w:r>
      <w:r w:rsidR="008C0F7F">
        <w:rPr>
          <w:rFonts w:cs="Arial"/>
          <w:sz w:val="24"/>
          <w:szCs w:val="24"/>
          <w:lang w:val="sr-Latn-ME"/>
        </w:rPr>
        <w:t>/kinja</w:t>
      </w:r>
      <w:r w:rsidRPr="00F96844">
        <w:rPr>
          <w:rFonts w:cs="Arial"/>
          <w:sz w:val="24"/>
          <w:szCs w:val="24"/>
          <w:lang w:val="sr-Latn-ME"/>
        </w:rPr>
        <w:t xml:space="preserve"> i Egipćana</w:t>
      </w:r>
      <w:r w:rsidR="008C0F7F">
        <w:rPr>
          <w:rFonts w:cs="Arial"/>
          <w:sz w:val="24"/>
          <w:szCs w:val="24"/>
          <w:lang w:val="sr-Latn-ME"/>
        </w:rPr>
        <w:t>/ki</w:t>
      </w:r>
      <w:r w:rsidRPr="00F96844">
        <w:rPr>
          <w:rFonts w:cs="Arial"/>
          <w:sz w:val="24"/>
          <w:szCs w:val="24"/>
          <w:lang w:val="sr-Latn-ME"/>
        </w:rPr>
        <w:t xml:space="preserve"> u Crnoj Gori, koristi usluge i pomoć centara za socijalni rad u Crnoj Gori, dok jedna trećina ispitanika istog istraživanja tvrdi da prima materijalnu pomoć svakog mjeseca”</w:t>
      </w:r>
      <w:r w:rsidR="00EA104D">
        <w:rPr>
          <w:rFonts w:cs="Arial"/>
          <w:sz w:val="24"/>
          <w:szCs w:val="24"/>
          <w:lang w:val="sr-Latn-ME"/>
        </w:rPr>
        <w:t>.</w:t>
      </w:r>
      <w:r w:rsidRPr="00F96844">
        <w:rPr>
          <w:rStyle w:val="FootnoteReference"/>
          <w:rFonts w:cs="Arial"/>
          <w:sz w:val="24"/>
          <w:szCs w:val="24"/>
          <w:lang w:val="sr-Latn-ME"/>
        </w:rPr>
        <w:footnoteReference w:id="65"/>
      </w:r>
      <w:r w:rsidRPr="00F96844">
        <w:rPr>
          <w:rFonts w:cs="Arial"/>
          <w:sz w:val="24"/>
          <w:szCs w:val="24"/>
          <w:lang w:val="sr-Latn-ME"/>
        </w:rPr>
        <w:t xml:space="preserve"> Istim istraživanjem konstatuje se da se kroz vrijeme procen</w:t>
      </w:r>
      <w:r w:rsidR="00ED1677">
        <w:rPr>
          <w:rFonts w:cs="Arial"/>
          <w:sz w:val="24"/>
          <w:szCs w:val="24"/>
          <w:lang w:val="sr-Latn-ME"/>
        </w:rPr>
        <w:t>a</w:t>
      </w:r>
      <w:r w:rsidRPr="00F96844">
        <w:rPr>
          <w:rFonts w:cs="Arial"/>
          <w:sz w:val="24"/>
          <w:szCs w:val="24"/>
          <w:lang w:val="sr-Latn-ME"/>
        </w:rPr>
        <w:t>t osoba koje koriste</w:t>
      </w:r>
      <w:r w:rsidR="00E25B9C" w:rsidRPr="00F96844">
        <w:rPr>
          <w:rFonts w:cs="Arial"/>
          <w:sz w:val="24"/>
          <w:szCs w:val="24"/>
          <w:lang w:val="sr-Latn-ME"/>
        </w:rPr>
        <w:t xml:space="preserve"> </w:t>
      </w:r>
      <w:r w:rsidRPr="00F96844">
        <w:rPr>
          <w:rFonts w:cs="Arial"/>
          <w:sz w:val="24"/>
          <w:szCs w:val="24"/>
          <w:lang w:val="sr-Latn-ME"/>
        </w:rPr>
        <w:t>usluge centara za socijalni rad povećava i da je jedna trećina ispitanika tvrdila da je</w:t>
      </w:r>
      <w:r w:rsidR="00E25B9C" w:rsidRPr="00F96844">
        <w:rPr>
          <w:rFonts w:cs="Arial"/>
          <w:sz w:val="24"/>
          <w:szCs w:val="24"/>
          <w:lang w:val="sr-Latn-ME"/>
        </w:rPr>
        <w:t xml:space="preserve"> </w:t>
      </w:r>
      <w:r w:rsidRPr="00F96844">
        <w:rPr>
          <w:rFonts w:cs="Arial"/>
          <w:sz w:val="24"/>
          <w:szCs w:val="24"/>
          <w:lang w:val="sr-Latn-ME"/>
        </w:rPr>
        <w:t>posljednje četiri godine,</w:t>
      </w:r>
      <w:r w:rsidR="00E25B9C" w:rsidRPr="00F96844">
        <w:rPr>
          <w:rFonts w:cs="Arial"/>
          <w:sz w:val="24"/>
          <w:szCs w:val="24"/>
          <w:lang w:val="sr-Latn-ME"/>
        </w:rPr>
        <w:t xml:space="preserve"> </w:t>
      </w:r>
      <w:r w:rsidRPr="00F96844">
        <w:rPr>
          <w:rFonts w:cs="Arial"/>
          <w:sz w:val="24"/>
          <w:szCs w:val="24"/>
          <w:lang w:val="sr-Latn-ME"/>
        </w:rPr>
        <w:t>što svakog mjeseca što povremeno, primila jednokratnu materijalnu pomoć</w:t>
      </w:r>
      <w:r w:rsidR="00EA104D">
        <w:rPr>
          <w:rFonts w:cs="Arial"/>
          <w:sz w:val="24"/>
          <w:szCs w:val="24"/>
          <w:lang w:val="sr-Latn-ME"/>
        </w:rPr>
        <w:t>.</w:t>
      </w:r>
      <w:r w:rsidRPr="00F96844">
        <w:rPr>
          <w:rStyle w:val="FootnoteReference"/>
          <w:rFonts w:cs="Arial"/>
          <w:sz w:val="24"/>
          <w:szCs w:val="24"/>
          <w:lang w:val="sr-Latn-ME"/>
        </w:rPr>
        <w:footnoteReference w:id="66"/>
      </w:r>
      <w:r w:rsidRPr="00F96844">
        <w:rPr>
          <w:rFonts w:cs="Arial"/>
          <w:sz w:val="24"/>
          <w:szCs w:val="24"/>
          <w:lang w:val="sr-Latn-ME"/>
        </w:rPr>
        <w:t xml:space="preserve"> </w:t>
      </w:r>
    </w:p>
    <w:p w14:paraId="36FCA425" w14:textId="77777777" w:rsidR="00341F98" w:rsidRPr="00F96844" w:rsidRDefault="00341F98" w:rsidP="00780738">
      <w:pPr>
        <w:jc w:val="both"/>
        <w:rPr>
          <w:rFonts w:cs="Arial"/>
          <w:sz w:val="24"/>
          <w:szCs w:val="24"/>
          <w:lang w:val="sr-Latn-ME"/>
        </w:rPr>
      </w:pPr>
    </w:p>
    <w:p w14:paraId="1531F709" w14:textId="77777777" w:rsidR="00BC2A76" w:rsidRDefault="00BC2A76" w:rsidP="00780738">
      <w:pPr>
        <w:jc w:val="both"/>
        <w:rPr>
          <w:rFonts w:cs="Arial"/>
          <w:sz w:val="24"/>
          <w:szCs w:val="24"/>
          <w:lang w:val="sr-Latn-ME"/>
        </w:rPr>
      </w:pPr>
      <w:r w:rsidRPr="00F96844">
        <w:rPr>
          <w:rFonts w:cs="Arial"/>
          <w:sz w:val="24"/>
          <w:szCs w:val="24"/>
          <w:lang w:val="sr-Latn-ME"/>
        </w:rPr>
        <w:t>Ombudsman je 2022. godine sproveo terensko istraživanje u romskim naseljima u 13 opština. Preliminarni nalazi ovog istraživanja pokazuju da Romi i Egipćani žive u manje segregiranim naseljima nego prije 6 ili 7 godina, ali 42,2% Roma i dalje živi u naseljima u kojima žive samo Romi</w:t>
      </w:r>
      <w:r w:rsidR="00EA104D">
        <w:rPr>
          <w:rFonts w:cs="Arial"/>
          <w:sz w:val="24"/>
          <w:szCs w:val="24"/>
          <w:lang w:val="sr-Latn-ME"/>
        </w:rPr>
        <w:t>.</w:t>
      </w:r>
      <w:r w:rsidRPr="00F96844">
        <w:rPr>
          <w:rStyle w:val="FootnoteReference"/>
          <w:rFonts w:cs="Arial"/>
          <w:sz w:val="24"/>
          <w:szCs w:val="24"/>
          <w:lang w:val="sr-Latn-ME"/>
        </w:rPr>
        <w:footnoteReference w:id="67"/>
      </w:r>
      <w:r w:rsidRPr="00F96844">
        <w:rPr>
          <w:rFonts w:cs="Arial"/>
          <w:sz w:val="24"/>
          <w:szCs w:val="24"/>
          <w:lang w:val="sr-Latn-ME"/>
        </w:rPr>
        <w:t xml:space="preserve"> Problem prenaseljenosti romskih domaćinstava i dalje postoji, uz neznatna poboljšanja u pogledu pristupa vodi, snabdijevanju električnom energijom i pos</w:t>
      </w:r>
      <w:r w:rsidR="00EA104D">
        <w:rPr>
          <w:rFonts w:cs="Arial"/>
          <w:sz w:val="24"/>
          <w:szCs w:val="24"/>
          <w:lang w:val="sr-Latn-ME"/>
        </w:rPr>
        <w:t>j</w:t>
      </w:r>
      <w:r w:rsidRPr="00F96844">
        <w:rPr>
          <w:rFonts w:cs="Arial"/>
          <w:sz w:val="24"/>
          <w:szCs w:val="24"/>
          <w:lang w:val="sr-Latn-ME"/>
        </w:rPr>
        <w:t>edovanja osnovnih uređaja</w:t>
      </w:r>
      <w:r w:rsidR="00EA104D">
        <w:rPr>
          <w:rFonts w:cs="Arial"/>
          <w:sz w:val="24"/>
          <w:szCs w:val="24"/>
          <w:lang w:val="sr-Latn-ME"/>
        </w:rPr>
        <w:t>.</w:t>
      </w:r>
      <w:r w:rsidRPr="00F96844">
        <w:rPr>
          <w:rStyle w:val="FootnoteReference"/>
          <w:rFonts w:cs="Arial"/>
          <w:sz w:val="24"/>
          <w:szCs w:val="24"/>
          <w:lang w:val="sr-Latn-ME"/>
        </w:rPr>
        <w:footnoteReference w:id="68"/>
      </w:r>
    </w:p>
    <w:p w14:paraId="38DED4B5" w14:textId="77777777" w:rsidR="00F23AC4" w:rsidRDefault="00F23AC4" w:rsidP="00780738">
      <w:pPr>
        <w:jc w:val="both"/>
        <w:rPr>
          <w:rFonts w:cs="Arial"/>
          <w:sz w:val="24"/>
          <w:szCs w:val="24"/>
          <w:lang w:val="sr-Latn-ME"/>
        </w:rPr>
      </w:pPr>
    </w:p>
    <w:p w14:paraId="579305AF" w14:textId="77777777" w:rsidR="00F23AC4" w:rsidRPr="00F23AC4" w:rsidRDefault="00F23AC4" w:rsidP="00780738">
      <w:pPr>
        <w:jc w:val="both"/>
        <w:rPr>
          <w:rFonts w:cs="Arial"/>
          <w:sz w:val="24"/>
          <w:szCs w:val="24"/>
          <w:lang w:val="sr-Latn-ME"/>
        </w:rPr>
      </w:pPr>
      <w:r w:rsidRPr="00F23AC4">
        <w:rPr>
          <w:rFonts w:cs="Arial"/>
          <w:sz w:val="24"/>
          <w:szCs w:val="24"/>
          <w:lang w:val="sr-Latn-ME"/>
        </w:rPr>
        <w:t>Prema istraživanjima koja su rađena u romskim naseljima</w:t>
      </w:r>
      <w:r w:rsidR="00EA104D">
        <w:rPr>
          <w:rFonts w:cs="Arial"/>
          <w:sz w:val="24"/>
          <w:szCs w:val="24"/>
          <w:lang w:val="sr-Latn-ME"/>
        </w:rPr>
        <w:t xml:space="preserve">, </w:t>
      </w:r>
      <w:r w:rsidRPr="00F23AC4">
        <w:rPr>
          <w:rFonts w:cs="Arial"/>
          <w:sz w:val="24"/>
          <w:szCs w:val="24"/>
          <w:lang w:val="sr-Latn-ME"/>
        </w:rPr>
        <w:t>1% djece je uključeno u kućne poslove za broj sati koji bi iste klasifikovao kao dječji rad (1% djece starosti 5−11 godina i djece starosti 12−14 godina koja rade više od 28 sati. 6% djece u romskim naseljima starosti 5−17 godina bilo je uključeno u dječji rad u posljednjoj sedmici koja je prethodila istraživanju. U opasnim uslovima radi 7% djece starosti 5−17 godina. Muška djeca u romskim naseljima više su uključena u dječji rad od ženske djece (8% i 4%).</w:t>
      </w:r>
    </w:p>
    <w:p w14:paraId="3E4DF3EC" w14:textId="77777777" w:rsidR="00F23AC4" w:rsidRPr="00F23AC4" w:rsidRDefault="00F23AC4" w:rsidP="00780738">
      <w:pPr>
        <w:jc w:val="both"/>
        <w:rPr>
          <w:rFonts w:cs="Arial"/>
          <w:sz w:val="24"/>
          <w:szCs w:val="24"/>
          <w:lang w:val="sr-Latn-ME"/>
        </w:rPr>
      </w:pPr>
    </w:p>
    <w:p w14:paraId="4F938D69" w14:textId="77777777" w:rsidR="00F23AC4" w:rsidRPr="00F96844" w:rsidRDefault="00F23AC4" w:rsidP="00780738">
      <w:pPr>
        <w:jc w:val="both"/>
        <w:rPr>
          <w:rFonts w:cs="Arial"/>
          <w:sz w:val="24"/>
          <w:szCs w:val="24"/>
          <w:lang w:val="sr-Latn-ME"/>
        </w:rPr>
      </w:pPr>
      <w:r w:rsidRPr="00F23AC4">
        <w:rPr>
          <w:rFonts w:cs="Arial"/>
          <w:sz w:val="24"/>
          <w:szCs w:val="24"/>
          <w:lang w:val="sr-Latn-ME"/>
        </w:rPr>
        <w:t>Među domaćinstvima s 3 ili više djece, najčešća deprivacija u romskim naseljima u Crnoj Gori je ona koja se odnosi na nemogućnost suočavanja</w:t>
      </w:r>
      <w:r w:rsidR="00867803">
        <w:rPr>
          <w:rFonts w:cs="Arial"/>
          <w:sz w:val="24"/>
          <w:szCs w:val="24"/>
          <w:lang w:val="sr-Latn-ME"/>
        </w:rPr>
        <w:t xml:space="preserve"> s n</w:t>
      </w:r>
      <w:r w:rsidRPr="00F23AC4">
        <w:rPr>
          <w:rFonts w:cs="Arial"/>
          <w:sz w:val="24"/>
          <w:szCs w:val="24"/>
          <w:lang w:val="sr-Latn-ME"/>
        </w:rPr>
        <w:t>eočekivanim troškovima (u iznosu od 230 eura), pri čemu 97% članova domaćinstva živi u takvim domaćinstvima koja to sebi ne mogu da priušte. Prema MICS-u za romska naselja u Crnoj Gori za 2018. godinu, 91% djece u romskim naseljima materijalno je deprivirano u tri ili više dimenzija.</w:t>
      </w:r>
      <w:r>
        <w:rPr>
          <w:rStyle w:val="FootnoteReference"/>
          <w:rFonts w:cs="Arial"/>
          <w:sz w:val="24"/>
          <w:szCs w:val="24"/>
          <w:lang w:val="sr-Latn-ME"/>
        </w:rPr>
        <w:footnoteReference w:id="69"/>
      </w:r>
    </w:p>
    <w:p w14:paraId="6AA4C577" w14:textId="77777777" w:rsidR="00341F98" w:rsidRPr="00F96844" w:rsidRDefault="00341F98" w:rsidP="00780738">
      <w:pPr>
        <w:jc w:val="both"/>
        <w:rPr>
          <w:rFonts w:cs="Arial"/>
          <w:sz w:val="24"/>
          <w:szCs w:val="24"/>
          <w:lang w:val="sr-Latn-ME"/>
        </w:rPr>
      </w:pPr>
    </w:p>
    <w:p w14:paraId="4E385BA4" w14:textId="77777777" w:rsidR="00BC2A76" w:rsidRPr="00F96844" w:rsidRDefault="00BC2A76" w:rsidP="00780738">
      <w:pPr>
        <w:jc w:val="both"/>
        <w:rPr>
          <w:rFonts w:cs="Arial"/>
          <w:sz w:val="24"/>
          <w:szCs w:val="24"/>
          <w:lang w:val="sr-Latn-ME"/>
        </w:rPr>
      </w:pPr>
      <w:r w:rsidRPr="00F96844">
        <w:rPr>
          <w:rFonts w:cs="Arial"/>
          <w:sz w:val="24"/>
          <w:szCs w:val="24"/>
          <w:lang w:val="sr-Latn-ME"/>
        </w:rPr>
        <w:t>Tako</w:t>
      </w:r>
      <w:r w:rsidR="000C2F0F">
        <w:rPr>
          <w:rFonts w:cs="Arial"/>
          <w:sz w:val="24"/>
          <w:szCs w:val="24"/>
          <w:lang w:val="sr-Latn-ME"/>
        </w:rPr>
        <w:t>đ</w:t>
      </w:r>
      <w:r w:rsidRPr="00F96844">
        <w:rPr>
          <w:rFonts w:cs="Arial"/>
          <w:sz w:val="24"/>
          <w:szCs w:val="24"/>
          <w:lang w:val="sr-Latn-ME"/>
        </w:rPr>
        <w:t>e treba konstatovati da ipak u</w:t>
      </w:r>
      <w:r w:rsidR="009F661D">
        <w:rPr>
          <w:rFonts w:cs="Arial"/>
          <w:sz w:val="24"/>
          <w:szCs w:val="24"/>
          <w:lang w:val="sr-Latn-ME"/>
        </w:rPr>
        <w:t>sljed</w:t>
      </w:r>
      <w:r w:rsidRPr="00F96844">
        <w:rPr>
          <w:rFonts w:cs="Arial"/>
          <w:sz w:val="24"/>
          <w:szCs w:val="24"/>
          <w:lang w:val="sr-Latn-ME"/>
        </w:rPr>
        <w:t xml:space="preserve"> fizičke odvojenosti raste socijalna distanca i isključivanje, te je potrebno raditi na poboljšanju dostupnosti pravima i uslugama iz domena socijalne i d</w:t>
      </w:r>
      <w:r w:rsidR="00EB2F1D">
        <w:rPr>
          <w:rFonts w:cs="Arial"/>
          <w:sz w:val="24"/>
          <w:szCs w:val="24"/>
          <w:lang w:val="sr-Latn-ME"/>
        </w:rPr>
        <w:t>ječj</w:t>
      </w:r>
      <w:r w:rsidRPr="00F96844">
        <w:rPr>
          <w:rFonts w:cs="Arial"/>
          <w:sz w:val="24"/>
          <w:szCs w:val="24"/>
          <w:lang w:val="sr-Latn-ME"/>
        </w:rPr>
        <w:t>e zaštite, posebno djeci i porodicama iz ove zajednice.</w:t>
      </w:r>
    </w:p>
    <w:p w14:paraId="6320949E" w14:textId="77777777" w:rsidR="00BC2A76" w:rsidRPr="00F96844" w:rsidRDefault="00BC2A76" w:rsidP="00780738">
      <w:pPr>
        <w:jc w:val="both"/>
        <w:rPr>
          <w:rFonts w:cs="Arial"/>
          <w:sz w:val="24"/>
          <w:szCs w:val="24"/>
          <w:lang w:val="sr-Latn-ME"/>
        </w:rPr>
      </w:pPr>
    </w:p>
    <w:p w14:paraId="73F25CC5" w14:textId="77777777" w:rsidR="002B4243" w:rsidRDefault="002B4243" w:rsidP="00780738">
      <w:pPr>
        <w:jc w:val="both"/>
        <w:rPr>
          <w:rFonts w:cs="Arial"/>
          <w:sz w:val="24"/>
          <w:szCs w:val="24"/>
          <w:lang w:val="sr-Latn-ME"/>
        </w:rPr>
      </w:pPr>
      <w:r w:rsidRPr="00F96844">
        <w:rPr>
          <w:rFonts w:cs="Arial"/>
          <w:b/>
          <w:sz w:val="24"/>
          <w:szCs w:val="24"/>
          <w:lang w:val="sr-Latn-ME"/>
        </w:rPr>
        <w:t>LGBTIQ</w:t>
      </w:r>
      <w:r w:rsidR="00B2712A">
        <w:rPr>
          <w:rFonts w:cs="Arial"/>
          <w:b/>
          <w:sz w:val="24"/>
          <w:szCs w:val="24"/>
          <w:lang w:val="sr-Latn-ME"/>
        </w:rPr>
        <w:t>+</w:t>
      </w:r>
      <w:r w:rsidRPr="00F96844">
        <w:rPr>
          <w:rFonts w:cs="Arial"/>
          <w:b/>
          <w:sz w:val="24"/>
          <w:szCs w:val="24"/>
          <w:lang w:val="sr-Latn-ME"/>
        </w:rPr>
        <w:t xml:space="preserve"> zajednica: </w:t>
      </w:r>
      <w:r w:rsidR="00040FB2">
        <w:rPr>
          <w:rFonts w:cs="Arial"/>
          <w:sz w:val="24"/>
          <w:szCs w:val="24"/>
          <w:lang w:val="sr-Latn-ME"/>
        </w:rPr>
        <w:t>P</w:t>
      </w:r>
      <w:r w:rsidRPr="00F96844">
        <w:rPr>
          <w:rFonts w:cs="Arial"/>
          <w:sz w:val="24"/>
          <w:szCs w:val="24"/>
          <w:lang w:val="sr-Latn-ME"/>
        </w:rPr>
        <w:t>ripadnici</w:t>
      </w:r>
      <w:r w:rsidR="008C0F7F">
        <w:rPr>
          <w:rFonts w:cs="Arial"/>
          <w:sz w:val="24"/>
          <w:szCs w:val="24"/>
          <w:lang w:val="sr-Latn-ME"/>
        </w:rPr>
        <w:t>/</w:t>
      </w:r>
      <w:r w:rsidR="00EA104D">
        <w:rPr>
          <w:rFonts w:cs="Arial"/>
          <w:sz w:val="24"/>
          <w:szCs w:val="24"/>
          <w:lang w:val="sr-Latn-ME"/>
        </w:rPr>
        <w:t>pripadni</w:t>
      </w:r>
      <w:r w:rsidR="008C0F7F">
        <w:rPr>
          <w:rFonts w:cs="Arial"/>
          <w:sz w:val="24"/>
          <w:szCs w:val="24"/>
          <w:lang w:val="sr-Latn-ME"/>
        </w:rPr>
        <w:t>ce</w:t>
      </w:r>
      <w:r w:rsidRPr="00F96844">
        <w:rPr>
          <w:rFonts w:cs="Arial"/>
          <w:sz w:val="24"/>
          <w:szCs w:val="24"/>
          <w:lang w:val="sr-Latn-ME"/>
        </w:rPr>
        <w:t xml:space="preserve"> LGBTIQ zajednice</w:t>
      </w:r>
      <w:r w:rsidR="00040FB2">
        <w:rPr>
          <w:rFonts w:cs="Arial"/>
          <w:sz w:val="24"/>
          <w:szCs w:val="24"/>
          <w:lang w:val="sr-Latn-ME"/>
        </w:rPr>
        <w:t xml:space="preserve"> </w:t>
      </w:r>
      <w:r w:rsidRPr="00F96844">
        <w:rPr>
          <w:rFonts w:cs="Arial"/>
          <w:sz w:val="24"/>
          <w:szCs w:val="24"/>
          <w:lang w:val="sr-Latn-ME"/>
        </w:rPr>
        <w:t>su u posebnom riziku od diskriminacije, imajući u vidu da je u tradicionalnim i konzervativnim sredinama ovakva diskriminacija posebno izražena, a Crna Gora po svim opštim indikatorima spada u ovu kategoriju. Istraživanjem iz 2022. godine</w:t>
      </w:r>
      <w:r w:rsidR="00EA104D">
        <w:rPr>
          <w:rFonts w:cs="Arial"/>
          <w:sz w:val="24"/>
          <w:szCs w:val="24"/>
          <w:lang w:val="sr-Latn-ME"/>
        </w:rPr>
        <w:t>,</w:t>
      </w:r>
      <w:r w:rsidRPr="00F96844">
        <w:rPr>
          <w:rFonts w:cs="Arial"/>
          <w:sz w:val="24"/>
          <w:szCs w:val="24"/>
          <w:lang w:val="sr-Latn-ME"/>
        </w:rPr>
        <w:t xml:space="preserve"> koje je izradio Centar za demokratiju i ljudska prava </w:t>
      </w:r>
      <w:r w:rsidRPr="00EE71E9">
        <w:rPr>
          <w:rFonts w:cs="Arial"/>
          <w:sz w:val="24"/>
          <w:szCs w:val="24"/>
          <w:lang w:val="sr-Latn-ME"/>
        </w:rPr>
        <w:t xml:space="preserve">– CEDEM u partnerstvu s Ministarstvom za ljudska i manjinska prava i Zaštitnikom ljudskih prava i sloboda Crne Gore, utvrđeno je da je 43% onih koji imaju negativan stav </w:t>
      </w:r>
      <w:r w:rsidRPr="00EE71E9">
        <w:rPr>
          <w:rFonts w:cs="Arial"/>
          <w:sz w:val="24"/>
          <w:szCs w:val="24"/>
          <w:lang w:val="sr-Latn-ME"/>
        </w:rPr>
        <w:lastRenderedPageBreak/>
        <w:t>o homoseksualnim osobama</w:t>
      </w:r>
      <w:r w:rsidR="00EE71E9">
        <w:rPr>
          <w:rStyle w:val="FootnoteReference"/>
          <w:rFonts w:cs="Arial"/>
          <w:sz w:val="24"/>
          <w:szCs w:val="24"/>
          <w:lang w:val="sr-Latn-ME"/>
        </w:rPr>
        <w:footnoteReference w:id="70"/>
      </w:r>
      <w:r w:rsidRPr="00EE71E9">
        <w:rPr>
          <w:rFonts w:cs="Arial"/>
          <w:sz w:val="24"/>
          <w:szCs w:val="24"/>
          <w:lang w:val="sr-Latn-ME"/>
        </w:rPr>
        <w:t>.</w:t>
      </w:r>
      <w:r w:rsidRPr="00F96844">
        <w:rPr>
          <w:rFonts w:cs="Arial"/>
          <w:sz w:val="24"/>
          <w:szCs w:val="24"/>
          <w:lang w:val="sr-Latn-ME"/>
        </w:rPr>
        <w:t xml:space="preserve"> Potrebno je raditi na razbijanju predrasuda i kroz razvoj sistema usluga socijalne i d</w:t>
      </w:r>
      <w:r w:rsidR="00EB2F1D">
        <w:rPr>
          <w:rFonts w:cs="Arial"/>
          <w:sz w:val="24"/>
          <w:szCs w:val="24"/>
          <w:lang w:val="sr-Latn-ME"/>
        </w:rPr>
        <w:t>ječj</w:t>
      </w:r>
      <w:r w:rsidRPr="00F96844">
        <w:rPr>
          <w:rFonts w:cs="Arial"/>
          <w:sz w:val="24"/>
          <w:szCs w:val="24"/>
          <w:lang w:val="sr-Latn-ME"/>
        </w:rPr>
        <w:t>e zaštite razvijati sistem podrške za pripadnike ove zajednice. Prepoznaje se i potreba za dodatnim edukacijama stručnih radnika u radu s korisnicima iz ove zajednice</w:t>
      </w:r>
      <w:r w:rsidR="000B2A93">
        <w:rPr>
          <w:rFonts w:cs="Arial"/>
          <w:sz w:val="24"/>
          <w:szCs w:val="24"/>
          <w:lang w:val="sr-Latn-ME"/>
        </w:rPr>
        <w:t>,</w:t>
      </w:r>
      <w:r w:rsidRPr="00F96844">
        <w:rPr>
          <w:rFonts w:cs="Arial"/>
          <w:sz w:val="24"/>
          <w:szCs w:val="24"/>
          <w:lang w:val="sr-Latn-ME"/>
        </w:rPr>
        <w:t xml:space="preserve"> kao i članovima njihovih porodica.</w:t>
      </w:r>
    </w:p>
    <w:p w14:paraId="33DDD692" w14:textId="77777777" w:rsidR="00002CE3" w:rsidRPr="00F96844" w:rsidRDefault="00002CE3" w:rsidP="00780738">
      <w:pPr>
        <w:jc w:val="both"/>
        <w:rPr>
          <w:rFonts w:cs="Arial"/>
          <w:sz w:val="24"/>
          <w:szCs w:val="24"/>
          <w:lang w:val="sr-Latn-ME"/>
        </w:rPr>
      </w:pPr>
    </w:p>
    <w:p w14:paraId="607D732F" w14:textId="77777777" w:rsidR="00B81BC3" w:rsidRPr="00F96844" w:rsidRDefault="00036CBF" w:rsidP="00780738">
      <w:pPr>
        <w:shd w:val="clear" w:color="auto" w:fill="FFFFFF"/>
        <w:jc w:val="both"/>
        <w:rPr>
          <w:rFonts w:cs="Arial"/>
          <w:sz w:val="24"/>
          <w:szCs w:val="24"/>
          <w:lang w:val="sr-Latn-ME"/>
        </w:rPr>
      </w:pPr>
      <w:r w:rsidRPr="00F96844">
        <w:rPr>
          <w:rFonts w:cs="Arial"/>
          <w:b/>
          <w:bCs/>
          <w:sz w:val="24"/>
          <w:szCs w:val="24"/>
          <w:lang w:val="sr-Latn-ME"/>
        </w:rPr>
        <w:t>Ž</w:t>
      </w:r>
      <w:r w:rsidR="001B532B" w:rsidRPr="00F96844">
        <w:rPr>
          <w:rFonts w:cs="Arial"/>
          <w:b/>
          <w:bCs/>
          <w:sz w:val="24"/>
          <w:szCs w:val="24"/>
          <w:lang w:val="sr-Latn-ME"/>
        </w:rPr>
        <w:t>ene žrtve nasilja</w:t>
      </w:r>
      <w:r w:rsidR="00341F98" w:rsidRPr="00F96844">
        <w:rPr>
          <w:rFonts w:cs="Arial"/>
          <w:b/>
          <w:bCs/>
          <w:sz w:val="24"/>
          <w:szCs w:val="24"/>
          <w:lang w:val="sr-Latn-ME"/>
        </w:rPr>
        <w:t>:</w:t>
      </w:r>
      <w:r w:rsidR="002B4243" w:rsidRPr="00F96844">
        <w:rPr>
          <w:rFonts w:cs="Arial"/>
          <w:sz w:val="24"/>
          <w:szCs w:val="24"/>
          <w:lang w:val="sr-Latn-ME"/>
        </w:rPr>
        <w:t xml:space="preserve"> </w:t>
      </w:r>
      <w:r w:rsidR="00B81BC3" w:rsidRPr="00F96844">
        <w:rPr>
          <w:rFonts w:cs="Arial"/>
          <w:sz w:val="24"/>
          <w:szCs w:val="24"/>
          <w:lang w:val="sr-Latn-ME"/>
        </w:rPr>
        <w:t>Nasilje nad ženama i djevojčicama je jedno od najrasprostranjenijih oblika kršenja ljudskih prava, a proističe iz negativnih društvenih stavova u vezi s ulogom žene i visokog nivoa rodne nejednakosti. U Crnoj Gori rodno zasnovano nasilje spada u skrivene i visoko stigmatizovane teme</w:t>
      </w:r>
      <w:r w:rsidR="00EA104D">
        <w:rPr>
          <w:rFonts w:cs="Arial"/>
          <w:sz w:val="24"/>
          <w:szCs w:val="24"/>
          <w:lang w:val="sr-Latn-ME"/>
        </w:rPr>
        <w:t>,</w:t>
      </w:r>
      <w:r w:rsidR="00B81BC3" w:rsidRPr="00F96844">
        <w:rPr>
          <w:rFonts w:cs="Arial"/>
          <w:sz w:val="24"/>
          <w:szCs w:val="24"/>
          <w:lang w:val="sr-Latn-ME"/>
        </w:rPr>
        <w:t xml:space="preserve"> pa se nasilje veoma rijetko prijavljuje. Istraživanja o prevalenciji nasilja nad ženama pokazuju da su posebno ranjive žene i djevojčice iz etničkih manjina, naročito Romkinje i Egipćanke, migrantkinje i izbjeglice, žene</w:t>
      </w:r>
      <w:r w:rsidR="00867803">
        <w:rPr>
          <w:rFonts w:cs="Arial"/>
          <w:sz w:val="24"/>
          <w:szCs w:val="24"/>
          <w:lang w:val="sr-Latn-ME"/>
        </w:rPr>
        <w:t xml:space="preserve"> s i</w:t>
      </w:r>
      <w:r w:rsidR="00B81BC3" w:rsidRPr="00F96844">
        <w:rPr>
          <w:rFonts w:cs="Arial"/>
          <w:sz w:val="24"/>
          <w:szCs w:val="24"/>
          <w:lang w:val="sr-Latn-ME"/>
        </w:rPr>
        <w:t xml:space="preserve">nvaliditetom, LGBTIQ i žene iz ruralnih područja.  </w:t>
      </w:r>
    </w:p>
    <w:p w14:paraId="47B8AB3D" w14:textId="77777777" w:rsidR="00B81BC3" w:rsidRPr="00F96844" w:rsidRDefault="00B81BC3" w:rsidP="00780738">
      <w:pPr>
        <w:shd w:val="clear" w:color="auto" w:fill="FFFFFF"/>
        <w:jc w:val="both"/>
        <w:rPr>
          <w:rFonts w:cs="Arial"/>
          <w:sz w:val="24"/>
          <w:szCs w:val="24"/>
          <w:shd w:val="clear" w:color="auto" w:fill="FFFFFF"/>
          <w:lang w:val="sr-Latn-ME"/>
        </w:rPr>
      </w:pPr>
    </w:p>
    <w:p w14:paraId="128E22D9" w14:textId="77777777" w:rsidR="00341F98" w:rsidRDefault="00B81BC3" w:rsidP="00780738">
      <w:pPr>
        <w:shd w:val="clear" w:color="auto" w:fill="FFFFFF"/>
        <w:jc w:val="both"/>
        <w:rPr>
          <w:rFonts w:eastAsia="Times New Roman" w:cs="Arial"/>
          <w:sz w:val="24"/>
          <w:szCs w:val="24"/>
          <w:lang w:val="sr-Latn-ME" w:eastAsia="sr-Latn-ME"/>
        </w:rPr>
      </w:pPr>
      <w:r w:rsidRPr="00EE71E9">
        <w:rPr>
          <w:rFonts w:cs="Arial"/>
          <w:sz w:val="24"/>
          <w:szCs w:val="24"/>
          <w:shd w:val="clear" w:color="auto" w:fill="FFFFFF"/>
          <w:lang w:val="sr-Latn-ME"/>
        </w:rPr>
        <w:t>Prema po</w:t>
      </w:r>
      <w:r w:rsidR="009F661D">
        <w:rPr>
          <w:rFonts w:cs="Arial"/>
          <w:sz w:val="24"/>
          <w:szCs w:val="24"/>
          <w:shd w:val="clear" w:color="auto" w:fill="FFFFFF"/>
          <w:lang w:val="sr-Latn-ME"/>
        </w:rPr>
        <w:t>sljed</w:t>
      </w:r>
      <w:r w:rsidRPr="00EE71E9">
        <w:rPr>
          <w:rFonts w:cs="Arial"/>
          <w:sz w:val="24"/>
          <w:szCs w:val="24"/>
          <w:shd w:val="clear" w:color="auto" w:fill="FFFFFF"/>
          <w:lang w:val="sr-Latn-ME"/>
        </w:rPr>
        <w:t xml:space="preserve">njem Istraživanju o uslovima života i bezbjednosti žena (EU </w:t>
      </w:r>
      <w:r w:rsidR="00EA104D">
        <w:rPr>
          <w:rFonts w:cs="Arial"/>
          <w:sz w:val="24"/>
          <w:szCs w:val="24"/>
          <w:shd w:val="clear" w:color="auto" w:fill="FFFFFF"/>
          <w:lang w:val="sr-Latn-ME"/>
        </w:rPr>
        <w:t>‒</w:t>
      </w:r>
      <w:r w:rsidRPr="00EE71E9">
        <w:rPr>
          <w:rFonts w:cs="Arial"/>
          <w:sz w:val="24"/>
          <w:szCs w:val="24"/>
          <w:shd w:val="clear" w:color="auto" w:fill="FFFFFF"/>
          <w:lang w:val="sr-Latn-ME"/>
        </w:rPr>
        <w:t xml:space="preserve"> GBV)</w:t>
      </w:r>
      <w:r w:rsidR="00EA104D">
        <w:rPr>
          <w:rFonts w:cs="Arial"/>
          <w:sz w:val="24"/>
          <w:szCs w:val="24"/>
          <w:shd w:val="clear" w:color="auto" w:fill="FFFFFF"/>
          <w:lang w:val="sr-Latn-ME"/>
        </w:rPr>
        <w:t>,</w:t>
      </w:r>
      <w:r w:rsidRPr="00EE71E9">
        <w:rPr>
          <w:rFonts w:cs="Arial"/>
          <w:sz w:val="24"/>
          <w:szCs w:val="24"/>
          <w:shd w:val="clear" w:color="auto" w:fill="FFFFFF"/>
          <w:lang w:val="sr-Latn-ME"/>
        </w:rPr>
        <w:t xml:space="preserve"> koje je Uprava za statistiku sprovela 2021. godine, u</w:t>
      </w:r>
      <w:r w:rsidRPr="00EE71E9">
        <w:rPr>
          <w:rFonts w:eastAsia="Times New Roman" w:cs="Arial"/>
          <w:sz w:val="24"/>
          <w:szCs w:val="24"/>
          <w:lang w:val="sr-Latn-ME" w:eastAsia="sr-Latn-ME"/>
        </w:rPr>
        <w:t xml:space="preserve"> Crnoj Gori je svaka peta žena (20,2%) izjavila da je doživjela nasilje</w:t>
      </w:r>
      <w:r w:rsidRPr="00F96844">
        <w:rPr>
          <w:rFonts w:eastAsia="Times New Roman" w:cs="Arial"/>
          <w:sz w:val="24"/>
          <w:szCs w:val="24"/>
          <w:lang w:val="sr-Latn-ME" w:eastAsia="sr-Latn-ME"/>
        </w:rPr>
        <w:t xml:space="preserve"> od strane partnera tokom života.</w:t>
      </w:r>
      <w:r w:rsidR="00EA104D">
        <w:rPr>
          <w:rFonts w:eastAsia="Times New Roman" w:cs="Arial"/>
          <w:sz w:val="24"/>
          <w:szCs w:val="24"/>
          <w:lang w:val="sr-Latn-ME" w:eastAsia="sr-Latn-ME"/>
        </w:rPr>
        <w:t xml:space="preserve"> </w:t>
      </w:r>
      <w:r w:rsidRPr="00F96844">
        <w:rPr>
          <w:rFonts w:eastAsia="Times New Roman" w:cs="Arial"/>
          <w:sz w:val="24"/>
          <w:szCs w:val="24"/>
          <w:lang w:val="sr-Latn-ME" w:eastAsia="sr-Latn-ME"/>
        </w:rPr>
        <w:t>Ukupno 6,2% žena je izjavilo da je doživjelo nasilje u odrasloj dobi od strane lica koje nije partner.</w:t>
      </w:r>
      <w:r w:rsidR="00685D62">
        <w:rPr>
          <w:rFonts w:eastAsia="Times New Roman" w:cs="Arial"/>
          <w:sz w:val="24"/>
          <w:szCs w:val="24"/>
          <w:lang w:val="sr-Latn-ME" w:eastAsia="sr-Latn-ME"/>
        </w:rPr>
        <w:t xml:space="preserve"> </w:t>
      </w:r>
      <w:r w:rsidRPr="00F96844">
        <w:rPr>
          <w:rFonts w:eastAsia="Times New Roman" w:cs="Arial"/>
          <w:sz w:val="24"/>
          <w:szCs w:val="24"/>
          <w:lang w:val="sr-Latn-ME" w:eastAsia="sr-Latn-ME"/>
        </w:rPr>
        <w:t>Tokom odrasle dobi, ukupno 7,5% žena je izjavilo da je doživjelo nasilje u porodici, dok je od bilo kojeg počinioca nasilje doživjelo 11,7% žena. Seksualno uznemiravanje na poslu tokom života, prema izjavi, doživjelo je 17,5% žena</w:t>
      </w:r>
      <w:r w:rsidR="00EA104D">
        <w:rPr>
          <w:rFonts w:eastAsia="Times New Roman" w:cs="Arial"/>
          <w:sz w:val="24"/>
          <w:szCs w:val="24"/>
          <w:lang w:val="sr-Latn-ME" w:eastAsia="sr-Latn-ME"/>
        </w:rPr>
        <w:t>.</w:t>
      </w:r>
      <w:r w:rsidR="00F87ECD">
        <w:rPr>
          <w:rStyle w:val="FootnoteReference"/>
          <w:rFonts w:eastAsia="Times New Roman" w:cs="Arial"/>
          <w:sz w:val="24"/>
          <w:szCs w:val="24"/>
          <w:lang w:val="sr-Latn-ME" w:eastAsia="sr-Latn-ME"/>
        </w:rPr>
        <w:footnoteReference w:id="71"/>
      </w:r>
    </w:p>
    <w:p w14:paraId="71DB9095" w14:textId="77777777" w:rsidR="00637575" w:rsidRPr="000B59F6" w:rsidRDefault="00637575" w:rsidP="00B81BC3">
      <w:pPr>
        <w:shd w:val="clear" w:color="auto" w:fill="FFFFFF"/>
        <w:jc w:val="both"/>
        <w:rPr>
          <w:rFonts w:eastAsia="Times New Roman" w:cs="Arial"/>
          <w:sz w:val="24"/>
          <w:szCs w:val="24"/>
          <w:lang w:val="en-GB" w:eastAsia="sr-Latn-ME"/>
        </w:rPr>
      </w:pPr>
    </w:p>
    <w:p w14:paraId="0F469559" w14:textId="77777777" w:rsidR="00B81BC3" w:rsidRPr="00F96844" w:rsidRDefault="00B81BC3" w:rsidP="00B81BC3">
      <w:pPr>
        <w:shd w:val="clear" w:color="auto" w:fill="FFFFFF"/>
        <w:jc w:val="both"/>
        <w:rPr>
          <w:rFonts w:cs="Arial"/>
          <w:sz w:val="24"/>
          <w:szCs w:val="24"/>
          <w:shd w:val="clear" w:color="auto" w:fill="FFFFFF"/>
          <w:lang w:val="sr-Latn-ME"/>
        </w:rPr>
      </w:pPr>
    </w:p>
    <w:p w14:paraId="21DC3C7E" w14:textId="77777777" w:rsidR="00305DA3" w:rsidRPr="007D47B3" w:rsidRDefault="002B4243" w:rsidP="007D47B3">
      <w:pPr>
        <w:shd w:val="clear" w:color="auto" w:fill="FFFFFF"/>
        <w:jc w:val="both"/>
        <w:rPr>
          <w:rFonts w:eastAsia="Times New Roman" w:cs="Arial"/>
          <w:sz w:val="24"/>
          <w:szCs w:val="24"/>
          <w:lang w:val="sr-Latn-ME" w:eastAsia="sr-Latn-ME"/>
        </w:rPr>
      </w:pPr>
      <w:r w:rsidRPr="007D47B3">
        <w:rPr>
          <w:rFonts w:eastAsia="Times New Roman" w:cs="Arial"/>
          <w:b/>
          <w:bCs/>
          <w:sz w:val="24"/>
          <w:szCs w:val="24"/>
          <w:lang w:val="sr-Latn-ME" w:eastAsia="sr-Latn-ME"/>
        </w:rPr>
        <w:t>Žrtve trgovine ljudima:</w:t>
      </w:r>
      <w:r w:rsidRPr="007D47B3">
        <w:rPr>
          <w:rFonts w:eastAsia="Times New Roman" w:cs="Arial"/>
          <w:sz w:val="24"/>
          <w:szCs w:val="24"/>
          <w:lang w:val="sr-Latn-ME" w:eastAsia="sr-Latn-ME"/>
        </w:rPr>
        <w:t xml:space="preserve"> </w:t>
      </w:r>
      <w:r w:rsidR="007D47B3" w:rsidRPr="007D47B3">
        <w:rPr>
          <w:rFonts w:eastAsia="Times New Roman" w:cs="Arial"/>
          <w:sz w:val="24"/>
          <w:szCs w:val="24"/>
          <w:lang w:val="sr-Latn-ME" w:eastAsia="sr-Latn-ME"/>
        </w:rPr>
        <w:t xml:space="preserve">Crna Gora je zemlja tranzita migranata na takozvanoj balkanskoj ruti </w:t>
      </w:r>
      <w:r w:rsidR="007D47B3">
        <w:rPr>
          <w:rFonts w:eastAsia="Times New Roman" w:cs="Arial"/>
          <w:sz w:val="24"/>
          <w:szCs w:val="24"/>
          <w:lang w:val="sr-Latn-ME" w:eastAsia="sr-Latn-ME"/>
        </w:rPr>
        <w:t xml:space="preserve">i </w:t>
      </w:r>
      <w:r w:rsidR="00305DA3" w:rsidRPr="007D47B3">
        <w:rPr>
          <w:rFonts w:eastAsia="Times New Roman" w:cs="Arial"/>
          <w:sz w:val="24"/>
          <w:szCs w:val="24"/>
          <w:lang w:val="sr-Latn-ME" w:eastAsia="sr-Latn-ME"/>
        </w:rPr>
        <w:t xml:space="preserve">zbog nedovoljno zvaničnih informacija </w:t>
      </w:r>
      <w:r w:rsidR="00BF5665">
        <w:rPr>
          <w:rFonts w:eastAsia="Times New Roman" w:cs="Arial"/>
          <w:sz w:val="24"/>
          <w:szCs w:val="24"/>
          <w:lang w:val="sr-Latn-ME" w:eastAsia="sr-Latn-ME"/>
        </w:rPr>
        <w:t>ne može se utvrditi tačan</w:t>
      </w:r>
      <w:r w:rsidR="00305DA3" w:rsidRPr="007D47B3">
        <w:rPr>
          <w:rFonts w:eastAsia="Times New Roman" w:cs="Arial"/>
          <w:sz w:val="24"/>
          <w:szCs w:val="24"/>
          <w:lang w:val="sr-Latn-ME" w:eastAsia="sr-Latn-ME"/>
        </w:rPr>
        <w:t xml:space="preserve"> broj žrtava trgovine ljudima. Postoji unutrašnja trgovina ljudima u svrhu seksualne ili radne eksploatacije, posebno u primorskom dijelu zemlje i tokom ljetnje sezone.</w:t>
      </w:r>
      <w:r w:rsidR="007D47B3">
        <w:rPr>
          <w:rFonts w:eastAsia="Times New Roman" w:cs="Arial"/>
          <w:sz w:val="24"/>
          <w:szCs w:val="24"/>
          <w:lang w:val="sr-Latn-ME" w:eastAsia="sr-Latn-ME"/>
        </w:rPr>
        <w:t xml:space="preserve"> </w:t>
      </w:r>
      <w:r w:rsidR="00305DA3" w:rsidRPr="007D47B3">
        <w:rPr>
          <w:rFonts w:eastAsia="Times New Roman" w:cs="Arial"/>
          <w:sz w:val="24"/>
          <w:szCs w:val="24"/>
          <w:lang w:val="sr-Latn-ME" w:eastAsia="sr-Latn-ME"/>
        </w:rPr>
        <w:t>Ovo posebno pogađa romsku zajednicu, a uključuje prisilno i organizovano prosjačenje i prisilne brakove djece kada postoji jasna novčana transakcija. </w:t>
      </w:r>
      <w:r w:rsidR="00BF5665">
        <w:rPr>
          <w:rFonts w:eastAsia="Times New Roman" w:cs="Arial"/>
          <w:sz w:val="24"/>
          <w:szCs w:val="24"/>
          <w:lang w:val="sr-Latn-ME" w:eastAsia="sr-Latn-ME"/>
        </w:rPr>
        <w:t>Minista</w:t>
      </w:r>
      <w:r w:rsidR="00EA104D">
        <w:rPr>
          <w:rFonts w:eastAsia="Times New Roman" w:cs="Arial"/>
          <w:sz w:val="24"/>
          <w:szCs w:val="24"/>
          <w:lang w:val="sr-Latn-ME" w:eastAsia="sr-Latn-ME"/>
        </w:rPr>
        <w:t>r</w:t>
      </w:r>
      <w:r w:rsidR="00BF5665">
        <w:rPr>
          <w:rFonts w:eastAsia="Times New Roman" w:cs="Arial"/>
          <w:sz w:val="24"/>
          <w:szCs w:val="24"/>
          <w:lang w:val="sr-Latn-ME" w:eastAsia="sr-Latn-ME"/>
        </w:rPr>
        <w:t>stvo unutrašnjih poslova je formiralo</w:t>
      </w:r>
      <w:r w:rsidR="00305DA3" w:rsidRPr="007D47B3">
        <w:rPr>
          <w:rFonts w:eastAsia="Times New Roman" w:cs="Arial"/>
          <w:sz w:val="24"/>
          <w:szCs w:val="24"/>
          <w:lang w:val="sr-Latn-ME" w:eastAsia="sr-Latn-ME"/>
        </w:rPr>
        <w:t xml:space="preserve"> Tim za formalnu identifikaciju žrtava trgovine ljudima</w:t>
      </w:r>
      <w:r w:rsidR="00E64B32">
        <w:rPr>
          <w:rFonts w:eastAsia="Times New Roman" w:cs="Arial"/>
          <w:sz w:val="24"/>
          <w:szCs w:val="24"/>
          <w:lang w:val="sr-Latn-ME" w:eastAsia="sr-Latn-ME"/>
        </w:rPr>
        <w:t>,</w:t>
      </w:r>
      <w:r w:rsidR="00305DA3" w:rsidRPr="007D47B3">
        <w:rPr>
          <w:rFonts w:eastAsia="Times New Roman" w:cs="Arial"/>
          <w:sz w:val="24"/>
          <w:szCs w:val="24"/>
          <w:lang w:val="sr-Latn-ME" w:eastAsia="sr-Latn-ME"/>
        </w:rPr>
        <w:t xml:space="preserve"> koji dodjeljuj</w:t>
      </w:r>
      <w:r w:rsidR="00E64B32">
        <w:rPr>
          <w:rFonts w:eastAsia="Times New Roman" w:cs="Arial"/>
          <w:sz w:val="24"/>
          <w:szCs w:val="24"/>
          <w:lang w:val="sr-Latn-ME" w:eastAsia="sr-Latn-ME"/>
        </w:rPr>
        <w:t>e</w:t>
      </w:r>
      <w:r w:rsidR="00305DA3" w:rsidRPr="007D47B3">
        <w:rPr>
          <w:rFonts w:eastAsia="Times New Roman" w:cs="Arial"/>
          <w:sz w:val="24"/>
          <w:szCs w:val="24"/>
          <w:lang w:val="sr-Latn-ME" w:eastAsia="sr-Latn-ME"/>
        </w:rPr>
        <w:t xml:space="preserve"> status žrtve</w:t>
      </w:r>
      <w:r w:rsidR="00E64B32">
        <w:rPr>
          <w:rFonts w:eastAsia="Times New Roman" w:cs="Arial"/>
          <w:sz w:val="24"/>
          <w:szCs w:val="24"/>
          <w:lang w:val="sr-Latn-ME" w:eastAsia="sr-Latn-ME"/>
        </w:rPr>
        <w:t xml:space="preserve"> i</w:t>
      </w:r>
      <w:r w:rsidR="00BF5665">
        <w:rPr>
          <w:rFonts w:eastAsia="Times New Roman" w:cs="Arial"/>
          <w:sz w:val="24"/>
          <w:szCs w:val="24"/>
          <w:lang w:val="sr-Latn-ME" w:eastAsia="sr-Latn-ME"/>
        </w:rPr>
        <w:t xml:space="preserve"> koji čin</w:t>
      </w:r>
      <w:r w:rsidR="00EA104D">
        <w:rPr>
          <w:rFonts w:eastAsia="Times New Roman" w:cs="Arial"/>
          <w:sz w:val="24"/>
          <w:szCs w:val="24"/>
          <w:lang w:val="sr-Latn-ME" w:eastAsia="sr-Latn-ME"/>
        </w:rPr>
        <w:t>e</w:t>
      </w:r>
      <w:r w:rsidR="00BF5665">
        <w:rPr>
          <w:rFonts w:eastAsia="Times New Roman" w:cs="Arial"/>
          <w:sz w:val="24"/>
          <w:szCs w:val="24"/>
          <w:lang w:val="sr-Latn-ME" w:eastAsia="sr-Latn-ME"/>
        </w:rPr>
        <w:t xml:space="preserve"> preds</w:t>
      </w:r>
      <w:r w:rsidR="00EA104D">
        <w:rPr>
          <w:rFonts w:eastAsia="Times New Roman" w:cs="Arial"/>
          <w:sz w:val="24"/>
          <w:szCs w:val="24"/>
          <w:lang w:val="sr-Latn-ME" w:eastAsia="sr-Latn-ME"/>
        </w:rPr>
        <w:t>t</w:t>
      </w:r>
      <w:r w:rsidR="00BF5665">
        <w:rPr>
          <w:rFonts w:eastAsia="Times New Roman" w:cs="Arial"/>
          <w:sz w:val="24"/>
          <w:szCs w:val="24"/>
          <w:lang w:val="sr-Latn-ME" w:eastAsia="sr-Latn-ME"/>
        </w:rPr>
        <w:t>avnici relevantnih institucija i NVO sektora.</w:t>
      </w:r>
      <w:r w:rsidR="00305DA3" w:rsidRPr="007D47B3">
        <w:rPr>
          <w:rFonts w:eastAsia="Times New Roman" w:cs="Arial"/>
          <w:sz w:val="24"/>
          <w:szCs w:val="24"/>
          <w:lang w:val="sr-Latn-ME" w:eastAsia="sr-Latn-ME"/>
        </w:rPr>
        <w:t xml:space="preserve"> </w:t>
      </w:r>
      <w:r w:rsidR="00BF5665">
        <w:rPr>
          <w:rFonts w:eastAsia="Times New Roman" w:cs="Arial"/>
          <w:sz w:val="24"/>
          <w:szCs w:val="24"/>
          <w:lang w:val="sr-Latn-ME" w:eastAsia="sr-Latn-ME"/>
        </w:rPr>
        <w:t>P</w:t>
      </w:r>
      <w:r w:rsidR="00305DA3" w:rsidRPr="007D47B3">
        <w:rPr>
          <w:rFonts w:eastAsia="Times New Roman" w:cs="Arial"/>
          <w:sz w:val="24"/>
          <w:szCs w:val="24"/>
          <w:lang w:val="sr-Latn-ME" w:eastAsia="sr-Latn-ME"/>
        </w:rPr>
        <w:t>rema statistici</w:t>
      </w:r>
      <w:r w:rsidR="00EA104D">
        <w:rPr>
          <w:rFonts w:eastAsia="Times New Roman" w:cs="Arial"/>
          <w:sz w:val="24"/>
          <w:szCs w:val="24"/>
          <w:lang w:val="sr-Latn-ME" w:eastAsia="sr-Latn-ME"/>
        </w:rPr>
        <w:t>,</w:t>
      </w:r>
      <w:r w:rsidR="00305DA3" w:rsidRPr="007D47B3">
        <w:rPr>
          <w:rFonts w:eastAsia="Times New Roman" w:cs="Arial"/>
          <w:sz w:val="24"/>
          <w:szCs w:val="24"/>
          <w:lang w:val="sr-Latn-ME" w:eastAsia="sr-Latn-ME"/>
        </w:rPr>
        <w:t xml:space="preserve"> najviše ima žrtava pro</w:t>
      </w:r>
      <w:r w:rsidR="00E64B32">
        <w:rPr>
          <w:rFonts w:eastAsia="Times New Roman" w:cs="Arial"/>
          <w:sz w:val="24"/>
          <w:szCs w:val="24"/>
          <w:lang w:val="sr-Latn-ME" w:eastAsia="sr-Latn-ME"/>
        </w:rPr>
        <w:t>s</w:t>
      </w:r>
      <w:r w:rsidR="00305DA3" w:rsidRPr="007D47B3">
        <w:rPr>
          <w:rFonts w:eastAsia="Times New Roman" w:cs="Arial"/>
          <w:sz w:val="24"/>
          <w:szCs w:val="24"/>
          <w:lang w:val="sr-Latn-ME" w:eastAsia="sr-Latn-ME"/>
        </w:rPr>
        <w:t>jačenja i prinudnih brakova.</w:t>
      </w:r>
      <w:r w:rsidR="00685D62">
        <w:rPr>
          <w:rFonts w:eastAsia="Times New Roman" w:cs="Arial"/>
          <w:sz w:val="24"/>
          <w:szCs w:val="24"/>
          <w:lang w:val="sr-Latn-ME" w:eastAsia="sr-Latn-ME"/>
        </w:rPr>
        <w:t xml:space="preserve"> </w:t>
      </w:r>
      <w:r w:rsidR="00305DA3" w:rsidRPr="007D47B3">
        <w:rPr>
          <w:rFonts w:eastAsia="Times New Roman" w:cs="Arial"/>
          <w:sz w:val="24"/>
          <w:szCs w:val="24"/>
          <w:lang w:val="sr-Latn-ME" w:eastAsia="sr-Latn-ME"/>
        </w:rPr>
        <w:t>Tim je u periodu od 2019. do 2022.</w:t>
      </w:r>
      <w:r w:rsidR="00536AB2">
        <w:rPr>
          <w:rFonts w:eastAsia="Times New Roman" w:cs="Arial"/>
          <w:sz w:val="24"/>
          <w:szCs w:val="24"/>
          <w:lang w:val="sr-Latn-ME" w:eastAsia="sr-Latn-ME"/>
        </w:rPr>
        <w:t xml:space="preserve"> </w:t>
      </w:r>
      <w:r w:rsidR="00305DA3" w:rsidRPr="007D47B3">
        <w:rPr>
          <w:rFonts w:eastAsia="Times New Roman" w:cs="Arial"/>
          <w:sz w:val="24"/>
          <w:szCs w:val="24"/>
          <w:lang w:val="sr-Latn-ME" w:eastAsia="sr-Latn-ME"/>
        </w:rPr>
        <w:t>godine za 73 lica dodijelio status žrtve trgovine ljudima (34 muškaraca i 39 žena). Od tog broja</w:t>
      </w:r>
      <w:r w:rsidR="00E64B32">
        <w:rPr>
          <w:rFonts w:eastAsia="Times New Roman" w:cs="Arial"/>
          <w:sz w:val="24"/>
          <w:szCs w:val="24"/>
          <w:lang w:val="sr-Latn-ME" w:eastAsia="sr-Latn-ME"/>
        </w:rPr>
        <w:t>,</w:t>
      </w:r>
      <w:r w:rsidR="00305DA3" w:rsidRPr="007D47B3">
        <w:rPr>
          <w:rFonts w:eastAsia="Times New Roman" w:cs="Arial"/>
          <w:sz w:val="24"/>
          <w:szCs w:val="24"/>
          <w:lang w:val="sr-Latn-ME" w:eastAsia="sr-Latn-ME"/>
        </w:rPr>
        <w:t xml:space="preserve"> status žrtve dod</w:t>
      </w:r>
      <w:r w:rsidR="000C2F0F">
        <w:rPr>
          <w:rFonts w:eastAsia="Times New Roman" w:cs="Arial"/>
          <w:sz w:val="24"/>
          <w:szCs w:val="24"/>
          <w:lang w:val="sr-Latn-ME" w:eastAsia="sr-Latn-ME"/>
        </w:rPr>
        <w:t>i</w:t>
      </w:r>
      <w:r w:rsidR="00305DA3" w:rsidRPr="007D47B3">
        <w:rPr>
          <w:rFonts w:eastAsia="Times New Roman" w:cs="Arial"/>
          <w:sz w:val="24"/>
          <w:szCs w:val="24"/>
          <w:lang w:val="sr-Latn-ME" w:eastAsia="sr-Latn-ME"/>
        </w:rPr>
        <w:t>jeljen je za 27 djece (7 dječaka i 20 djevojčica). U 2023.</w:t>
      </w:r>
      <w:r w:rsidR="00536AB2">
        <w:rPr>
          <w:rFonts w:eastAsia="Times New Roman" w:cs="Arial"/>
          <w:sz w:val="24"/>
          <w:szCs w:val="24"/>
          <w:lang w:val="sr-Latn-ME" w:eastAsia="sr-Latn-ME"/>
        </w:rPr>
        <w:t xml:space="preserve"> </w:t>
      </w:r>
      <w:r w:rsidR="00305DA3" w:rsidRPr="007D47B3">
        <w:rPr>
          <w:rFonts w:eastAsia="Times New Roman" w:cs="Arial"/>
          <w:sz w:val="24"/>
          <w:szCs w:val="24"/>
          <w:lang w:val="sr-Latn-ME" w:eastAsia="sr-Latn-ME"/>
        </w:rPr>
        <w:t>godini status žrtve trgovine ljudima dobilo je 18 lica. Od toga 13 djece (8 djevojčica i 5 dječaka) i 5 odraslih žena. </w:t>
      </w:r>
    </w:p>
    <w:p w14:paraId="19097A5A" w14:textId="77777777" w:rsidR="00341F98" w:rsidRPr="00F96844" w:rsidRDefault="00341F98" w:rsidP="005114FD">
      <w:pPr>
        <w:jc w:val="both"/>
        <w:rPr>
          <w:rFonts w:cs="Arial"/>
          <w:sz w:val="24"/>
          <w:szCs w:val="24"/>
          <w:lang w:val="sr-Latn-ME"/>
        </w:rPr>
      </w:pPr>
    </w:p>
    <w:p w14:paraId="1BA79A9A" w14:textId="77777777" w:rsidR="008046B8" w:rsidRDefault="002B4243" w:rsidP="00780738">
      <w:pPr>
        <w:jc w:val="both"/>
        <w:rPr>
          <w:rFonts w:cs="Arial"/>
          <w:sz w:val="24"/>
          <w:szCs w:val="24"/>
          <w:lang w:val="sr-Latn-ME"/>
        </w:rPr>
      </w:pPr>
      <w:r w:rsidRPr="00F96844">
        <w:rPr>
          <w:rFonts w:cs="Arial"/>
          <w:b/>
          <w:bCs/>
          <w:sz w:val="24"/>
          <w:szCs w:val="24"/>
          <w:lang w:val="sr-Latn-ME"/>
        </w:rPr>
        <w:t>Beskućnici:</w:t>
      </w:r>
      <w:r w:rsidRPr="00F96844">
        <w:rPr>
          <w:rFonts w:cs="Arial"/>
          <w:sz w:val="24"/>
          <w:szCs w:val="24"/>
          <w:lang w:val="sr-Latn-ME"/>
        </w:rPr>
        <w:t xml:space="preserve"> </w:t>
      </w:r>
      <w:r w:rsidR="001E4D4A">
        <w:rPr>
          <w:rFonts w:cs="Arial"/>
          <w:sz w:val="24"/>
          <w:szCs w:val="24"/>
          <w:lang w:val="sr-Latn-ME"/>
        </w:rPr>
        <w:t>U Crnoj Gori ne postoji registar lica za koje je utvrđeno da su beskućnici te je s</w:t>
      </w:r>
      <w:r w:rsidRPr="00F96844">
        <w:rPr>
          <w:rFonts w:cs="Arial"/>
          <w:sz w:val="24"/>
          <w:szCs w:val="24"/>
          <w:lang w:val="sr-Latn-ME"/>
        </w:rPr>
        <w:t xml:space="preserve">akupljanje pouzdanih podataka o broju </w:t>
      </w:r>
      <w:r w:rsidR="001E4D4A">
        <w:rPr>
          <w:rFonts w:cs="Arial"/>
          <w:sz w:val="24"/>
          <w:szCs w:val="24"/>
          <w:lang w:val="sr-Latn-ME"/>
        </w:rPr>
        <w:t xml:space="preserve">ovih lica </w:t>
      </w:r>
      <w:r w:rsidRPr="00F96844">
        <w:rPr>
          <w:rFonts w:cs="Arial"/>
          <w:sz w:val="24"/>
          <w:szCs w:val="24"/>
          <w:lang w:val="sr-Latn-ME"/>
        </w:rPr>
        <w:t>vrlo složeno, jer to uključuje i skrivene oblike kao što su život</w:t>
      </w:r>
      <w:r w:rsidR="004C5D23">
        <w:rPr>
          <w:rFonts w:cs="Arial"/>
          <w:sz w:val="24"/>
          <w:szCs w:val="24"/>
          <w:lang w:val="sr-Latn-ME"/>
        </w:rPr>
        <w:t xml:space="preserve"> s p</w:t>
      </w:r>
      <w:r w:rsidRPr="00F96844">
        <w:rPr>
          <w:rFonts w:cs="Arial"/>
          <w:sz w:val="24"/>
          <w:szCs w:val="24"/>
          <w:lang w:val="sr-Latn-ME"/>
        </w:rPr>
        <w:t>orodicom ili prijateljima u neprihvatljivim uslovima ili lica koj</w:t>
      </w:r>
      <w:r w:rsidR="00E64B32">
        <w:rPr>
          <w:rFonts w:cs="Arial"/>
          <w:sz w:val="24"/>
          <w:szCs w:val="24"/>
          <w:lang w:val="sr-Latn-ME"/>
        </w:rPr>
        <w:t>a</w:t>
      </w:r>
      <w:r w:rsidRPr="00F96844">
        <w:rPr>
          <w:rFonts w:cs="Arial"/>
          <w:sz w:val="24"/>
          <w:szCs w:val="24"/>
          <w:lang w:val="sr-Latn-ME"/>
        </w:rPr>
        <w:t xml:space="preserve"> se suočavaju</w:t>
      </w:r>
      <w:r w:rsidR="004C5D23">
        <w:rPr>
          <w:rFonts w:cs="Arial"/>
          <w:sz w:val="24"/>
          <w:szCs w:val="24"/>
          <w:lang w:val="sr-Latn-ME"/>
        </w:rPr>
        <w:t xml:space="preserve"> s r</w:t>
      </w:r>
      <w:r w:rsidRPr="00F96844">
        <w:rPr>
          <w:rFonts w:cs="Arial"/>
          <w:sz w:val="24"/>
          <w:szCs w:val="24"/>
          <w:lang w:val="sr-Latn-ME"/>
        </w:rPr>
        <w:t>azličitim oblicima isključenosti.</w:t>
      </w:r>
      <w:r w:rsidRPr="00F96844">
        <w:rPr>
          <w:rFonts w:cs="Arial"/>
          <w:sz w:val="24"/>
          <w:szCs w:val="24"/>
          <w:vertAlign w:val="superscript"/>
          <w:lang w:val="sr-Latn-ME"/>
        </w:rPr>
        <w:footnoteReference w:id="72"/>
      </w:r>
      <w:r w:rsidR="00655412" w:rsidRPr="00F96844">
        <w:rPr>
          <w:rFonts w:cs="Arial"/>
          <w:sz w:val="24"/>
          <w:szCs w:val="24"/>
          <w:lang w:val="sr-Latn-ME"/>
        </w:rPr>
        <w:t xml:space="preserve"> </w:t>
      </w:r>
      <w:r w:rsidRPr="00F96844">
        <w:rPr>
          <w:rFonts w:cs="Arial"/>
          <w:sz w:val="24"/>
          <w:szCs w:val="24"/>
          <w:lang w:val="sr-Latn-ME"/>
        </w:rPr>
        <w:t>Zakonom o socijalnoj i dječjoj zaštiti beskućnik je definisan kao lice koje nema adresu stanovanja, boravi na javnim ili drugim mjestima koja nijesu namijenjena za stanovanje i nema sredstava kojima bi mog</w:t>
      </w:r>
      <w:r w:rsidR="00E64B32">
        <w:rPr>
          <w:rFonts w:cs="Arial"/>
          <w:sz w:val="24"/>
          <w:szCs w:val="24"/>
          <w:lang w:val="sr-Latn-ME"/>
        </w:rPr>
        <w:t>ao</w:t>
      </w:r>
      <w:r w:rsidRPr="00F96844">
        <w:rPr>
          <w:rFonts w:cs="Arial"/>
          <w:sz w:val="24"/>
          <w:szCs w:val="24"/>
          <w:lang w:val="sr-Latn-ME"/>
        </w:rPr>
        <w:t xml:space="preserve"> da podmir</w:t>
      </w:r>
      <w:r w:rsidR="00E64B32">
        <w:rPr>
          <w:rFonts w:cs="Arial"/>
          <w:sz w:val="24"/>
          <w:szCs w:val="24"/>
          <w:lang w:val="sr-Latn-ME"/>
        </w:rPr>
        <w:t>i</w:t>
      </w:r>
      <w:r w:rsidRPr="00F96844">
        <w:rPr>
          <w:rFonts w:cs="Arial"/>
          <w:sz w:val="24"/>
          <w:szCs w:val="24"/>
          <w:lang w:val="sr-Latn-ME"/>
        </w:rPr>
        <w:t xml:space="preserve"> potrebu stanovanja.</w:t>
      </w:r>
      <w:r w:rsidR="00B5029F">
        <w:rPr>
          <w:rFonts w:cs="Arial"/>
          <w:sz w:val="24"/>
          <w:szCs w:val="24"/>
          <w:lang w:val="sr-Latn-ME"/>
        </w:rPr>
        <w:t xml:space="preserve"> </w:t>
      </w:r>
    </w:p>
    <w:p w14:paraId="07E2B980" w14:textId="77777777" w:rsidR="00B5029F" w:rsidRPr="00F96844" w:rsidRDefault="00B5029F" w:rsidP="005114FD">
      <w:pPr>
        <w:rPr>
          <w:rFonts w:cs="Arial"/>
          <w:sz w:val="24"/>
          <w:szCs w:val="24"/>
          <w:lang w:val="sr-Latn-ME"/>
        </w:rPr>
      </w:pPr>
    </w:p>
    <w:p w14:paraId="1FF315C7" w14:textId="77777777" w:rsidR="00B628C4" w:rsidRDefault="002B4243" w:rsidP="00780738">
      <w:pPr>
        <w:rPr>
          <w:rFonts w:cs="Arial"/>
          <w:sz w:val="24"/>
          <w:szCs w:val="24"/>
          <w:lang w:val="sr-Latn-ME"/>
        </w:rPr>
      </w:pPr>
      <w:r w:rsidRPr="00F96844">
        <w:rPr>
          <w:rFonts w:cs="Arial"/>
          <w:sz w:val="24"/>
          <w:szCs w:val="24"/>
          <w:lang w:val="sr-Latn-ME"/>
        </w:rPr>
        <w:t>Razvoj sistema socijalne i dječje zaštite možemo posmatrati kroz razvoj sl</w:t>
      </w:r>
      <w:r w:rsidR="00341F98" w:rsidRPr="00F96844">
        <w:rPr>
          <w:rFonts w:cs="Arial"/>
          <w:sz w:val="24"/>
          <w:szCs w:val="24"/>
          <w:lang w:val="sr-Latn-ME"/>
        </w:rPr>
        <w:t>j</w:t>
      </w:r>
      <w:r w:rsidRPr="00F96844">
        <w:rPr>
          <w:rFonts w:cs="Arial"/>
          <w:sz w:val="24"/>
          <w:szCs w:val="24"/>
          <w:lang w:val="sr-Latn-ME"/>
        </w:rPr>
        <w:t xml:space="preserve">edećih </w:t>
      </w:r>
    </w:p>
    <w:p w14:paraId="4B974890" w14:textId="77777777" w:rsidR="002B4243" w:rsidRDefault="002B4243" w:rsidP="00780738">
      <w:pPr>
        <w:rPr>
          <w:rFonts w:cs="Arial"/>
          <w:sz w:val="24"/>
          <w:szCs w:val="24"/>
          <w:lang w:val="sr-Latn-ME"/>
        </w:rPr>
      </w:pPr>
      <w:r w:rsidRPr="00F96844">
        <w:rPr>
          <w:rFonts w:cs="Arial"/>
          <w:sz w:val="24"/>
          <w:szCs w:val="24"/>
          <w:lang w:val="sr-Latn-ME"/>
        </w:rPr>
        <w:t>oblasti:</w:t>
      </w:r>
    </w:p>
    <w:p w14:paraId="05C78AEB" w14:textId="77777777" w:rsidR="00B628C4" w:rsidRDefault="00B628C4" w:rsidP="00780738">
      <w:pPr>
        <w:rPr>
          <w:rFonts w:cs="Arial"/>
          <w:sz w:val="24"/>
          <w:szCs w:val="24"/>
          <w:lang w:val="sr-Latn-ME"/>
        </w:rPr>
      </w:pPr>
    </w:p>
    <w:p w14:paraId="5328FB3D" w14:textId="77777777" w:rsidR="00B628C4" w:rsidRPr="00F96844" w:rsidRDefault="00B628C4" w:rsidP="00780738">
      <w:pPr>
        <w:rPr>
          <w:rFonts w:cs="Arial"/>
          <w:sz w:val="24"/>
          <w:szCs w:val="24"/>
          <w:lang w:val="sr-Latn-ME"/>
        </w:rPr>
      </w:pPr>
    </w:p>
    <w:p w14:paraId="663B30E5" w14:textId="77777777" w:rsidR="00EE4A23" w:rsidRPr="00F96844" w:rsidRDefault="00B628C4" w:rsidP="005114FD">
      <w:pPr>
        <w:rPr>
          <w:rFonts w:cs="Arial"/>
          <w:sz w:val="24"/>
          <w:szCs w:val="24"/>
          <w:lang w:val="sr-Latn-ME"/>
        </w:rPr>
      </w:pPr>
      <w:r w:rsidRPr="004C5058">
        <w:rPr>
          <w:rFonts w:eastAsia="Calibri" w:cs="Arial"/>
          <w:noProof/>
          <w:sz w:val="24"/>
          <w:szCs w:val="24"/>
          <w:lang w:val="sr-Latn-ME" w:eastAsia="sr-Latn-ME"/>
        </w:rPr>
        <w:drawing>
          <wp:anchor distT="0" distB="0" distL="114300" distR="114300" simplePos="0" relativeHeight="251659264" behindDoc="1" locked="0" layoutInCell="1" allowOverlap="1" wp14:anchorId="55C20FF5" wp14:editId="10EB050C">
            <wp:simplePos x="0" y="0"/>
            <wp:positionH relativeFrom="column">
              <wp:posOffset>0</wp:posOffset>
            </wp:positionH>
            <wp:positionV relativeFrom="paragraph">
              <wp:posOffset>113030</wp:posOffset>
            </wp:positionV>
            <wp:extent cx="5800725" cy="3295650"/>
            <wp:effectExtent l="57150" t="57150" r="47625" b="38100"/>
            <wp:wrapTight wrapText="bothSides">
              <wp:wrapPolygon edited="0">
                <wp:start x="2979" y="-375"/>
                <wp:lineTo x="2554" y="-125"/>
                <wp:lineTo x="2554" y="7866"/>
                <wp:lineTo x="-213" y="7866"/>
                <wp:lineTo x="-213" y="15857"/>
                <wp:lineTo x="6952" y="15857"/>
                <wp:lineTo x="6952" y="18603"/>
                <wp:lineTo x="7590" y="19852"/>
                <wp:lineTo x="7590" y="19977"/>
                <wp:lineTo x="9647" y="21475"/>
                <wp:lineTo x="9789" y="21725"/>
                <wp:lineTo x="11775" y="21725"/>
                <wp:lineTo x="11846" y="21475"/>
                <wp:lineTo x="14045" y="19852"/>
                <wp:lineTo x="14116" y="19852"/>
                <wp:lineTo x="14684" y="17979"/>
                <wp:lineTo x="14684" y="17854"/>
                <wp:lineTo x="14329" y="15982"/>
                <wp:lineTo x="18727" y="15857"/>
                <wp:lineTo x="21706" y="15108"/>
                <wp:lineTo x="21706" y="8116"/>
                <wp:lineTo x="13691" y="7866"/>
                <wp:lineTo x="19082" y="6617"/>
                <wp:lineTo x="19153" y="0"/>
                <wp:lineTo x="18514" y="-125"/>
                <wp:lineTo x="9151" y="-375"/>
                <wp:lineTo x="2979" y="-375"/>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07CFA3F3" w14:textId="77777777" w:rsidR="00635EE5" w:rsidRPr="00F96844" w:rsidRDefault="00635EE5" w:rsidP="005114FD">
      <w:pPr>
        <w:rPr>
          <w:rFonts w:cs="Arial"/>
          <w:noProof/>
          <w:sz w:val="24"/>
          <w:szCs w:val="24"/>
          <w:lang w:val="sr-Latn-ME" w:eastAsia="sr-Latn-ME"/>
        </w:rPr>
      </w:pPr>
    </w:p>
    <w:p w14:paraId="43D16430" w14:textId="77777777" w:rsidR="00635EE5" w:rsidRPr="00F96844" w:rsidRDefault="00B21B53" w:rsidP="005114FD">
      <w:pPr>
        <w:rPr>
          <w:rFonts w:cs="Arial"/>
          <w:noProof/>
          <w:sz w:val="24"/>
          <w:szCs w:val="24"/>
          <w:lang w:val="sr-Latn-ME" w:eastAsia="sr-Latn-ME"/>
        </w:rPr>
      </w:pPr>
      <w:r>
        <w:rPr>
          <w:rFonts w:cs="Arial"/>
          <w:noProof/>
          <w:sz w:val="24"/>
          <w:szCs w:val="24"/>
          <w:lang w:val="sr-Latn-ME" w:eastAsia="sr-Latn-ME"/>
        </w:rPr>
        <mc:AlternateContent>
          <mc:Choice Requires="wps">
            <w:drawing>
              <wp:anchor distT="0" distB="0" distL="114300" distR="114300" simplePos="0" relativeHeight="251662336" behindDoc="1" locked="0" layoutInCell="1" allowOverlap="1" wp14:anchorId="232D4513" wp14:editId="1ABFA7B9">
                <wp:simplePos x="0" y="0"/>
                <wp:positionH relativeFrom="column">
                  <wp:posOffset>1844676</wp:posOffset>
                </wp:positionH>
                <wp:positionV relativeFrom="paragraph">
                  <wp:posOffset>871895</wp:posOffset>
                </wp:positionV>
                <wp:extent cx="715617" cy="278295"/>
                <wp:effectExtent l="85090" t="29210" r="170180" b="0"/>
                <wp:wrapNone/>
                <wp:docPr id="14" name="Arrow: Right 14"/>
                <wp:cNvGraphicFramePr/>
                <a:graphic xmlns:a="http://schemas.openxmlformats.org/drawingml/2006/main">
                  <a:graphicData uri="http://schemas.microsoft.com/office/word/2010/wordprocessingShape">
                    <wps:wsp>
                      <wps:cNvSpPr/>
                      <wps:spPr>
                        <a:xfrm rot="3011306">
                          <a:off x="0" y="0"/>
                          <a:ext cx="715617" cy="278295"/>
                        </a:xfrm>
                        <a:prstGeom prst="rightArrow">
                          <a:avLst/>
                        </a:prstGeom>
                        <a:solidFill>
                          <a:schemeClr val="tx1">
                            <a:lumMod val="50000"/>
                            <a:lumOff val="50000"/>
                          </a:schemeClr>
                        </a:solidFill>
                        <a:ln w="1270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miter lim="800000"/>
                        </a:ln>
                        <a:effectLst>
                          <a:innerShdw blurRad="63500" dist="50800" dir="5400000">
                            <a:prstClr val="black">
                              <a:alpha val="50000"/>
                            </a:prstClr>
                          </a:innerShdw>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BED7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145.25pt;margin-top:68.65pt;width:56.35pt;height:21.9pt;rotation:3289149fd;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" adj="17400" fillcolor="gray [1629]" strokeweight="1pt"/>
            </w:pict>
          </mc:Fallback>
        </mc:AlternateContent>
      </w:r>
      <w:r w:rsidR="004A6F4E">
        <w:rPr>
          <w:rFonts w:cs="Arial"/>
          <w:noProof/>
          <w:sz w:val="24"/>
          <w:szCs w:val="24"/>
          <w:lang w:val="sr-Latn-ME" w:eastAsia="sr-Latn-ME"/>
        </w:rPr>
        <mc:AlternateContent>
          <mc:Choice Requires="wps">
            <w:drawing>
              <wp:anchor distT="0" distB="0" distL="114300" distR="114300" simplePos="0" relativeHeight="251664384" behindDoc="1" locked="0" layoutInCell="1" allowOverlap="1" wp14:anchorId="45921210" wp14:editId="0FCBCFF3">
                <wp:simplePos x="0" y="0"/>
                <wp:positionH relativeFrom="margin">
                  <wp:posOffset>3126685</wp:posOffset>
                </wp:positionH>
                <wp:positionV relativeFrom="paragraph">
                  <wp:posOffset>866775</wp:posOffset>
                </wp:positionV>
                <wp:extent cx="715617" cy="278295"/>
                <wp:effectExtent l="161290" t="48260" r="55880" b="0"/>
                <wp:wrapNone/>
                <wp:docPr id="16" name="Arrow: Right 16"/>
                <wp:cNvGraphicFramePr/>
                <a:graphic xmlns:a="http://schemas.openxmlformats.org/drawingml/2006/main">
                  <a:graphicData uri="http://schemas.microsoft.com/office/word/2010/wordprocessingShape">
                    <wps:wsp>
                      <wps:cNvSpPr/>
                      <wps:spPr>
                        <a:xfrm rot="7248889">
                          <a:off x="0" y="0"/>
                          <a:ext cx="715617" cy="278295"/>
                        </a:xfrm>
                        <a:prstGeom prst="rightArrow">
                          <a:avLst/>
                        </a:prstGeom>
                        <a:solidFill>
                          <a:schemeClr val="accent4"/>
                        </a:solidFill>
                        <a:ln w="1270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miter lim="800000"/>
                        </a:ln>
                        <a:effectLst>
                          <a:innerShdw blurRad="63500" dist="50800" dir="5400000">
                            <a:prstClr val="black">
                              <a:alpha val="50000"/>
                            </a:prstClr>
                          </a:innerShdw>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3B61A" id="Arrow: Right 16" o:spid="_x0000_s1026" type="#_x0000_t13" style="position:absolute;margin-left:246.2pt;margin-top:68.25pt;width:56.35pt;height:21.9pt;rotation:7917720fd;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" adj="17400" fillcolor="#ffc000 [3207]" strokeweight="1pt">
                <w10:wrap anchorx="margin"/>
              </v:shape>
            </w:pict>
          </mc:Fallback>
        </mc:AlternateContent>
      </w:r>
      <w:r w:rsidR="004A6F4E">
        <w:rPr>
          <w:rFonts w:cs="Arial"/>
          <w:noProof/>
          <w:sz w:val="24"/>
          <w:szCs w:val="24"/>
          <w:lang w:val="sr-Latn-ME" w:eastAsia="sr-Latn-ME"/>
        </w:rPr>
        <mc:AlternateContent>
          <mc:Choice Requires="wps">
            <w:drawing>
              <wp:anchor distT="0" distB="0" distL="114300" distR="114300" simplePos="0" relativeHeight="251666432" behindDoc="1" locked="0" layoutInCell="1" allowOverlap="1" wp14:anchorId="18F5527B" wp14:editId="1669EAD0">
                <wp:simplePos x="0" y="0"/>
                <wp:positionH relativeFrom="column">
                  <wp:posOffset>3461025</wp:posOffset>
                </wp:positionH>
                <wp:positionV relativeFrom="paragraph">
                  <wp:posOffset>1473324</wp:posOffset>
                </wp:positionV>
                <wp:extent cx="715617" cy="278295"/>
                <wp:effectExtent l="0" t="190500" r="0" b="160020"/>
                <wp:wrapNone/>
                <wp:docPr id="19" name="Arrow: Right 19"/>
                <wp:cNvGraphicFramePr/>
                <a:graphic xmlns:a="http://schemas.openxmlformats.org/drawingml/2006/main">
                  <a:graphicData uri="http://schemas.microsoft.com/office/word/2010/wordprocessingShape">
                    <wps:wsp>
                      <wps:cNvSpPr/>
                      <wps:spPr>
                        <a:xfrm rot="8556983">
                          <a:off x="0" y="0"/>
                          <a:ext cx="715617" cy="278295"/>
                        </a:xfrm>
                        <a:prstGeom prst="rightArrow">
                          <a:avLst/>
                        </a:prstGeom>
                        <a:solidFill>
                          <a:schemeClr val="accent6"/>
                        </a:solidFill>
                        <a:ln w="1270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miter lim="800000"/>
                        </a:ln>
                        <a:effectLst>
                          <a:innerShdw blurRad="63500" dist="50800" dir="5400000">
                            <a:prstClr val="black">
                              <a:alpha val="50000"/>
                            </a:prstClr>
                          </a:innerShdw>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48F1DF" id="Arrow: Right 19" o:spid="_x0000_s1026" type="#_x0000_t13" style="position:absolute;margin-left:272.5pt;margin-top:116pt;width:56.35pt;height:21.9pt;rotation:9346507fd;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" adj="17400" fillcolor="#70ad47 [3209]" strokeweight="1pt"/>
            </w:pict>
          </mc:Fallback>
        </mc:AlternateContent>
      </w:r>
      <w:r w:rsidR="004A6F4E">
        <w:rPr>
          <w:rFonts w:cs="Arial"/>
          <w:noProof/>
          <w:sz w:val="24"/>
          <w:szCs w:val="24"/>
          <w:lang w:val="sr-Latn-ME" w:eastAsia="sr-Latn-ME"/>
        </w:rPr>
        <mc:AlternateContent>
          <mc:Choice Requires="wps">
            <w:drawing>
              <wp:anchor distT="0" distB="0" distL="114300" distR="114300" simplePos="0" relativeHeight="251660288" behindDoc="1" locked="0" layoutInCell="1" allowOverlap="1" wp14:anchorId="7861F4E4" wp14:editId="60FCCC08">
                <wp:simplePos x="0" y="0"/>
                <wp:positionH relativeFrom="column">
                  <wp:posOffset>1558235</wp:posOffset>
                </wp:positionH>
                <wp:positionV relativeFrom="paragraph">
                  <wp:posOffset>1486231</wp:posOffset>
                </wp:positionV>
                <wp:extent cx="715617" cy="278295"/>
                <wp:effectExtent l="0" t="209550" r="0" b="179070"/>
                <wp:wrapNone/>
                <wp:docPr id="12" name="Arrow: Right 12"/>
                <wp:cNvGraphicFramePr/>
                <a:graphic xmlns:a="http://schemas.openxmlformats.org/drawingml/2006/main">
                  <a:graphicData uri="http://schemas.microsoft.com/office/word/2010/wordprocessingShape">
                    <wps:wsp>
                      <wps:cNvSpPr/>
                      <wps:spPr>
                        <a:xfrm rot="2681554">
                          <a:off x="0" y="0"/>
                          <a:ext cx="715617" cy="278295"/>
                        </a:xfrm>
                        <a:prstGeom prst="rightArrow">
                          <a:avLst/>
                        </a:prstGeom>
                        <a:solidFill>
                          <a:schemeClr val="accent2"/>
                        </a:solidFill>
                        <a:ln w="1270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miter lim="800000"/>
                        </a:ln>
                        <a:effectLst>
                          <a:innerShdw blurRad="63500" dist="50800" dir="5400000">
                            <a:prstClr val="black">
                              <a:alpha val="50000"/>
                            </a:prstClr>
                          </a:innerShdw>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92BD0" id="Arrow: Right 12" o:spid="_x0000_s1026" type="#_x0000_t13" style="position:absolute;margin-left:122.7pt;margin-top:117.05pt;width:56.35pt;height:21.9pt;rotation:2928972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" adj="17400" fillcolor="#ed7d31 [3205]" strokeweight="1pt"/>
            </w:pict>
          </mc:Fallback>
        </mc:AlternateContent>
      </w:r>
    </w:p>
    <w:p w14:paraId="52FD6725" w14:textId="77777777" w:rsidR="00254CEE" w:rsidRPr="00F96844" w:rsidRDefault="00254CEE" w:rsidP="005114FD">
      <w:pPr>
        <w:rPr>
          <w:rFonts w:cs="Arial"/>
          <w:sz w:val="24"/>
          <w:szCs w:val="24"/>
          <w:lang w:val="sr-Latn-ME"/>
        </w:rPr>
      </w:pPr>
    </w:p>
    <w:p w14:paraId="5E6ACAE2" w14:textId="77777777" w:rsidR="005861F9" w:rsidRDefault="005861F9" w:rsidP="005114FD">
      <w:pPr>
        <w:rPr>
          <w:rFonts w:cs="Arial"/>
          <w:sz w:val="24"/>
          <w:szCs w:val="24"/>
          <w:lang w:val="sr-Latn-ME"/>
        </w:rPr>
      </w:pPr>
    </w:p>
    <w:p w14:paraId="41F63524" w14:textId="77777777" w:rsidR="005861F9" w:rsidRDefault="005861F9" w:rsidP="005114FD">
      <w:pPr>
        <w:rPr>
          <w:rFonts w:cs="Arial"/>
          <w:sz w:val="24"/>
          <w:szCs w:val="24"/>
          <w:lang w:val="sr-Latn-ME"/>
        </w:rPr>
      </w:pPr>
    </w:p>
    <w:p w14:paraId="1D617548" w14:textId="77777777" w:rsidR="005861F9" w:rsidRDefault="005861F9" w:rsidP="005114FD">
      <w:pPr>
        <w:rPr>
          <w:rFonts w:cs="Arial"/>
          <w:sz w:val="24"/>
          <w:szCs w:val="24"/>
          <w:lang w:val="sr-Latn-ME"/>
        </w:rPr>
      </w:pPr>
    </w:p>
    <w:p w14:paraId="3EDCFE68" w14:textId="77777777" w:rsidR="005861F9" w:rsidRPr="00F96844" w:rsidRDefault="005861F9" w:rsidP="005114FD">
      <w:pPr>
        <w:rPr>
          <w:rFonts w:cs="Arial"/>
          <w:sz w:val="24"/>
          <w:szCs w:val="24"/>
          <w:lang w:val="sr-Latn-ME"/>
        </w:rPr>
      </w:pPr>
    </w:p>
    <w:p w14:paraId="3F18BEE9" w14:textId="77777777" w:rsidR="005A06D0" w:rsidRDefault="005A06D0" w:rsidP="00780738">
      <w:pPr>
        <w:jc w:val="both"/>
        <w:rPr>
          <w:rFonts w:cs="Arial"/>
          <w:sz w:val="24"/>
          <w:szCs w:val="24"/>
          <w:lang w:val="sr-Latn-ME"/>
        </w:rPr>
      </w:pPr>
    </w:p>
    <w:p w14:paraId="3360D666" w14:textId="77777777" w:rsidR="005A06D0" w:rsidRDefault="005A06D0" w:rsidP="00780738">
      <w:pPr>
        <w:jc w:val="both"/>
        <w:rPr>
          <w:rFonts w:cs="Arial"/>
          <w:sz w:val="24"/>
          <w:szCs w:val="24"/>
          <w:lang w:val="sr-Latn-ME"/>
        </w:rPr>
      </w:pPr>
    </w:p>
    <w:p w14:paraId="250DD428" w14:textId="77777777" w:rsidR="005A06D0" w:rsidRDefault="005A06D0" w:rsidP="00780738">
      <w:pPr>
        <w:jc w:val="both"/>
        <w:rPr>
          <w:rFonts w:cs="Arial"/>
          <w:sz w:val="24"/>
          <w:szCs w:val="24"/>
          <w:lang w:val="sr-Latn-ME"/>
        </w:rPr>
      </w:pPr>
    </w:p>
    <w:p w14:paraId="1E90D8DA" w14:textId="77777777" w:rsidR="005A06D0" w:rsidRDefault="005A06D0" w:rsidP="00780738">
      <w:pPr>
        <w:jc w:val="both"/>
        <w:rPr>
          <w:rFonts w:cs="Arial"/>
          <w:sz w:val="24"/>
          <w:szCs w:val="24"/>
          <w:lang w:val="sr-Latn-ME"/>
        </w:rPr>
      </w:pPr>
    </w:p>
    <w:p w14:paraId="35DBE043" w14:textId="77777777" w:rsidR="002B4243" w:rsidRPr="00F96844" w:rsidRDefault="002B4243" w:rsidP="00780738">
      <w:pPr>
        <w:jc w:val="both"/>
        <w:rPr>
          <w:rFonts w:cs="Arial"/>
          <w:sz w:val="24"/>
          <w:szCs w:val="24"/>
          <w:lang w:val="sr-Latn-ME"/>
        </w:rPr>
      </w:pPr>
      <w:r w:rsidRPr="00F96844">
        <w:rPr>
          <w:rFonts w:cs="Arial"/>
          <w:sz w:val="24"/>
          <w:szCs w:val="24"/>
          <w:lang w:val="sr-Latn-ME"/>
        </w:rPr>
        <w:t>Ove oblasti će biti analizirane i za njih predviđena adekvatna rješenja u vidu strateških i operativnih ciljeva.</w:t>
      </w:r>
    </w:p>
    <w:p w14:paraId="4F37459A" w14:textId="77777777" w:rsidR="002B4243" w:rsidRPr="00F96844" w:rsidRDefault="002B4243" w:rsidP="00780738">
      <w:pPr>
        <w:jc w:val="both"/>
        <w:rPr>
          <w:rFonts w:cs="Arial"/>
          <w:sz w:val="24"/>
          <w:szCs w:val="24"/>
          <w:lang w:val="sr-Latn-ME"/>
        </w:rPr>
      </w:pPr>
    </w:p>
    <w:p w14:paraId="167607EE" w14:textId="77777777" w:rsidR="002B4243" w:rsidRPr="00F96844" w:rsidRDefault="002B4243" w:rsidP="00780738">
      <w:pPr>
        <w:jc w:val="both"/>
        <w:rPr>
          <w:rFonts w:cs="Arial"/>
          <w:sz w:val="24"/>
          <w:szCs w:val="24"/>
          <w:lang w:val="sr-Latn-ME"/>
        </w:rPr>
      </w:pPr>
      <w:r w:rsidRPr="00F96844">
        <w:rPr>
          <w:rFonts w:cs="Arial"/>
          <w:sz w:val="24"/>
          <w:szCs w:val="24"/>
          <w:lang w:val="sr-Latn-ME"/>
        </w:rPr>
        <w:t>Pri izradi ovog dokumenta primijenjena je i SWOT analiza stanja u oblasti socijalne i dječje zaštite, kojom su prepoznate prednosti, slabosti, mogućnosti i prijetnje.</w:t>
      </w:r>
    </w:p>
    <w:p w14:paraId="491AE6EA" w14:textId="77777777" w:rsidR="004626E0" w:rsidRDefault="004626E0" w:rsidP="005114FD">
      <w:pPr>
        <w:jc w:val="both"/>
        <w:rPr>
          <w:rFonts w:cs="Arial"/>
          <w:sz w:val="24"/>
          <w:szCs w:val="24"/>
          <w:lang w:val="sr-Latn-ME"/>
        </w:rPr>
      </w:pPr>
    </w:p>
    <w:p w14:paraId="2819745A" w14:textId="77777777" w:rsidR="004626E0" w:rsidRPr="00F96844" w:rsidRDefault="004626E0" w:rsidP="005114FD">
      <w:pPr>
        <w:jc w:val="both"/>
        <w:rPr>
          <w:rFonts w:cs="Arial"/>
          <w:sz w:val="24"/>
          <w:szCs w:val="24"/>
          <w:lang w:val="sr-Latn-ME"/>
        </w:rPr>
      </w:pPr>
    </w:p>
    <w:tbl>
      <w:tblPr>
        <w:tblW w:w="966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989"/>
      </w:tblGrid>
      <w:tr w:rsidR="002B4243" w:rsidRPr="00F96844" w14:paraId="5C851C19" w14:textId="77777777" w:rsidTr="00FE626F">
        <w:trPr>
          <w:trHeight w:val="5480"/>
        </w:trPr>
        <w:tc>
          <w:tcPr>
            <w:tcW w:w="4676" w:type="dxa"/>
            <w:shd w:val="clear" w:color="auto" w:fill="A8D08D"/>
          </w:tcPr>
          <w:p w14:paraId="73917643" w14:textId="77777777" w:rsidR="002B4243" w:rsidRPr="00F96844" w:rsidRDefault="002B4243" w:rsidP="005114FD">
            <w:pPr>
              <w:jc w:val="both"/>
              <w:rPr>
                <w:rFonts w:cs="Arial"/>
                <w:b/>
                <w:sz w:val="24"/>
                <w:szCs w:val="24"/>
                <w:lang w:val="sr-Latn-ME"/>
              </w:rPr>
            </w:pPr>
            <w:bookmarkStart w:id="77" w:name="_Hlk166224353"/>
            <w:bookmarkEnd w:id="71"/>
            <w:r w:rsidRPr="00F96844">
              <w:rPr>
                <w:rFonts w:cs="Arial"/>
                <w:b/>
                <w:sz w:val="24"/>
                <w:szCs w:val="24"/>
                <w:u w:val="single"/>
                <w:lang w:val="sr-Latn-ME"/>
              </w:rPr>
              <w:lastRenderedPageBreak/>
              <w:t>SNAGE</w:t>
            </w:r>
          </w:p>
          <w:p w14:paraId="2E72D2D0" w14:textId="77777777" w:rsidR="001C63C5" w:rsidRDefault="001C63C5" w:rsidP="005114FD">
            <w:pPr>
              <w:jc w:val="both"/>
              <w:rPr>
                <w:rFonts w:cs="Arial"/>
                <w:sz w:val="24"/>
                <w:szCs w:val="24"/>
                <w:lang w:val="sr-Latn-ME"/>
              </w:rPr>
            </w:pPr>
            <w:r w:rsidRPr="00CE4DC0">
              <w:rPr>
                <w:rFonts w:cs="Arial"/>
                <w:sz w:val="24"/>
                <w:szCs w:val="24"/>
                <w:lang w:val="sr-Latn-ME"/>
              </w:rPr>
              <w:t xml:space="preserve">Posvećenost Vlade </w:t>
            </w:r>
            <w:r w:rsidR="00D757C8">
              <w:rPr>
                <w:rFonts w:cs="Arial"/>
                <w:sz w:val="24"/>
                <w:szCs w:val="24"/>
                <w:lang w:val="sr-Latn-ME"/>
              </w:rPr>
              <w:t>unapre</w:t>
            </w:r>
            <w:r w:rsidRPr="00CE4DC0">
              <w:rPr>
                <w:rFonts w:cs="Arial"/>
                <w:sz w:val="24"/>
                <w:szCs w:val="24"/>
                <w:lang w:val="sr-Latn-ME"/>
              </w:rPr>
              <w:t>đenju sistema socijalne i dječje zaštite</w:t>
            </w:r>
          </w:p>
          <w:p w14:paraId="060E53C0" w14:textId="77777777" w:rsidR="002B4243" w:rsidRPr="00F96844" w:rsidRDefault="002B4243" w:rsidP="005114FD">
            <w:pPr>
              <w:jc w:val="both"/>
              <w:rPr>
                <w:rFonts w:cs="Arial"/>
                <w:sz w:val="24"/>
                <w:szCs w:val="24"/>
                <w:lang w:val="sr-Latn-ME"/>
              </w:rPr>
            </w:pPr>
            <w:r w:rsidRPr="00F96844">
              <w:rPr>
                <w:rFonts w:cs="Arial"/>
                <w:sz w:val="24"/>
                <w:szCs w:val="24"/>
                <w:lang w:val="sr-Latn-ME"/>
              </w:rPr>
              <w:t>Centri za socijalni rad ili njihove područne jedinice postoje u svakom gradu</w:t>
            </w:r>
          </w:p>
          <w:p w14:paraId="6EAFAC96" w14:textId="77777777" w:rsidR="002B4243" w:rsidRPr="00F96844" w:rsidRDefault="002B4243" w:rsidP="005114FD">
            <w:pPr>
              <w:jc w:val="both"/>
              <w:rPr>
                <w:rFonts w:cs="Arial"/>
                <w:sz w:val="24"/>
                <w:szCs w:val="24"/>
                <w:lang w:val="sr-Latn-ME"/>
              </w:rPr>
            </w:pPr>
            <w:r w:rsidRPr="00F96844">
              <w:rPr>
                <w:rFonts w:cs="Arial"/>
                <w:sz w:val="24"/>
                <w:szCs w:val="24"/>
                <w:lang w:val="sr-Latn-ME"/>
              </w:rPr>
              <w:t>Licencirani stručni radnici</w:t>
            </w:r>
            <w:r w:rsidR="00206736">
              <w:rPr>
                <w:rFonts w:cs="Arial"/>
                <w:sz w:val="24"/>
                <w:szCs w:val="24"/>
                <w:lang w:val="sr-Latn-ME"/>
              </w:rPr>
              <w:t xml:space="preserve"> </w:t>
            </w:r>
            <w:r w:rsidR="008C0F7F">
              <w:rPr>
                <w:rFonts w:cs="Arial"/>
                <w:sz w:val="24"/>
                <w:szCs w:val="24"/>
                <w:lang w:val="sr-Latn-ME"/>
              </w:rPr>
              <w:t>/</w:t>
            </w:r>
            <w:r w:rsidR="00206736">
              <w:rPr>
                <w:rFonts w:cs="Arial"/>
                <w:sz w:val="24"/>
                <w:szCs w:val="24"/>
                <w:lang w:val="sr-Latn-ME"/>
              </w:rPr>
              <w:t xml:space="preserve"> stručne radnic</w:t>
            </w:r>
            <w:r w:rsidR="008C0F7F">
              <w:rPr>
                <w:rFonts w:cs="Arial"/>
                <w:sz w:val="24"/>
                <w:szCs w:val="24"/>
                <w:lang w:val="sr-Latn-ME"/>
              </w:rPr>
              <w:t>e</w:t>
            </w:r>
            <w:r w:rsidRPr="00F96844">
              <w:rPr>
                <w:rFonts w:cs="Arial"/>
                <w:sz w:val="24"/>
                <w:szCs w:val="24"/>
                <w:lang w:val="sr-Latn-ME"/>
              </w:rPr>
              <w:t xml:space="preserve"> rade u sistemu</w:t>
            </w:r>
          </w:p>
          <w:p w14:paraId="647CED67" w14:textId="77777777" w:rsidR="002B4243" w:rsidRPr="00CE4DC0" w:rsidRDefault="002B4243" w:rsidP="005114FD">
            <w:pPr>
              <w:jc w:val="both"/>
              <w:rPr>
                <w:rFonts w:cs="Arial"/>
                <w:sz w:val="24"/>
                <w:szCs w:val="24"/>
                <w:lang w:val="sr-Latn-ME"/>
              </w:rPr>
            </w:pPr>
            <w:r w:rsidRPr="00CE4DC0">
              <w:rPr>
                <w:rFonts w:cs="Arial"/>
                <w:sz w:val="24"/>
                <w:szCs w:val="24"/>
                <w:lang w:val="sr-Latn-ME"/>
              </w:rPr>
              <w:t xml:space="preserve">Postoje </w:t>
            </w:r>
            <w:r w:rsidR="001C63C5" w:rsidRPr="00CE4DC0">
              <w:rPr>
                <w:rFonts w:cs="Arial"/>
                <w:sz w:val="24"/>
                <w:szCs w:val="24"/>
                <w:lang w:val="sr-Latn-ME"/>
              </w:rPr>
              <w:t xml:space="preserve">određene </w:t>
            </w:r>
            <w:r w:rsidRPr="00CE4DC0">
              <w:rPr>
                <w:rFonts w:cs="Arial"/>
                <w:sz w:val="24"/>
                <w:szCs w:val="24"/>
                <w:lang w:val="sr-Latn-ME"/>
              </w:rPr>
              <w:t>standardizovane usluge socijalne i dječje zaštite</w:t>
            </w:r>
          </w:p>
          <w:p w14:paraId="27AC6C73" w14:textId="77777777" w:rsidR="002B4243" w:rsidRPr="00F96844" w:rsidRDefault="002B4243" w:rsidP="005114FD">
            <w:pPr>
              <w:jc w:val="both"/>
              <w:rPr>
                <w:rFonts w:cs="Arial"/>
                <w:sz w:val="24"/>
                <w:szCs w:val="24"/>
                <w:lang w:val="sr-Latn-ME"/>
              </w:rPr>
            </w:pPr>
            <w:r w:rsidRPr="00CE4DC0">
              <w:rPr>
                <w:rFonts w:cs="Arial"/>
                <w:sz w:val="24"/>
                <w:szCs w:val="24"/>
                <w:lang w:val="sr-Latn-ME"/>
              </w:rPr>
              <w:t>Definisani standardi i normativi za pružanje</w:t>
            </w:r>
            <w:r w:rsidR="001C63C5" w:rsidRPr="00CE4DC0">
              <w:rPr>
                <w:rFonts w:cs="Arial"/>
                <w:sz w:val="24"/>
                <w:szCs w:val="24"/>
                <w:lang w:val="sr-Latn-ME"/>
              </w:rPr>
              <w:t xml:space="preserve"> određenih</w:t>
            </w:r>
            <w:r w:rsidRPr="00CE4DC0">
              <w:rPr>
                <w:rFonts w:cs="Arial"/>
                <w:sz w:val="24"/>
                <w:szCs w:val="24"/>
                <w:lang w:val="sr-Latn-ME"/>
              </w:rPr>
              <w:t xml:space="preserve"> usluga socijalne i dječje zaštite</w:t>
            </w:r>
          </w:p>
          <w:p w14:paraId="1CC93E10" w14:textId="77777777" w:rsidR="002B4243" w:rsidRPr="00F96844" w:rsidRDefault="002B4243" w:rsidP="005114FD">
            <w:pPr>
              <w:jc w:val="both"/>
              <w:rPr>
                <w:rFonts w:cs="Arial"/>
                <w:sz w:val="24"/>
                <w:szCs w:val="24"/>
                <w:lang w:val="sr-Latn-ME"/>
              </w:rPr>
            </w:pPr>
            <w:r w:rsidRPr="00F96844">
              <w:rPr>
                <w:rFonts w:cs="Arial"/>
                <w:sz w:val="24"/>
                <w:szCs w:val="24"/>
                <w:lang w:val="sr-Latn-ME"/>
              </w:rPr>
              <w:t>Dostupnost edukacija prema akreditovanim programima obuka</w:t>
            </w:r>
          </w:p>
          <w:p w14:paraId="6F5EADD2" w14:textId="77777777" w:rsidR="002B4243" w:rsidRPr="00CE4DC0" w:rsidRDefault="002B4243" w:rsidP="005114FD">
            <w:pPr>
              <w:jc w:val="both"/>
              <w:rPr>
                <w:rFonts w:cs="Arial"/>
                <w:sz w:val="24"/>
                <w:szCs w:val="24"/>
                <w:lang w:val="sr-Latn-ME"/>
              </w:rPr>
            </w:pPr>
            <w:r w:rsidRPr="00F96844">
              <w:rPr>
                <w:rFonts w:cs="Arial"/>
                <w:sz w:val="24"/>
                <w:szCs w:val="24"/>
                <w:lang w:val="sr-Latn-ME"/>
              </w:rPr>
              <w:t xml:space="preserve">Postojanje </w:t>
            </w:r>
            <w:r w:rsidRPr="00CE4DC0">
              <w:rPr>
                <w:rFonts w:cs="Arial"/>
                <w:sz w:val="24"/>
                <w:szCs w:val="24"/>
                <w:lang w:val="sr-Latn-ME"/>
              </w:rPr>
              <w:t>Informacionog sistema</w:t>
            </w:r>
          </w:p>
          <w:p w14:paraId="1E3F5278" w14:textId="77777777" w:rsidR="009D4F61" w:rsidRDefault="009D4F61" w:rsidP="009D4F61">
            <w:pPr>
              <w:jc w:val="both"/>
              <w:rPr>
                <w:rFonts w:cs="Arial"/>
                <w:sz w:val="24"/>
                <w:szCs w:val="24"/>
                <w:lang w:val="sr-Latn-ME"/>
              </w:rPr>
            </w:pPr>
            <w:r>
              <w:rPr>
                <w:rFonts w:cs="Arial"/>
                <w:sz w:val="24"/>
                <w:szCs w:val="24"/>
                <w:lang w:val="sr-Latn-ME"/>
              </w:rPr>
              <w:t>Licenciranio 57 pružaoca usluga SDZ koji pružaju usluge u većini opština u Crnoj Gori za usluge: dnevni boravak, pomoć u kući, svratište, savjetovanje, SOS telefon, terapiju, smještaj u prihvatilište – sklonište, smještaj u ustanovu;</w:t>
            </w:r>
          </w:p>
          <w:p w14:paraId="7E4B7EC3" w14:textId="77777777" w:rsidR="009D4F61" w:rsidRDefault="009D4F61" w:rsidP="009D4F61">
            <w:pPr>
              <w:jc w:val="both"/>
              <w:rPr>
                <w:rFonts w:cs="Arial"/>
                <w:sz w:val="24"/>
                <w:szCs w:val="24"/>
                <w:lang w:val="sr-Latn-ME"/>
              </w:rPr>
            </w:pPr>
            <w:r>
              <w:rPr>
                <w:rFonts w:cs="Arial"/>
                <w:sz w:val="24"/>
                <w:szCs w:val="24"/>
                <w:lang w:val="sr-Latn-ME"/>
              </w:rPr>
              <w:t>Licencirano 475 pružaoca usluga: , porodični smještaj – hraniteljstvo i porodični smještaj;</w:t>
            </w:r>
          </w:p>
          <w:p w14:paraId="314AEF62" w14:textId="77777777" w:rsidR="009D4F61" w:rsidRDefault="009D4F61" w:rsidP="009D4F61">
            <w:pPr>
              <w:jc w:val="both"/>
              <w:rPr>
                <w:rFonts w:cs="Arial"/>
                <w:sz w:val="24"/>
                <w:szCs w:val="24"/>
                <w:lang w:val="sr-Latn-ME"/>
              </w:rPr>
            </w:pPr>
            <w:r>
              <w:rPr>
                <w:rFonts w:cs="Arial"/>
                <w:sz w:val="24"/>
                <w:szCs w:val="24"/>
                <w:lang w:val="sr-Latn-ME"/>
              </w:rPr>
              <w:t>Uspostavljene usluge supervizije</w:t>
            </w:r>
          </w:p>
          <w:p w14:paraId="22CE55D9" w14:textId="77777777" w:rsidR="002B4243" w:rsidRPr="00F96844" w:rsidRDefault="009D4F61" w:rsidP="009D4F61">
            <w:pPr>
              <w:jc w:val="both"/>
              <w:rPr>
                <w:rFonts w:cs="Arial"/>
                <w:sz w:val="24"/>
                <w:szCs w:val="24"/>
                <w:lang w:val="sr-Latn-ME"/>
              </w:rPr>
            </w:pPr>
            <w:r>
              <w:rPr>
                <w:rFonts w:cs="Arial"/>
                <w:sz w:val="24"/>
                <w:szCs w:val="24"/>
                <w:lang w:val="sr-Latn-ME"/>
              </w:rPr>
              <w:t>Uspostavljen nadzor nad stručnim radom</w:t>
            </w:r>
          </w:p>
        </w:tc>
        <w:tc>
          <w:tcPr>
            <w:tcW w:w="4989" w:type="dxa"/>
            <w:shd w:val="clear" w:color="auto" w:fill="F7C9AC"/>
          </w:tcPr>
          <w:p w14:paraId="60C0381A" w14:textId="77777777" w:rsidR="002B4243" w:rsidRDefault="002B4243" w:rsidP="005114FD">
            <w:pPr>
              <w:jc w:val="both"/>
              <w:rPr>
                <w:rFonts w:cs="Arial"/>
                <w:b/>
                <w:sz w:val="24"/>
                <w:szCs w:val="24"/>
                <w:u w:val="single"/>
                <w:lang w:val="sr-Latn-ME"/>
              </w:rPr>
            </w:pPr>
            <w:r w:rsidRPr="00F96844">
              <w:rPr>
                <w:rFonts w:cs="Arial"/>
                <w:b/>
                <w:sz w:val="24"/>
                <w:szCs w:val="24"/>
                <w:u w:val="single"/>
                <w:lang w:val="sr-Latn-ME"/>
              </w:rPr>
              <w:t>SLABOSTI</w:t>
            </w:r>
          </w:p>
          <w:p w14:paraId="49352838" w14:textId="77777777" w:rsidR="001C63C5" w:rsidRPr="00CE4DC0" w:rsidRDefault="001C63C5" w:rsidP="001C63C5">
            <w:pPr>
              <w:jc w:val="both"/>
              <w:rPr>
                <w:rFonts w:cs="Arial"/>
                <w:bCs/>
                <w:sz w:val="24"/>
                <w:szCs w:val="24"/>
                <w:lang w:val="sr-Latn-ME"/>
              </w:rPr>
            </w:pPr>
            <w:r w:rsidRPr="00CE4DC0">
              <w:rPr>
                <w:rFonts w:cs="Arial"/>
                <w:bCs/>
                <w:sz w:val="24"/>
                <w:szCs w:val="24"/>
                <w:lang w:val="sr-Latn-ME"/>
              </w:rPr>
              <w:t xml:space="preserve">Nedovoljan broj propisanih usluga socijalne i dječje zaštite u odnosu na potrebe korisnika (lični pratilac za djecu sa smetnjama u razvoju, podrška u samostalnom donošenju odluka) </w:t>
            </w:r>
          </w:p>
          <w:p w14:paraId="1754BFF7" w14:textId="77777777" w:rsidR="001C63C5" w:rsidRPr="001C63C5" w:rsidRDefault="001C63C5" w:rsidP="001C63C5">
            <w:pPr>
              <w:jc w:val="both"/>
              <w:rPr>
                <w:rFonts w:cs="Arial"/>
                <w:bCs/>
                <w:sz w:val="24"/>
                <w:szCs w:val="24"/>
                <w:lang w:val="sr-Latn-ME"/>
              </w:rPr>
            </w:pPr>
            <w:r w:rsidRPr="00CE4DC0">
              <w:rPr>
                <w:rFonts w:cs="Arial"/>
                <w:bCs/>
                <w:sz w:val="24"/>
                <w:szCs w:val="24"/>
                <w:lang w:val="sr-Latn-ME"/>
              </w:rPr>
              <w:t>Nedostatak podrške zainteresovanim subjektima za licenciranje za pružaoce usluga</w:t>
            </w:r>
          </w:p>
          <w:p w14:paraId="2955357B" w14:textId="77777777" w:rsidR="002B4243" w:rsidRPr="00F96844" w:rsidRDefault="002B4243" w:rsidP="005114FD">
            <w:pPr>
              <w:jc w:val="both"/>
              <w:rPr>
                <w:rFonts w:cs="Arial"/>
                <w:sz w:val="24"/>
                <w:szCs w:val="24"/>
                <w:lang w:val="sr-Latn-ME"/>
              </w:rPr>
            </w:pPr>
            <w:r w:rsidRPr="00F96844">
              <w:rPr>
                <w:rFonts w:cs="Arial"/>
                <w:sz w:val="24"/>
                <w:szCs w:val="24"/>
                <w:lang w:val="sr-Latn-ME"/>
              </w:rPr>
              <w:t>Nedovoljno i neravnomjerno razvijene usluge socijalne i dječje zaštite</w:t>
            </w:r>
          </w:p>
          <w:p w14:paraId="44F185DA"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Nedovoljan obuhvat </w:t>
            </w:r>
            <w:r w:rsidR="00EB2F1D">
              <w:rPr>
                <w:rFonts w:cs="Arial"/>
                <w:sz w:val="24"/>
                <w:szCs w:val="24"/>
                <w:lang w:val="sr-Latn-ME"/>
              </w:rPr>
              <w:t>korisnika/korisnica</w:t>
            </w:r>
            <w:r w:rsidRPr="00F96844">
              <w:rPr>
                <w:rFonts w:cs="Arial"/>
                <w:sz w:val="24"/>
                <w:szCs w:val="24"/>
                <w:lang w:val="sr-Latn-ME"/>
              </w:rPr>
              <w:t xml:space="preserve"> i dostupnost usluga socijalne i dječje zaštite</w:t>
            </w:r>
          </w:p>
          <w:p w14:paraId="00A8D1B1" w14:textId="77777777" w:rsidR="00B22108" w:rsidRDefault="00B22108" w:rsidP="005114FD">
            <w:pPr>
              <w:jc w:val="both"/>
              <w:rPr>
                <w:rFonts w:cs="Arial"/>
                <w:sz w:val="24"/>
                <w:szCs w:val="24"/>
                <w:lang w:val="sr-Latn-ME"/>
              </w:rPr>
            </w:pPr>
            <w:r w:rsidRPr="00CE4DC0">
              <w:rPr>
                <w:rFonts w:cs="Arial"/>
                <w:sz w:val="24"/>
                <w:szCs w:val="24"/>
                <w:lang w:val="sr-Latn-ME"/>
              </w:rPr>
              <w:t>Standardi i normativi nisu u dovoljnoj mjeri razvijeni, dok ne postoje za uslugu tumačenja i prevođenja na znakovni jezik i socijalno</w:t>
            </w:r>
            <w:r w:rsidR="00206736">
              <w:rPr>
                <w:rFonts w:cs="Arial"/>
                <w:sz w:val="24"/>
                <w:szCs w:val="24"/>
                <w:lang w:val="sr-Latn-ME"/>
              </w:rPr>
              <w:t xml:space="preserve">-              </w:t>
            </w:r>
            <w:r w:rsidRPr="00CE4DC0">
              <w:rPr>
                <w:rFonts w:cs="Arial"/>
                <w:sz w:val="24"/>
                <w:szCs w:val="24"/>
                <w:lang w:val="sr-Latn-ME"/>
              </w:rPr>
              <w:t>-edukativne usluge</w:t>
            </w:r>
          </w:p>
          <w:p w14:paraId="67813071" w14:textId="77777777" w:rsidR="00CE4DC0" w:rsidRPr="00CE4DC0" w:rsidRDefault="00CE4DC0" w:rsidP="00CE4DC0">
            <w:pPr>
              <w:jc w:val="both"/>
              <w:rPr>
                <w:rFonts w:cs="Arial"/>
                <w:sz w:val="24"/>
                <w:szCs w:val="24"/>
                <w:lang w:val="sr-Latn-ME"/>
              </w:rPr>
            </w:pPr>
            <w:r w:rsidRPr="00CE4DC0">
              <w:rPr>
                <w:rFonts w:cs="Arial"/>
                <w:sz w:val="24"/>
                <w:szCs w:val="24"/>
                <w:lang w:val="sr-Latn-ME"/>
              </w:rPr>
              <w:t>Cijena usluga nije definisana (stanovanje uz podršku, tumačenje i prevođenje na znakovni jezik, savjetodavno-terapijske i socijalno</w:t>
            </w:r>
            <w:r w:rsidR="00206736">
              <w:rPr>
                <w:rFonts w:cs="Arial"/>
                <w:sz w:val="24"/>
                <w:szCs w:val="24"/>
                <w:lang w:val="sr-Latn-ME"/>
              </w:rPr>
              <w:t xml:space="preserve">-             </w:t>
            </w:r>
            <w:r w:rsidRPr="00CE4DC0">
              <w:rPr>
                <w:rFonts w:cs="Arial"/>
                <w:sz w:val="24"/>
                <w:szCs w:val="24"/>
                <w:lang w:val="sr-Latn-ME"/>
              </w:rPr>
              <w:t>-edukativne usluge), a za usluge za koje je definisana rijetko se usklađuje</w:t>
            </w:r>
            <w:r w:rsidR="004C5D23">
              <w:rPr>
                <w:rFonts w:cs="Arial"/>
                <w:sz w:val="24"/>
                <w:szCs w:val="24"/>
                <w:lang w:val="sr-Latn-ME"/>
              </w:rPr>
              <w:t xml:space="preserve"> s c</w:t>
            </w:r>
            <w:r w:rsidRPr="00CE4DC0">
              <w:rPr>
                <w:rFonts w:cs="Arial"/>
                <w:sz w:val="24"/>
                <w:szCs w:val="24"/>
                <w:lang w:val="sr-Latn-ME"/>
              </w:rPr>
              <w:t>ijenama rada i drugim troškovima pružanja usluga</w:t>
            </w:r>
          </w:p>
          <w:p w14:paraId="622C4148" w14:textId="77777777" w:rsidR="00CE4DC0" w:rsidRDefault="00CE4DC0" w:rsidP="00CE4DC0">
            <w:pPr>
              <w:jc w:val="both"/>
              <w:rPr>
                <w:rFonts w:cs="Arial"/>
                <w:sz w:val="24"/>
                <w:szCs w:val="24"/>
                <w:lang w:val="sr-Latn-ME"/>
              </w:rPr>
            </w:pPr>
            <w:r w:rsidRPr="00CE4DC0">
              <w:rPr>
                <w:rFonts w:cs="Arial"/>
                <w:sz w:val="24"/>
                <w:szCs w:val="24"/>
                <w:lang w:val="sr-Latn-ME"/>
              </w:rPr>
              <w:t>Sistem finansiranja i odgovornosti centralnog i lokalnog nivoa vlasti nije precizno definisan</w:t>
            </w:r>
          </w:p>
          <w:p w14:paraId="56D1517A" w14:textId="77777777" w:rsidR="002B4243" w:rsidRPr="00F96844" w:rsidRDefault="002B4243" w:rsidP="00CE4DC0">
            <w:pPr>
              <w:jc w:val="both"/>
              <w:rPr>
                <w:rFonts w:cs="Arial"/>
                <w:sz w:val="24"/>
                <w:szCs w:val="24"/>
                <w:lang w:val="sr-Latn-ME"/>
              </w:rPr>
            </w:pPr>
            <w:r w:rsidRPr="00F96844">
              <w:rPr>
                <w:rFonts w:cs="Arial"/>
                <w:sz w:val="24"/>
                <w:szCs w:val="24"/>
                <w:lang w:val="sr-Latn-ME"/>
              </w:rPr>
              <w:t>Materijalna davanja ne obuhvataju sve potencijalne korisnike</w:t>
            </w:r>
          </w:p>
          <w:p w14:paraId="372FABDC" w14:textId="77777777" w:rsidR="00CE4DC0" w:rsidRPr="00CE4DC0" w:rsidRDefault="00CE4DC0" w:rsidP="00CE4DC0">
            <w:pPr>
              <w:jc w:val="both"/>
              <w:rPr>
                <w:rFonts w:cs="Arial"/>
                <w:sz w:val="24"/>
                <w:szCs w:val="24"/>
                <w:lang w:val="sr-Latn-ME"/>
              </w:rPr>
            </w:pPr>
            <w:r w:rsidRPr="00CE4DC0">
              <w:rPr>
                <w:rFonts w:cs="Arial"/>
                <w:sz w:val="24"/>
                <w:szCs w:val="24"/>
                <w:lang w:val="sr-Latn-ME"/>
              </w:rPr>
              <w:t>Nedovoljno sredstava za SDZ u bud</w:t>
            </w:r>
            <w:r w:rsidR="00206736">
              <w:rPr>
                <w:rFonts w:cs="Arial"/>
                <w:sz w:val="24"/>
                <w:szCs w:val="24"/>
                <w:lang w:val="sr-Latn-ME"/>
              </w:rPr>
              <w:t>ž</w:t>
            </w:r>
            <w:r w:rsidRPr="00CE4DC0">
              <w:rPr>
                <w:rFonts w:cs="Arial"/>
                <w:sz w:val="24"/>
                <w:szCs w:val="24"/>
                <w:lang w:val="sr-Latn-ME"/>
              </w:rPr>
              <w:t>etima LSU</w:t>
            </w:r>
          </w:p>
          <w:p w14:paraId="3AE0D809" w14:textId="4719C779" w:rsidR="00CE4DC0" w:rsidRPr="00CE4DC0" w:rsidRDefault="00CE4DC0" w:rsidP="00CE4DC0">
            <w:pPr>
              <w:jc w:val="both"/>
              <w:rPr>
                <w:rFonts w:cs="Arial"/>
                <w:sz w:val="24"/>
                <w:szCs w:val="24"/>
                <w:lang w:val="sr-Latn-ME"/>
              </w:rPr>
            </w:pPr>
            <w:r w:rsidRPr="00CE4DC0">
              <w:rPr>
                <w:rFonts w:cs="Arial"/>
                <w:sz w:val="24"/>
                <w:szCs w:val="24"/>
                <w:lang w:val="sr-Latn-ME"/>
              </w:rPr>
              <w:t xml:space="preserve">Nedovoljna uvezanost LSU, CZSR I </w:t>
            </w:r>
            <w:r w:rsidRPr="005B7D8D">
              <w:rPr>
                <w:rFonts w:cs="Arial"/>
                <w:sz w:val="24"/>
                <w:szCs w:val="24"/>
                <w:lang w:val="sr-Latn-ME"/>
              </w:rPr>
              <w:t>MSS</w:t>
            </w:r>
            <w:r w:rsidR="007C706E" w:rsidRPr="005B7D8D">
              <w:rPr>
                <w:rFonts w:cs="Arial"/>
                <w:sz w:val="24"/>
                <w:szCs w:val="24"/>
                <w:lang w:val="sr-Latn-ME"/>
              </w:rPr>
              <w:t>D</w:t>
            </w:r>
            <w:r w:rsidRPr="00CE4DC0">
              <w:rPr>
                <w:rFonts w:cs="Arial"/>
                <w:sz w:val="24"/>
                <w:szCs w:val="24"/>
                <w:lang w:val="sr-Latn-ME"/>
              </w:rPr>
              <w:t xml:space="preserve"> prilikom isplate materijalnih davanja</w:t>
            </w:r>
          </w:p>
          <w:p w14:paraId="5ECCA530" w14:textId="77777777" w:rsidR="008C0F7F" w:rsidRDefault="00CE4DC0" w:rsidP="00CE4DC0">
            <w:pPr>
              <w:jc w:val="both"/>
              <w:rPr>
                <w:rFonts w:cs="Arial"/>
                <w:sz w:val="24"/>
                <w:szCs w:val="24"/>
                <w:lang w:val="sr-Latn-ME"/>
              </w:rPr>
            </w:pPr>
            <w:r w:rsidRPr="00CE4DC0">
              <w:rPr>
                <w:rFonts w:cs="Arial"/>
                <w:sz w:val="24"/>
                <w:szCs w:val="24"/>
                <w:lang w:val="sr-Latn-ME"/>
              </w:rPr>
              <w:t>Nedovoljna razvijenost kapaciteta zaposlenih u LSU za oblast SDZ</w:t>
            </w:r>
          </w:p>
          <w:p w14:paraId="6BEA0D0F" w14:textId="77777777" w:rsidR="002B4243" w:rsidRPr="00F96844" w:rsidRDefault="002B4243" w:rsidP="00CE4DC0">
            <w:pPr>
              <w:jc w:val="both"/>
              <w:rPr>
                <w:rFonts w:cs="Arial"/>
                <w:sz w:val="24"/>
                <w:szCs w:val="24"/>
                <w:lang w:val="sr-Latn-ME"/>
              </w:rPr>
            </w:pPr>
            <w:r w:rsidRPr="00F96844">
              <w:rPr>
                <w:rFonts w:cs="Arial"/>
                <w:sz w:val="24"/>
                <w:szCs w:val="24"/>
                <w:lang w:val="sr-Latn-ME"/>
              </w:rPr>
              <w:t xml:space="preserve">Opterećenost stručnih </w:t>
            </w:r>
            <w:r w:rsidR="009F661D">
              <w:rPr>
                <w:rFonts w:cs="Arial"/>
                <w:sz w:val="24"/>
                <w:szCs w:val="24"/>
                <w:lang w:val="sr-Latn-ME"/>
              </w:rPr>
              <w:t>radnika/radnica</w:t>
            </w:r>
            <w:r w:rsidRPr="00F96844">
              <w:rPr>
                <w:rFonts w:cs="Arial"/>
                <w:sz w:val="24"/>
                <w:szCs w:val="24"/>
                <w:lang w:val="sr-Latn-ME"/>
              </w:rPr>
              <w:t xml:space="preserve"> administrativnim poslovima</w:t>
            </w:r>
          </w:p>
          <w:p w14:paraId="0D03E480" w14:textId="77777777" w:rsidR="002B4243" w:rsidRPr="00F96844" w:rsidRDefault="002B4243" w:rsidP="005114FD">
            <w:pPr>
              <w:jc w:val="both"/>
              <w:rPr>
                <w:rFonts w:cs="Arial"/>
                <w:sz w:val="24"/>
                <w:szCs w:val="24"/>
                <w:lang w:val="sr-Latn-ME"/>
              </w:rPr>
            </w:pPr>
            <w:r w:rsidRPr="00F96844">
              <w:rPr>
                <w:rFonts w:cs="Arial"/>
                <w:sz w:val="24"/>
                <w:szCs w:val="24"/>
                <w:lang w:val="sr-Latn-ME"/>
              </w:rPr>
              <w:t>Nedostaci u Informacionom sistemu po pitanju dobijanja određenih podataka</w:t>
            </w:r>
          </w:p>
          <w:p w14:paraId="6961B347" w14:textId="77777777" w:rsidR="002B4243" w:rsidRPr="00F96844" w:rsidRDefault="002B4243" w:rsidP="005114FD">
            <w:pPr>
              <w:jc w:val="both"/>
              <w:rPr>
                <w:rFonts w:cs="Arial"/>
                <w:sz w:val="24"/>
                <w:szCs w:val="24"/>
                <w:lang w:val="sr-Latn-ME"/>
              </w:rPr>
            </w:pPr>
            <w:r w:rsidRPr="00F96844">
              <w:rPr>
                <w:rFonts w:cs="Arial"/>
                <w:sz w:val="24"/>
                <w:szCs w:val="24"/>
                <w:lang w:val="sr-Latn-ME"/>
              </w:rPr>
              <w:t>Nepostojanje međusektorske saradnje između sektora socijalne i dječje zaštite,</w:t>
            </w:r>
            <w:r w:rsidR="008553BD">
              <w:rPr>
                <w:rFonts w:cs="Arial"/>
                <w:sz w:val="24"/>
                <w:szCs w:val="24"/>
                <w:lang w:val="sr-Latn-ME"/>
              </w:rPr>
              <w:t xml:space="preserve"> zapošljavanja,</w:t>
            </w:r>
            <w:r w:rsidRPr="00F96844">
              <w:rPr>
                <w:rFonts w:cs="Arial"/>
                <w:sz w:val="24"/>
                <w:szCs w:val="24"/>
                <w:lang w:val="sr-Latn-ME"/>
              </w:rPr>
              <w:t xml:space="preserve"> obrazovanja</w:t>
            </w:r>
            <w:r w:rsidR="00CE4DC0">
              <w:rPr>
                <w:rFonts w:cs="Arial"/>
                <w:sz w:val="24"/>
                <w:szCs w:val="24"/>
                <w:lang w:val="sr-Latn-ME"/>
              </w:rPr>
              <w:t xml:space="preserve">, </w:t>
            </w:r>
            <w:r w:rsidRPr="00F96844">
              <w:rPr>
                <w:rFonts w:cs="Arial"/>
                <w:sz w:val="24"/>
                <w:szCs w:val="24"/>
                <w:lang w:val="sr-Latn-ME"/>
              </w:rPr>
              <w:t>zdravstvene zaštite</w:t>
            </w:r>
            <w:r w:rsidR="00D9050F">
              <w:rPr>
                <w:rFonts w:cs="Arial"/>
                <w:sz w:val="24"/>
                <w:szCs w:val="24"/>
                <w:lang w:val="sr-Latn-ME"/>
              </w:rPr>
              <w:t xml:space="preserve"> i drugih</w:t>
            </w:r>
          </w:p>
          <w:p w14:paraId="64278E25"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Nisu razvijene preventivne usluge </w:t>
            </w:r>
          </w:p>
        </w:tc>
      </w:tr>
      <w:tr w:rsidR="002B4243" w:rsidRPr="00F96844" w14:paraId="7C6AF2AA" w14:textId="77777777" w:rsidTr="00FE626F">
        <w:trPr>
          <w:trHeight w:val="4850"/>
        </w:trPr>
        <w:tc>
          <w:tcPr>
            <w:tcW w:w="4676" w:type="dxa"/>
            <w:shd w:val="clear" w:color="auto" w:fill="BCD5ED"/>
          </w:tcPr>
          <w:p w14:paraId="7993D22E" w14:textId="77777777" w:rsidR="002B4243" w:rsidRPr="00F96844" w:rsidRDefault="002B4243" w:rsidP="005114FD">
            <w:pPr>
              <w:jc w:val="both"/>
              <w:rPr>
                <w:rFonts w:cs="Arial"/>
                <w:b/>
                <w:sz w:val="24"/>
                <w:szCs w:val="24"/>
                <w:lang w:val="sr-Latn-ME"/>
              </w:rPr>
            </w:pPr>
            <w:r w:rsidRPr="00F96844">
              <w:rPr>
                <w:rFonts w:cs="Arial"/>
                <w:b/>
                <w:sz w:val="24"/>
                <w:szCs w:val="24"/>
                <w:u w:val="single"/>
                <w:lang w:val="sr-Latn-ME"/>
              </w:rPr>
              <w:lastRenderedPageBreak/>
              <w:t xml:space="preserve">MOGUĆNOSTI </w:t>
            </w:r>
          </w:p>
          <w:p w14:paraId="36F32C84"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Širenje mreže pružalaca usluga </w:t>
            </w:r>
          </w:p>
          <w:p w14:paraId="29FF9CE5" w14:textId="77777777" w:rsidR="002B4243" w:rsidRPr="00F96844" w:rsidRDefault="002B4243" w:rsidP="005114FD">
            <w:pPr>
              <w:jc w:val="both"/>
              <w:rPr>
                <w:rFonts w:cs="Arial"/>
                <w:sz w:val="24"/>
                <w:szCs w:val="24"/>
                <w:lang w:val="sr-Latn-ME"/>
              </w:rPr>
            </w:pPr>
            <w:r w:rsidRPr="00F96844">
              <w:rPr>
                <w:rFonts w:cs="Arial"/>
                <w:sz w:val="24"/>
                <w:szCs w:val="24"/>
                <w:lang w:val="sr-Latn-ME"/>
              </w:rPr>
              <w:t>Efikasnija iskorišćenost postojećih ljudskih resursa</w:t>
            </w:r>
          </w:p>
          <w:p w14:paraId="4E32C7F8" w14:textId="77777777" w:rsidR="002B4243" w:rsidRPr="00F96844" w:rsidRDefault="00815FAF" w:rsidP="005114FD">
            <w:pPr>
              <w:jc w:val="both"/>
              <w:rPr>
                <w:rFonts w:cs="Arial"/>
                <w:sz w:val="24"/>
                <w:szCs w:val="24"/>
                <w:lang w:val="sr-Latn-ME"/>
              </w:rPr>
            </w:pPr>
            <w:r>
              <w:rPr>
                <w:rFonts w:cs="Arial"/>
                <w:sz w:val="24"/>
                <w:szCs w:val="24"/>
                <w:lang w:val="sr-Latn-ME"/>
              </w:rPr>
              <w:t>Povećanje</w:t>
            </w:r>
            <w:r w:rsidR="002B4243" w:rsidRPr="00F96844">
              <w:rPr>
                <w:rFonts w:cs="Arial"/>
                <w:sz w:val="24"/>
                <w:szCs w:val="24"/>
                <w:lang w:val="sr-Latn-ME"/>
              </w:rPr>
              <w:t xml:space="preserve"> postojećeg broja usluga</w:t>
            </w:r>
          </w:p>
          <w:p w14:paraId="0D2E5993" w14:textId="77777777" w:rsidR="002B4243" w:rsidRPr="00F96844" w:rsidRDefault="002B4243" w:rsidP="005114FD">
            <w:pPr>
              <w:jc w:val="both"/>
              <w:rPr>
                <w:rFonts w:cs="Arial"/>
                <w:sz w:val="24"/>
                <w:szCs w:val="24"/>
                <w:lang w:val="sr-Latn-ME"/>
              </w:rPr>
            </w:pPr>
            <w:r w:rsidRPr="00F96844">
              <w:rPr>
                <w:rFonts w:cs="Arial"/>
                <w:sz w:val="24"/>
                <w:szCs w:val="24"/>
                <w:lang w:val="sr-Latn-ME"/>
              </w:rPr>
              <w:t>Mogućnost pristupa međunarodnim fondovima, ojačati saradnju kroz visok među</w:t>
            </w:r>
            <w:r w:rsidR="00C504BA">
              <w:rPr>
                <w:rFonts w:cs="Arial"/>
                <w:sz w:val="24"/>
                <w:szCs w:val="24"/>
                <w:lang w:val="sr-Latn-ME"/>
              </w:rPr>
              <w:t>resorni</w:t>
            </w:r>
            <w:r w:rsidRPr="00F96844">
              <w:rPr>
                <w:rFonts w:cs="Arial"/>
                <w:sz w:val="24"/>
                <w:szCs w:val="24"/>
                <w:lang w:val="sr-Latn-ME"/>
              </w:rPr>
              <w:t xml:space="preserve"> i interresorni i politički dijalog</w:t>
            </w:r>
          </w:p>
          <w:p w14:paraId="462F2622" w14:textId="77777777" w:rsidR="002B4243" w:rsidRPr="00F96844" w:rsidRDefault="002B4243" w:rsidP="005114FD">
            <w:pPr>
              <w:jc w:val="both"/>
              <w:rPr>
                <w:rFonts w:cs="Arial"/>
                <w:sz w:val="24"/>
                <w:szCs w:val="24"/>
                <w:lang w:val="sr-Latn-ME"/>
              </w:rPr>
            </w:pPr>
            <w:r w:rsidRPr="00F96844">
              <w:rPr>
                <w:rFonts w:cs="Arial"/>
                <w:sz w:val="24"/>
                <w:szCs w:val="24"/>
                <w:lang w:val="sr-Latn-ME"/>
              </w:rPr>
              <w:t>Mogućnost kombinovanog nacionalnog i lokalnog planiranja usluga</w:t>
            </w:r>
          </w:p>
          <w:p w14:paraId="19D6B601" w14:textId="77777777" w:rsidR="00D9050F" w:rsidRDefault="00D9050F" w:rsidP="005114FD">
            <w:pPr>
              <w:jc w:val="both"/>
              <w:rPr>
                <w:rFonts w:cs="Arial"/>
                <w:sz w:val="24"/>
                <w:szCs w:val="24"/>
                <w:lang w:val="sr-Latn-ME"/>
              </w:rPr>
            </w:pPr>
            <w:r w:rsidRPr="00D9050F">
              <w:rPr>
                <w:rFonts w:cs="Arial"/>
                <w:sz w:val="24"/>
                <w:szCs w:val="24"/>
                <w:lang w:val="sr-Latn-ME"/>
              </w:rPr>
              <w:t>Povećanje izdataka u bud</w:t>
            </w:r>
            <w:r w:rsidR="00206736">
              <w:rPr>
                <w:rFonts w:cs="Arial"/>
                <w:sz w:val="24"/>
                <w:szCs w:val="24"/>
                <w:lang w:val="sr-Latn-ME"/>
              </w:rPr>
              <w:t>ž</w:t>
            </w:r>
            <w:r w:rsidRPr="00D9050F">
              <w:rPr>
                <w:rFonts w:cs="Arial"/>
                <w:sz w:val="24"/>
                <w:szCs w:val="24"/>
                <w:lang w:val="sr-Latn-ME"/>
              </w:rPr>
              <w:t>etu za razvoj usluga koje podržavaju ostanak korisnika u zajednici</w:t>
            </w:r>
          </w:p>
          <w:p w14:paraId="5D10FB0F" w14:textId="77777777" w:rsidR="002B4243" w:rsidRPr="00F96844" w:rsidRDefault="002B4243" w:rsidP="005114FD">
            <w:pPr>
              <w:jc w:val="both"/>
              <w:rPr>
                <w:rFonts w:cs="Arial"/>
                <w:sz w:val="24"/>
                <w:szCs w:val="24"/>
                <w:lang w:val="sr-Latn-ME"/>
              </w:rPr>
            </w:pPr>
            <w:r w:rsidRPr="00F96844">
              <w:rPr>
                <w:rFonts w:cs="Arial"/>
                <w:sz w:val="24"/>
                <w:szCs w:val="24"/>
                <w:lang w:val="sr-Latn-ME"/>
              </w:rPr>
              <w:t>Uspostavljanje privatno-javnog partnerstva</w:t>
            </w:r>
          </w:p>
          <w:p w14:paraId="6F7C5F37"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Ulaganje u razvoj Informacionog sistema i povezivanje sektora Socijalne i dječje zaštite i zdravstvene zaštite </w:t>
            </w:r>
          </w:p>
          <w:p w14:paraId="115DA8FC" w14:textId="77777777" w:rsidR="002B4243" w:rsidRPr="00F96844" w:rsidRDefault="002B4243" w:rsidP="005114FD">
            <w:pPr>
              <w:jc w:val="both"/>
              <w:rPr>
                <w:rFonts w:cs="Arial"/>
                <w:sz w:val="24"/>
                <w:szCs w:val="24"/>
                <w:lang w:val="sr-Latn-ME"/>
              </w:rPr>
            </w:pPr>
            <w:r w:rsidRPr="00F96844">
              <w:rPr>
                <w:rFonts w:cs="Arial"/>
                <w:sz w:val="24"/>
                <w:szCs w:val="24"/>
                <w:lang w:val="sr-Latn-ME"/>
              </w:rPr>
              <w:t>Izgledi za pristupanje EU, koji motivišu sektor socijalne i dječje zaštite za usklađivanje sa standardima EU</w:t>
            </w:r>
          </w:p>
        </w:tc>
        <w:tc>
          <w:tcPr>
            <w:tcW w:w="4989" w:type="dxa"/>
            <w:shd w:val="clear" w:color="auto" w:fill="FFE499"/>
          </w:tcPr>
          <w:p w14:paraId="51288385" w14:textId="77777777" w:rsidR="002B4243" w:rsidRPr="00F96844" w:rsidRDefault="002B4243" w:rsidP="005114FD">
            <w:pPr>
              <w:jc w:val="both"/>
              <w:rPr>
                <w:rFonts w:cs="Arial"/>
                <w:b/>
                <w:sz w:val="24"/>
                <w:szCs w:val="24"/>
                <w:lang w:val="sr-Latn-ME"/>
              </w:rPr>
            </w:pPr>
            <w:r w:rsidRPr="00F96844">
              <w:rPr>
                <w:rFonts w:cs="Arial"/>
                <w:b/>
                <w:sz w:val="24"/>
                <w:szCs w:val="24"/>
                <w:u w:val="single"/>
                <w:lang w:val="sr-Latn-ME"/>
              </w:rPr>
              <w:t xml:space="preserve">PRIJETNJE </w:t>
            </w:r>
          </w:p>
          <w:p w14:paraId="1A4A5318"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Nedostatak finansijskih sredstava za </w:t>
            </w:r>
            <w:r w:rsidR="00F43EDB">
              <w:rPr>
                <w:rFonts w:cs="Arial"/>
                <w:sz w:val="24"/>
                <w:szCs w:val="24"/>
                <w:lang w:val="sr-Latn-ME"/>
              </w:rPr>
              <w:t xml:space="preserve">održivi </w:t>
            </w:r>
            <w:r w:rsidRPr="00F96844">
              <w:rPr>
                <w:rFonts w:cs="Arial"/>
                <w:sz w:val="24"/>
                <w:szCs w:val="24"/>
                <w:lang w:val="sr-Latn-ME"/>
              </w:rPr>
              <w:t xml:space="preserve">razvoj usluga </w:t>
            </w:r>
          </w:p>
          <w:p w14:paraId="30628807" w14:textId="77777777" w:rsidR="002B4243" w:rsidRPr="00F96844" w:rsidRDefault="002B4243" w:rsidP="005114FD">
            <w:pPr>
              <w:jc w:val="both"/>
              <w:rPr>
                <w:rFonts w:cs="Arial"/>
                <w:sz w:val="24"/>
                <w:szCs w:val="24"/>
                <w:lang w:val="sr-Latn-ME"/>
              </w:rPr>
            </w:pPr>
            <w:r w:rsidRPr="00F96844">
              <w:rPr>
                <w:rFonts w:cs="Arial"/>
                <w:sz w:val="24"/>
                <w:szCs w:val="24"/>
                <w:lang w:val="sr-Latn-ME"/>
              </w:rPr>
              <w:t>Limitirana sredstva za ulaganje u infrastrukturu i tehnologiju</w:t>
            </w:r>
          </w:p>
          <w:p w14:paraId="4F0932E2" w14:textId="77777777" w:rsidR="002B4243" w:rsidRDefault="002B4243" w:rsidP="005114FD">
            <w:pPr>
              <w:jc w:val="both"/>
              <w:rPr>
                <w:rFonts w:cs="Arial"/>
                <w:sz w:val="24"/>
                <w:szCs w:val="24"/>
                <w:lang w:val="sr-Latn-ME"/>
              </w:rPr>
            </w:pPr>
            <w:r w:rsidRPr="00F96844">
              <w:rPr>
                <w:rFonts w:cs="Arial"/>
                <w:sz w:val="24"/>
                <w:szCs w:val="24"/>
                <w:lang w:val="sr-Latn-ME"/>
              </w:rPr>
              <w:t>Usporavanje procesa strukturnih reformi</w:t>
            </w:r>
          </w:p>
          <w:p w14:paraId="2EF1E6BD" w14:textId="77777777" w:rsidR="00D9050F" w:rsidRPr="00F96844" w:rsidRDefault="00D9050F" w:rsidP="005114FD">
            <w:pPr>
              <w:jc w:val="both"/>
              <w:rPr>
                <w:rFonts w:cs="Arial"/>
                <w:sz w:val="24"/>
                <w:szCs w:val="24"/>
                <w:lang w:val="sr-Latn-ME"/>
              </w:rPr>
            </w:pPr>
            <w:r w:rsidRPr="00D9050F">
              <w:rPr>
                <w:rFonts w:cs="Arial"/>
                <w:sz w:val="24"/>
                <w:szCs w:val="24"/>
                <w:lang w:val="sr-Latn-ME"/>
              </w:rPr>
              <w:t>Socijalna zaštita nije visoko na listi prioriteta lokalnih samouprava</w:t>
            </w:r>
          </w:p>
          <w:p w14:paraId="112DA3F3" w14:textId="77777777" w:rsidR="002B4243" w:rsidRPr="00F96844" w:rsidRDefault="002B4243" w:rsidP="005114FD">
            <w:pPr>
              <w:jc w:val="both"/>
              <w:rPr>
                <w:rFonts w:cs="Arial"/>
                <w:sz w:val="24"/>
                <w:szCs w:val="24"/>
                <w:lang w:val="sr-Latn-ME"/>
              </w:rPr>
            </w:pPr>
            <w:r w:rsidRPr="00F96844">
              <w:rPr>
                <w:rFonts w:cs="Arial"/>
                <w:sz w:val="24"/>
                <w:szCs w:val="24"/>
                <w:lang w:val="sr-Latn-ME"/>
              </w:rPr>
              <w:t>Odliv stručnog kadra</w:t>
            </w:r>
          </w:p>
          <w:p w14:paraId="1EF7591A" w14:textId="77777777" w:rsidR="002B4243" w:rsidRPr="00F96844" w:rsidRDefault="002B4243" w:rsidP="005114FD">
            <w:pPr>
              <w:jc w:val="both"/>
              <w:rPr>
                <w:rFonts w:cs="Arial"/>
                <w:sz w:val="24"/>
                <w:szCs w:val="24"/>
                <w:lang w:val="sr-Latn-ME"/>
              </w:rPr>
            </w:pPr>
            <w:r w:rsidRPr="00F96844">
              <w:rPr>
                <w:rFonts w:cs="Arial"/>
                <w:sz w:val="24"/>
                <w:szCs w:val="24"/>
                <w:lang w:val="sr-Latn-ME"/>
              </w:rPr>
              <w:t>Starenje stanovništva i rastuće potrebe za uslugama podrške starima</w:t>
            </w:r>
          </w:p>
          <w:p w14:paraId="1221FA4A" w14:textId="77777777" w:rsidR="002B4243" w:rsidRPr="00F96844" w:rsidRDefault="002B4243" w:rsidP="005114FD">
            <w:pPr>
              <w:jc w:val="both"/>
              <w:rPr>
                <w:rFonts w:cs="Arial"/>
                <w:sz w:val="24"/>
                <w:szCs w:val="24"/>
                <w:lang w:val="sr-Latn-ME"/>
              </w:rPr>
            </w:pPr>
            <w:r w:rsidRPr="00F96844">
              <w:rPr>
                <w:rFonts w:cs="Arial"/>
                <w:sz w:val="24"/>
                <w:szCs w:val="24"/>
                <w:lang w:val="sr-Latn-ME"/>
              </w:rPr>
              <w:t>Ograničeni administrativni kapaciteti za apsorpciju dostupnih pretpristupnih instrumenata</w:t>
            </w:r>
          </w:p>
          <w:p w14:paraId="3C8B9311" w14:textId="77777777" w:rsidR="002B4243" w:rsidRPr="00F96844" w:rsidRDefault="002B4243" w:rsidP="005114FD">
            <w:pPr>
              <w:jc w:val="both"/>
              <w:rPr>
                <w:rFonts w:cs="Arial"/>
                <w:sz w:val="24"/>
                <w:szCs w:val="24"/>
                <w:lang w:val="sr-Latn-ME"/>
              </w:rPr>
            </w:pPr>
            <w:r w:rsidRPr="00F96844">
              <w:rPr>
                <w:rFonts w:cs="Arial"/>
                <w:sz w:val="24"/>
                <w:szCs w:val="24"/>
                <w:lang w:val="sr-Latn-ME"/>
              </w:rPr>
              <w:t>Nedovoljna ulaganja u edukaciju i trening zaposlenih</w:t>
            </w:r>
          </w:p>
          <w:p w14:paraId="5195D721" w14:textId="77777777" w:rsidR="002B4243" w:rsidRPr="00F96844" w:rsidRDefault="002B4243" w:rsidP="005114FD">
            <w:pPr>
              <w:jc w:val="both"/>
              <w:rPr>
                <w:rFonts w:cs="Arial"/>
                <w:sz w:val="24"/>
                <w:szCs w:val="24"/>
                <w:lang w:val="sr-Latn-ME"/>
              </w:rPr>
            </w:pPr>
          </w:p>
        </w:tc>
      </w:tr>
      <w:bookmarkEnd w:id="77"/>
    </w:tbl>
    <w:p w14:paraId="2DEC5041" w14:textId="77777777" w:rsidR="002B4243" w:rsidRPr="00F96844" w:rsidRDefault="002B4243" w:rsidP="005114FD">
      <w:pPr>
        <w:jc w:val="both"/>
        <w:rPr>
          <w:rFonts w:cs="Arial"/>
          <w:b/>
          <w:bCs/>
          <w:sz w:val="24"/>
          <w:szCs w:val="24"/>
          <w:lang w:val="sr-Latn-ME" w:bidi="en-US"/>
        </w:rPr>
      </w:pPr>
    </w:p>
    <w:p w14:paraId="5DCFA80D" w14:textId="77777777" w:rsidR="00EE4A23" w:rsidRPr="00F96844" w:rsidRDefault="00EE4A23" w:rsidP="005114FD">
      <w:pPr>
        <w:jc w:val="both"/>
        <w:rPr>
          <w:rFonts w:cs="Arial"/>
          <w:b/>
          <w:bCs/>
          <w:sz w:val="24"/>
          <w:szCs w:val="24"/>
          <w:lang w:val="sr-Latn-ME" w:bidi="en-US"/>
        </w:rPr>
      </w:pPr>
    </w:p>
    <w:p w14:paraId="026EDDC8" w14:textId="77777777" w:rsidR="00A36D6B" w:rsidRPr="00F96844" w:rsidRDefault="00A36D6B" w:rsidP="00780738">
      <w:pPr>
        <w:pStyle w:val="Heading2"/>
        <w:rPr>
          <w:rFonts w:eastAsia="Times New Roman"/>
          <w:szCs w:val="24"/>
          <w:lang w:val="sr-Latn-ME" w:eastAsia="sr-Latn-CS"/>
        </w:rPr>
      </w:pPr>
      <w:bookmarkStart w:id="78" w:name="_Toc172541305"/>
      <w:r w:rsidRPr="00F96844">
        <w:rPr>
          <w:rFonts w:eastAsia="Times New Roman"/>
          <w:szCs w:val="24"/>
          <w:lang w:val="sr-Latn-ME" w:eastAsia="sr-Latn-CS"/>
        </w:rPr>
        <w:t>Osnovna prava na materijalna davanja iz socijalne i dječje zaštite</w:t>
      </w:r>
      <w:bookmarkEnd w:id="78"/>
    </w:p>
    <w:p w14:paraId="723EFA13" w14:textId="77777777" w:rsidR="00A36D6B" w:rsidRPr="00F96844" w:rsidRDefault="00A36D6B" w:rsidP="00780738">
      <w:pPr>
        <w:autoSpaceDE w:val="0"/>
        <w:autoSpaceDN w:val="0"/>
        <w:adjustRightInd w:val="0"/>
        <w:jc w:val="both"/>
        <w:rPr>
          <w:rFonts w:eastAsia="Times New Roman" w:cs="Arial"/>
          <w:b/>
          <w:i/>
          <w:sz w:val="24"/>
          <w:szCs w:val="24"/>
          <w:u w:val="single"/>
          <w:lang w:val="sr-Latn-ME" w:eastAsia="sr-Latn-CS"/>
        </w:rPr>
      </w:pPr>
    </w:p>
    <w:p w14:paraId="750CA27D" w14:textId="77777777" w:rsidR="00A36D6B" w:rsidRPr="00F96844" w:rsidRDefault="00A36D6B" w:rsidP="00780738">
      <w:pPr>
        <w:jc w:val="both"/>
        <w:rPr>
          <w:rFonts w:cs="Arial"/>
          <w:sz w:val="24"/>
          <w:szCs w:val="24"/>
          <w:lang w:val="sr-Latn-ME"/>
        </w:rPr>
      </w:pPr>
      <w:r w:rsidRPr="00F96844">
        <w:rPr>
          <w:rFonts w:eastAsia="Times New Roman" w:cs="Arial"/>
          <w:sz w:val="24"/>
          <w:szCs w:val="24"/>
          <w:lang w:val="sr-Latn-ME" w:eastAsia="sr-Latn-CS"/>
        </w:rPr>
        <w:t>Osnovna prava na materijalna davanja iz socijalne i dječje zaštite ostvaruju se u skladu sa Zakonom o socijalnoj i dječjoj zaštiti i donijetim podzakonskim aktima</w:t>
      </w:r>
      <w:r w:rsidRPr="00F96844">
        <w:rPr>
          <w:rFonts w:cs="Arial"/>
          <w:sz w:val="24"/>
          <w:szCs w:val="24"/>
          <w:lang w:val="sr-Latn-ME"/>
        </w:rPr>
        <w:t>.</w:t>
      </w:r>
    </w:p>
    <w:p w14:paraId="00C2826F" w14:textId="77777777" w:rsidR="006D634E" w:rsidRPr="00222196" w:rsidRDefault="00A36D6B" w:rsidP="00780738">
      <w:pPr>
        <w:autoSpaceDE w:val="0"/>
        <w:autoSpaceDN w:val="0"/>
        <w:adjustRightInd w:val="0"/>
        <w:jc w:val="both"/>
        <w:rPr>
          <w:rFonts w:eastAsia="Times New Roman" w:cs="Arial"/>
          <w:sz w:val="24"/>
          <w:szCs w:val="24"/>
          <w:highlight w:val="red"/>
          <w:lang w:val="sr-Latn-ME" w:eastAsia="sr-Latn-CS"/>
        </w:rPr>
      </w:pPr>
      <w:r w:rsidRPr="00F96844">
        <w:rPr>
          <w:rFonts w:cs="Arial"/>
          <w:sz w:val="24"/>
          <w:szCs w:val="24"/>
          <w:lang w:val="sr-Latn-ME"/>
        </w:rPr>
        <w:t xml:space="preserve">U sistemu socijalne </w:t>
      </w:r>
      <w:r w:rsidR="00015894">
        <w:rPr>
          <w:rFonts w:cs="Arial"/>
          <w:sz w:val="24"/>
          <w:szCs w:val="24"/>
          <w:lang w:val="sr-Latn-ME"/>
        </w:rPr>
        <w:t>i d</w:t>
      </w:r>
      <w:r w:rsidR="00EB2F1D">
        <w:rPr>
          <w:rFonts w:cs="Arial"/>
          <w:sz w:val="24"/>
          <w:szCs w:val="24"/>
          <w:lang w:val="sr-Latn-ME"/>
        </w:rPr>
        <w:t>ječj</w:t>
      </w:r>
      <w:r w:rsidR="00015894">
        <w:rPr>
          <w:rFonts w:cs="Arial"/>
          <w:sz w:val="24"/>
          <w:szCs w:val="24"/>
          <w:lang w:val="sr-Latn-ME"/>
        </w:rPr>
        <w:t xml:space="preserve">e </w:t>
      </w:r>
      <w:r w:rsidRPr="00F96844">
        <w:rPr>
          <w:rFonts w:cs="Arial"/>
          <w:sz w:val="24"/>
          <w:szCs w:val="24"/>
          <w:lang w:val="sr-Latn-ME"/>
        </w:rPr>
        <w:t xml:space="preserve">zaštite ima </w:t>
      </w:r>
      <w:r w:rsidRPr="000C32B6">
        <w:rPr>
          <w:rFonts w:cs="Arial"/>
          <w:sz w:val="24"/>
          <w:szCs w:val="24"/>
          <w:lang w:val="sr-Latn-ME"/>
        </w:rPr>
        <w:t>1</w:t>
      </w:r>
      <w:r w:rsidR="000E1817" w:rsidRPr="000C32B6">
        <w:rPr>
          <w:rFonts w:cs="Arial"/>
          <w:sz w:val="24"/>
          <w:szCs w:val="24"/>
          <w:lang w:val="sr-Latn-ME"/>
        </w:rPr>
        <w:t>4</w:t>
      </w:r>
      <w:r w:rsidRPr="00F96844">
        <w:rPr>
          <w:rFonts w:cs="Arial"/>
          <w:sz w:val="24"/>
          <w:szCs w:val="24"/>
          <w:lang w:val="sr-Latn-ME"/>
        </w:rPr>
        <w:t xml:space="preserve"> vrsta materijalnih davanja, od kojih je samo materijalno obezbjeđenje </w:t>
      </w:r>
      <w:r w:rsidR="00015894">
        <w:rPr>
          <w:rFonts w:cs="Arial"/>
          <w:sz w:val="24"/>
          <w:szCs w:val="24"/>
          <w:lang w:val="sr-Latn-ME"/>
        </w:rPr>
        <w:t>i d</w:t>
      </w:r>
      <w:r w:rsidR="00EB2F1D">
        <w:rPr>
          <w:rFonts w:cs="Arial"/>
          <w:sz w:val="24"/>
          <w:szCs w:val="24"/>
          <w:lang w:val="sr-Latn-ME"/>
        </w:rPr>
        <w:t>ječj</w:t>
      </w:r>
      <w:r w:rsidR="00015894">
        <w:rPr>
          <w:rFonts w:cs="Arial"/>
          <w:sz w:val="24"/>
          <w:szCs w:val="24"/>
          <w:lang w:val="sr-Latn-ME"/>
        </w:rPr>
        <w:t xml:space="preserve">i dodatak za djecu korisnike MO </w:t>
      </w:r>
      <w:r w:rsidRPr="00F96844">
        <w:rPr>
          <w:rFonts w:cs="Arial"/>
          <w:sz w:val="24"/>
          <w:szCs w:val="24"/>
          <w:lang w:val="sr-Latn-ME"/>
        </w:rPr>
        <w:t xml:space="preserve">usmjereno na siromašne, dok </w:t>
      </w:r>
      <w:r w:rsidR="00015894">
        <w:rPr>
          <w:rFonts w:cs="Arial"/>
          <w:sz w:val="24"/>
          <w:szCs w:val="24"/>
          <w:lang w:val="sr-Latn-ME"/>
        </w:rPr>
        <w:t>uslovi za ostv</w:t>
      </w:r>
      <w:r w:rsidR="00206736">
        <w:rPr>
          <w:rFonts w:cs="Arial"/>
          <w:sz w:val="24"/>
          <w:szCs w:val="24"/>
          <w:lang w:val="sr-Latn-ME"/>
        </w:rPr>
        <w:t>a</w:t>
      </w:r>
      <w:r w:rsidR="00015894">
        <w:rPr>
          <w:rFonts w:cs="Arial"/>
          <w:sz w:val="24"/>
          <w:szCs w:val="24"/>
          <w:lang w:val="sr-Latn-ME"/>
        </w:rPr>
        <w:t>rivanje ostalih prava na materijalna davanja ne zavise od imovinskog statusa, već od zdravstvenog stanja ili drugih uslova</w:t>
      </w:r>
      <w:r w:rsidRPr="00F96844">
        <w:rPr>
          <w:rFonts w:cs="Arial"/>
          <w:sz w:val="24"/>
          <w:szCs w:val="24"/>
          <w:lang w:val="sr-Latn-ME"/>
        </w:rPr>
        <w:t>. Osnovni problem sistema socijalne</w:t>
      </w:r>
      <w:r w:rsidR="00BB335A">
        <w:rPr>
          <w:rFonts w:cs="Arial"/>
          <w:sz w:val="24"/>
          <w:szCs w:val="24"/>
          <w:lang w:val="sr-Latn-ME"/>
        </w:rPr>
        <w:t xml:space="preserve"> i d</w:t>
      </w:r>
      <w:r w:rsidR="00EB2F1D">
        <w:rPr>
          <w:rFonts w:cs="Arial"/>
          <w:sz w:val="24"/>
          <w:szCs w:val="24"/>
          <w:lang w:val="sr-Latn-ME"/>
        </w:rPr>
        <w:t>ječj</w:t>
      </w:r>
      <w:r w:rsidR="00BB335A">
        <w:rPr>
          <w:rFonts w:cs="Arial"/>
          <w:sz w:val="24"/>
          <w:szCs w:val="24"/>
          <w:lang w:val="sr-Latn-ME"/>
        </w:rPr>
        <w:t>e</w:t>
      </w:r>
      <w:r w:rsidRPr="00F96844">
        <w:rPr>
          <w:rFonts w:cs="Arial"/>
          <w:sz w:val="24"/>
          <w:szCs w:val="24"/>
          <w:lang w:val="sr-Latn-ME"/>
        </w:rPr>
        <w:t xml:space="preserve"> zaštite je što se za davanja za materijalno ugrožene (siromašne)</w:t>
      </w:r>
      <w:r w:rsidR="00BB335A">
        <w:rPr>
          <w:rFonts w:cs="Arial"/>
          <w:sz w:val="24"/>
          <w:szCs w:val="24"/>
          <w:lang w:val="sr-Latn-ME"/>
        </w:rPr>
        <w:t xml:space="preserve"> korisnike</w:t>
      </w:r>
      <w:r w:rsidRPr="00F96844">
        <w:rPr>
          <w:rFonts w:cs="Arial"/>
          <w:sz w:val="24"/>
          <w:szCs w:val="24"/>
          <w:lang w:val="sr-Latn-ME"/>
        </w:rPr>
        <w:t xml:space="preserve"> izdvaja svega 25%</w:t>
      </w:r>
      <w:r w:rsidR="00D267FE">
        <w:rPr>
          <w:rFonts w:cs="Arial"/>
          <w:sz w:val="24"/>
          <w:szCs w:val="24"/>
          <w:lang w:val="sr-Latn-ME"/>
        </w:rPr>
        <w:t xml:space="preserve"> od ukupnih materijalnih davanja</w:t>
      </w:r>
      <w:r w:rsidR="00BB335A">
        <w:rPr>
          <w:rFonts w:cs="Arial"/>
          <w:sz w:val="24"/>
          <w:szCs w:val="24"/>
          <w:lang w:val="sr-Latn-ME"/>
        </w:rPr>
        <w:t xml:space="preserve"> koje propisuje ZSDZ</w:t>
      </w:r>
      <w:r w:rsidRPr="00F96844">
        <w:rPr>
          <w:rFonts w:cs="Arial"/>
          <w:sz w:val="24"/>
          <w:szCs w:val="24"/>
          <w:lang w:val="sr-Latn-ME"/>
        </w:rPr>
        <w:t>. Ako se uzmu u obzir naknade</w:t>
      </w:r>
      <w:r w:rsidR="00BB335A">
        <w:rPr>
          <w:rFonts w:cs="Arial"/>
          <w:sz w:val="24"/>
          <w:szCs w:val="24"/>
          <w:lang w:val="sr-Latn-ME"/>
        </w:rPr>
        <w:t xml:space="preserve"> za žene po osnovu rođenj</w:t>
      </w:r>
      <w:r w:rsidR="00206736">
        <w:rPr>
          <w:rFonts w:cs="Arial"/>
          <w:sz w:val="24"/>
          <w:szCs w:val="24"/>
          <w:lang w:val="sr-Latn-ME"/>
        </w:rPr>
        <w:t>a</w:t>
      </w:r>
      <w:r w:rsidRPr="00F96844">
        <w:rPr>
          <w:rFonts w:cs="Arial"/>
          <w:sz w:val="24"/>
          <w:szCs w:val="24"/>
          <w:lang w:val="sr-Latn-ME"/>
        </w:rPr>
        <w:t xml:space="preserve"> troje i više djece</w:t>
      </w:r>
      <w:r w:rsidR="00206736">
        <w:rPr>
          <w:rFonts w:cs="Arial"/>
          <w:sz w:val="24"/>
          <w:szCs w:val="24"/>
          <w:lang w:val="sr-Latn-ME"/>
        </w:rPr>
        <w:t>,</w:t>
      </w:r>
      <w:r w:rsidR="00BB335A">
        <w:rPr>
          <w:rFonts w:cs="Arial"/>
          <w:sz w:val="24"/>
          <w:szCs w:val="24"/>
          <w:lang w:val="sr-Latn-ME"/>
        </w:rPr>
        <w:t xml:space="preserve"> koje su propisane Zakonom o obeštećenju bivših korisnica naknade</w:t>
      </w:r>
      <w:r w:rsidR="00206736">
        <w:rPr>
          <w:rFonts w:cs="Arial"/>
          <w:sz w:val="24"/>
          <w:szCs w:val="24"/>
          <w:lang w:val="sr-Latn-ME"/>
        </w:rPr>
        <w:t xml:space="preserve"> </w:t>
      </w:r>
      <w:r w:rsidR="00BB335A">
        <w:rPr>
          <w:rFonts w:cs="Arial"/>
          <w:sz w:val="24"/>
          <w:szCs w:val="24"/>
          <w:lang w:val="sr-Latn-ME"/>
        </w:rPr>
        <w:t>po osnovu rođenj</w:t>
      </w:r>
      <w:r w:rsidR="00206736">
        <w:rPr>
          <w:rFonts w:cs="Arial"/>
          <w:sz w:val="24"/>
          <w:szCs w:val="24"/>
          <w:lang w:val="sr-Latn-ME"/>
        </w:rPr>
        <w:t>a</w:t>
      </w:r>
      <w:r w:rsidR="00BB335A">
        <w:rPr>
          <w:rFonts w:cs="Arial"/>
          <w:sz w:val="24"/>
          <w:szCs w:val="24"/>
          <w:lang w:val="sr-Latn-ME"/>
        </w:rPr>
        <w:t xml:space="preserve"> troje i više djece</w:t>
      </w:r>
      <w:r w:rsidRPr="00F96844">
        <w:rPr>
          <w:rFonts w:cs="Arial"/>
          <w:sz w:val="24"/>
          <w:szCs w:val="24"/>
          <w:lang w:val="sr-Latn-ME"/>
        </w:rPr>
        <w:t>,</w:t>
      </w:r>
      <w:r w:rsidR="00BB335A">
        <w:rPr>
          <w:rFonts w:cs="Arial"/>
          <w:sz w:val="24"/>
          <w:szCs w:val="24"/>
          <w:lang w:val="sr-Latn-ME"/>
        </w:rPr>
        <w:t xml:space="preserve"> </w:t>
      </w:r>
      <w:r w:rsidRPr="00F96844">
        <w:rPr>
          <w:rFonts w:cs="Arial"/>
          <w:sz w:val="24"/>
          <w:szCs w:val="24"/>
          <w:lang w:val="sr-Latn-ME"/>
        </w:rPr>
        <w:t>ovaj udio je još značajno manji.</w:t>
      </w:r>
      <w:r w:rsidR="00E25B9C" w:rsidRPr="00F96844">
        <w:rPr>
          <w:rFonts w:cs="Arial"/>
          <w:sz w:val="24"/>
          <w:szCs w:val="24"/>
          <w:lang w:val="sr-Latn-ME"/>
        </w:rPr>
        <w:t xml:space="preserve"> </w:t>
      </w:r>
    </w:p>
    <w:p w14:paraId="41129AE4" w14:textId="77777777" w:rsidR="00EE4A23" w:rsidRPr="00F96844" w:rsidRDefault="00EE4A23" w:rsidP="00780738">
      <w:pPr>
        <w:autoSpaceDE w:val="0"/>
        <w:autoSpaceDN w:val="0"/>
        <w:adjustRightInd w:val="0"/>
        <w:jc w:val="both"/>
        <w:rPr>
          <w:rFonts w:eastAsia="Times New Roman" w:cs="Arial"/>
          <w:sz w:val="24"/>
          <w:szCs w:val="24"/>
          <w:lang w:val="sr-Latn-ME" w:eastAsia="sr-Latn-CS"/>
        </w:rPr>
      </w:pPr>
    </w:p>
    <w:p w14:paraId="01CCEA02" w14:textId="77777777" w:rsidR="00A36D6B" w:rsidRPr="00F96844" w:rsidRDefault="00A36D6B" w:rsidP="00780738">
      <w:pPr>
        <w:autoSpaceDE w:val="0"/>
        <w:autoSpaceDN w:val="0"/>
        <w:adjustRightInd w:val="0"/>
        <w:jc w:val="both"/>
        <w:rPr>
          <w:rFonts w:eastAsia="Times New Roman" w:cs="Arial"/>
          <w:sz w:val="24"/>
          <w:szCs w:val="24"/>
          <w:lang w:val="sr-Latn-ME" w:eastAsia="sr-Latn-CS"/>
        </w:rPr>
      </w:pPr>
      <w:bookmarkStart w:id="79" w:name="_Toc172541306"/>
      <w:r w:rsidRPr="00F96844">
        <w:rPr>
          <w:rStyle w:val="Heading3Char"/>
          <w:sz w:val="24"/>
          <w:lang w:val="sr-Latn-ME"/>
        </w:rPr>
        <w:t>2.3.1. Osnovna materijalna davanja u socijalnoj zaštiti</w:t>
      </w:r>
      <w:bookmarkEnd w:id="79"/>
      <w:r w:rsidRPr="00F96844">
        <w:rPr>
          <w:rFonts w:eastAsia="Times New Roman" w:cs="Arial"/>
          <w:b/>
          <w:sz w:val="24"/>
          <w:szCs w:val="24"/>
          <w:lang w:val="sr-Latn-ME" w:eastAsia="sr-Latn-CS"/>
        </w:rPr>
        <w:t xml:space="preserve"> su: </w:t>
      </w:r>
      <w:r w:rsidRPr="00F96844">
        <w:rPr>
          <w:rFonts w:eastAsia="Times New Roman" w:cs="Arial"/>
          <w:sz w:val="24"/>
          <w:szCs w:val="24"/>
          <w:lang w:val="sr-Latn-ME" w:eastAsia="sr-Latn-CS"/>
        </w:rPr>
        <w:t>materijalno obezbjeđenje; lična invalidnina; dodatak za njegu i pomoć; zdravstvena zaštita; troškovi sahrane; jednokratna novčana pomoć; naknada roditelju ili staratelju korisnika prava na ličnu invalidninu.</w:t>
      </w:r>
      <w:r w:rsidR="00D9050F" w:rsidRPr="00D9050F">
        <w:rPr>
          <w:rFonts w:eastAsia="Times New Roman" w:cs="Arial"/>
          <w:sz w:val="24"/>
          <w:szCs w:val="24"/>
          <w:lang w:val="sr-Latn-CS" w:eastAsia="sr-Latn-CS"/>
        </w:rPr>
        <w:t xml:space="preserve"> </w:t>
      </w:r>
      <w:r w:rsidR="00D9050F">
        <w:rPr>
          <w:rFonts w:eastAsia="Times New Roman" w:cs="Arial"/>
          <w:sz w:val="24"/>
          <w:szCs w:val="24"/>
          <w:lang w:val="sr-Latn-CS" w:eastAsia="sr-Latn-CS"/>
        </w:rPr>
        <w:t>Dodatno, Zakonom o povlastici na putovanje lica</w:t>
      </w:r>
      <w:r w:rsidR="00867803">
        <w:rPr>
          <w:rFonts w:eastAsia="Times New Roman" w:cs="Arial"/>
          <w:sz w:val="24"/>
          <w:szCs w:val="24"/>
          <w:lang w:val="sr-Latn-CS" w:eastAsia="sr-Latn-CS"/>
        </w:rPr>
        <w:t xml:space="preserve"> s</w:t>
      </w:r>
      <w:r w:rsidR="008A1FEE">
        <w:rPr>
          <w:rFonts w:eastAsia="Times New Roman" w:cs="Arial"/>
          <w:sz w:val="24"/>
          <w:szCs w:val="24"/>
          <w:lang w:val="sr-Latn-CS" w:eastAsia="sr-Latn-CS"/>
        </w:rPr>
        <w:t>a</w:t>
      </w:r>
      <w:r w:rsidR="00867803">
        <w:rPr>
          <w:rFonts w:eastAsia="Times New Roman" w:cs="Arial"/>
          <w:sz w:val="24"/>
          <w:szCs w:val="24"/>
          <w:lang w:val="sr-Latn-CS" w:eastAsia="sr-Latn-CS"/>
        </w:rPr>
        <w:t xml:space="preserve"> i</w:t>
      </w:r>
      <w:r w:rsidR="00D9050F">
        <w:rPr>
          <w:rFonts w:eastAsia="Times New Roman" w:cs="Arial"/>
          <w:sz w:val="24"/>
          <w:szCs w:val="24"/>
          <w:lang w:val="sr-Latn-CS" w:eastAsia="sr-Latn-CS"/>
        </w:rPr>
        <w:t>nvaliditetom</w:t>
      </w:r>
      <w:r w:rsidR="00D9050F">
        <w:rPr>
          <w:rStyle w:val="FootnoteReference"/>
          <w:rFonts w:eastAsia="Times New Roman" w:cs="Arial"/>
          <w:sz w:val="24"/>
          <w:szCs w:val="24"/>
          <w:lang w:val="sr-Latn-CS" w:eastAsia="sr-Latn-CS"/>
        </w:rPr>
        <w:footnoteReference w:id="73"/>
      </w:r>
      <w:r w:rsidR="00D9050F">
        <w:rPr>
          <w:rFonts w:eastAsia="Times New Roman" w:cs="Arial"/>
          <w:sz w:val="24"/>
          <w:szCs w:val="24"/>
          <w:lang w:val="sr-Latn-CS" w:eastAsia="sr-Latn-CS"/>
        </w:rPr>
        <w:t xml:space="preserve"> su propisane i naknade licu</w:t>
      </w:r>
      <w:r w:rsidR="00867803">
        <w:rPr>
          <w:rFonts w:eastAsia="Times New Roman" w:cs="Arial"/>
          <w:sz w:val="24"/>
          <w:szCs w:val="24"/>
          <w:lang w:val="sr-Latn-CS" w:eastAsia="sr-Latn-CS"/>
        </w:rPr>
        <w:t xml:space="preserve"> s i</w:t>
      </w:r>
      <w:r w:rsidR="00D9050F">
        <w:rPr>
          <w:rFonts w:eastAsia="Times New Roman" w:cs="Arial"/>
          <w:sz w:val="24"/>
          <w:szCs w:val="24"/>
          <w:lang w:val="sr-Latn-CS" w:eastAsia="sr-Latn-CS"/>
        </w:rPr>
        <w:t>nvaliditetom i njegovom pratiocu po osnovu ovog prava.</w:t>
      </w:r>
    </w:p>
    <w:p w14:paraId="2D3A111D" w14:textId="77777777" w:rsidR="00A36D6B" w:rsidRPr="00F96844" w:rsidRDefault="00A36D6B" w:rsidP="00780738">
      <w:pPr>
        <w:autoSpaceDE w:val="0"/>
        <w:autoSpaceDN w:val="0"/>
        <w:adjustRightInd w:val="0"/>
        <w:jc w:val="both"/>
        <w:rPr>
          <w:rFonts w:eastAsia="Times New Roman" w:cs="Arial"/>
          <w:sz w:val="24"/>
          <w:szCs w:val="24"/>
          <w:lang w:val="sr-Latn-ME" w:eastAsia="sr-Latn-CS"/>
        </w:rPr>
      </w:pPr>
    </w:p>
    <w:p w14:paraId="27AF5CD5" w14:textId="77777777" w:rsidR="00E53258" w:rsidRPr="00F96844" w:rsidRDefault="00133DF8" w:rsidP="00780738">
      <w:pPr>
        <w:jc w:val="both"/>
        <w:rPr>
          <w:rFonts w:eastAsia="Times New Roman" w:cs="Arial"/>
          <w:sz w:val="24"/>
          <w:szCs w:val="24"/>
          <w:lang w:val="sr-Latn-ME"/>
        </w:rPr>
      </w:pPr>
      <w:r w:rsidRPr="00F96844">
        <w:rPr>
          <w:rFonts w:eastAsia="Times New Roman" w:cs="Arial"/>
          <w:i/>
          <w:sz w:val="24"/>
          <w:szCs w:val="24"/>
          <w:u w:val="single"/>
          <w:lang w:val="sr-Latn-ME" w:eastAsia="sr-Latn-CS"/>
        </w:rPr>
        <w:t xml:space="preserve"> Materijalno obezbjeđenje</w:t>
      </w:r>
      <w:r w:rsidRPr="00F96844">
        <w:rPr>
          <w:rFonts w:eastAsia="Times New Roman" w:cs="Arial"/>
          <w:sz w:val="24"/>
          <w:szCs w:val="24"/>
          <w:lang w:val="sr-Latn-ME" w:eastAsia="sr-Latn-CS"/>
        </w:rPr>
        <w:t>, kao osnovno materijalno davanje</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iz socijalne zaštite ostvaruje porodica, odnosno pojedinac ako je nesposoban za rad ili sposoban za rad pod uslovima </w:t>
      </w:r>
      <w:r w:rsidRPr="00F96844">
        <w:rPr>
          <w:rFonts w:eastAsia="Times New Roman" w:cs="Arial"/>
          <w:sz w:val="24"/>
          <w:szCs w:val="24"/>
          <w:lang w:val="sr-Latn-ME" w:eastAsia="sr-Latn-CS"/>
        </w:rPr>
        <w:lastRenderedPageBreak/>
        <w:t>propisanim Zakonom o socijalnoj i dječjoj zaštiti. Visina materijalnog obezbjeđenja za porodicu, odnosno pojedinca u decembru 2023.</w:t>
      </w:r>
      <w:r w:rsidR="00DA5868">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iznosila je mjesečno 84,98 eura za pojedinca</w:t>
      </w:r>
      <w:r w:rsidR="008A1FEE">
        <w:rPr>
          <w:rFonts w:eastAsia="Times New Roman" w:cs="Arial"/>
          <w:sz w:val="24"/>
          <w:szCs w:val="24"/>
          <w:lang w:val="sr-Latn-ME" w:eastAsia="sr-Latn-CS"/>
        </w:rPr>
        <w:t>,</w:t>
      </w:r>
      <w:r w:rsidRPr="00F96844">
        <w:rPr>
          <w:rFonts w:eastAsia="Times New Roman" w:cs="Arial"/>
          <w:sz w:val="24"/>
          <w:szCs w:val="24"/>
          <w:lang w:val="sr-Latn-ME" w:eastAsia="sr-Latn-CS"/>
        </w:rPr>
        <w:t xml:space="preserve"> </w:t>
      </w:r>
      <w:r w:rsidR="00F67DEE">
        <w:rPr>
          <w:rFonts w:eastAsia="Times New Roman" w:cs="Arial"/>
          <w:sz w:val="24"/>
          <w:szCs w:val="24"/>
          <w:lang w:val="sr-Latn-ME" w:eastAsia="sr-Latn-CS"/>
        </w:rPr>
        <w:t>odnosno</w:t>
      </w:r>
      <w:r w:rsidRPr="00F96844">
        <w:rPr>
          <w:rFonts w:eastAsia="Times New Roman" w:cs="Arial"/>
          <w:sz w:val="24"/>
          <w:szCs w:val="24"/>
          <w:lang w:val="sr-Latn-ME" w:eastAsia="sr-Latn-CS"/>
        </w:rPr>
        <w:t xml:space="preserve"> 161,57 eura za porodicu</w:t>
      </w:r>
      <w:r w:rsidR="004C5D23">
        <w:rPr>
          <w:rFonts w:eastAsia="Times New Roman" w:cs="Arial"/>
          <w:sz w:val="24"/>
          <w:szCs w:val="24"/>
          <w:lang w:val="sr-Latn-ME" w:eastAsia="sr-Latn-CS"/>
        </w:rPr>
        <w:t xml:space="preserve"> s p</w:t>
      </w:r>
      <w:r w:rsidRPr="00F96844">
        <w:rPr>
          <w:rFonts w:eastAsia="Times New Roman" w:cs="Arial"/>
          <w:sz w:val="24"/>
          <w:szCs w:val="24"/>
          <w:lang w:val="sr-Latn-ME" w:eastAsia="sr-Latn-CS"/>
        </w:rPr>
        <w:t>et i više članova</w:t>
      </w:r>
      <w:r w:rsidR="00F67DEE">
        <w:rPr>
          <w:rFonts w:eastAsia="Times New Roman" w:cs="Arial"/>
          <w:sz w:val="24"/>
          <w:szCs w:val="24"/>
          <w:lang w:val="sr-Latn-ME" w:eastAsia="sr-Latn-CS"/>
        </w:rPr>
        <w:t>.</w:t>
      </w:r>
      <w:r w:rsidRPr="00F96844">
        <w:rPr>
          <w:rFonts w:eastAsia="Times New Roman" w:cs="Arial"/>
          <w:sz w:val="24"/>
          <w:szCs w:val="24"/>
          <w:lang w:val="sr-Latn-ME" w:eastAsia="sr-Latn-CS"/>
        </w:rPr>
        <w:t xml:space="preserve"> </w:t>
      </w:r>
      <w:r w:rsidR="00F67DEE">
        <w:rPr>
          <w:rFonts w:eastAsia="Times New Roman" w:cs="Arial"/>
          <w:sz w:val="24"/>
          <w:szCs w:val="24"/>
          <w:lang w:val="sr-Latn-ME" w:eastAsia="sr-Latn-CS"/>
        </w:rPr>
        <w:t>U</w:t>
      </w:r>
      <w:r w:rsidRPr="00F96844">
        <w:rPr>
          <w:rFonts w:eastAsia="Times New Roman" w:cs="Arial"/>
          <w:sz w:val="24"/>
          <w:szCs w:val="24"/>
          <w:lang w:val="sr-Latn-ME" w:eastAsia="sr-Latn-CS"/>
        </w:rPr>
        <w:t xml:space="preserve"> 2023.</w:t>
      </w:r>
      <w:r w:rsidR="00DA5868">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po tom osnovu 8.653.777</w:t>
      </w:r>
      <w:r w:rsidR="00F67DEE">
        <w:rPr>
          <w:rFonts w:eastAsia="Times New Roman" w:cs="Arial"/>
          <w:sz w:val="24"/>
          <w:szCs w:val="24"/>
          <w:lang w:val="sr-Latn-ME" w:eastAsia="sr-Latn-CS"/>
        </w:rPr>
        <w:t>,</w:t>
      </w:r>
      <w:r w:rsidRPr="00F96844">
        <w:rPr>
          <w:rFonts w:eastAsia="Times New Roman" w:cs="Arial"/>
          <w:sz w:val="24"/>
          <w:szCs w:val="24"/>
          <w:lang w:val="sr-Latn-ME" w:eastAsia="sr-Latn-CS"/>
        </w:rPr>
        <w:t>00 eura.</w:t>
      </w:r>
      <w:r w:rsidR="00DA5868">
        <w:rPr>
          <w:rFonts w:eastAsia="Times New Roman" w:cs="Arial"/>
          <w:sz w:val="24"/>
          <w:szCs w:val="24"/>
          <w:lang w:val="sr-Latn-ME" w:eastAsia="sr-Latn-CS"/>
        </w:rPr>
        <w:t xml:space="preserve"> </w:t>
      </w:r>
      <w:r w:rsidRPr="00F96844">
        <w:rPr>
          <w:rFonts w:cs="Arial"/>
          <w:sz w:val="24"/>
          <w:szCs w:val="24"/>
          <w:lang w:val="sr-Latn-ME"/>
        </w:rPr>
        <w:t>U decembru 2023.</w:t>
      </w:r>
      <w:r w:rsidR="00DA5868">
        <w:rPr>
          <w:rFonts w:cs="Arial"/>
          <w:sz w:val="24"/>
          <w:szCs w:val="24"/>
          <w:lang w:val="sr-Latn-ME"/>
        </w:rPr>
        <w:t xml:space="preserve"> </w:t>
      </w:r>
      <w:r w:rsidRPr="00F96844">
        <w:rPr>
          <w:rFonts w:cs="Arial"/>
          <w:sz w:val="24"/>
          <w:szCs w:val="24"/>
          <w:lang w:val="sr-Latn-ME"/>
        </w:rPr>
        <w:t>godine</w:t>
      </w:r>
      <w:r w:rsidR="00F445C2">
        <w:rPr>
          <w:rFonts w:cs="Arial"/>
          <w:sz w:val="24"/>
          <w:szCs w:val="24"/>
          <w:lang w:val="sr-Latn-ME"/>
        </w:rPr>
        <w:t>,</w:t>
      </w:r>
      <w:r w:rsidRPr="00F96844">
        <w:rPr>
          <w:rFonts w:cs="Arial"/>
          <w:sz w:val="24"/>
          <w:szCs w:val="24"/>
          <w:lang w:val="sr-Latn-ME"/>
        </w:rPr>
        <w:t xml:space="preserve"> pravo na materijalno obezbje</w:t>
      </w:r>
      <w:r w:rsidR="00F445C2">
        <w:rPr>
          <w:rFonts w:cs="Arial"/>
          <w:sz w:val="24"/>
          <w:szCs w:val="24"/>
          <w:lang w:val="sr-Latn-ME"/>
        </w:rPr>
        <w:t>đ</w:t>
      </w:r>
      <w:r w:rsidRPr="00F96844">
        <w:rPr>
          <w:rFonts w:cs="Arial"/>
          <w:sz w:val="24"/>
          <w:szCs w:val="24"/>
          <w:lang w:val="sr-Latn-ME"/>
        </w:rPr>
        <w:t>en</w:t>
      </w:r>
      <w:r w:rsidR="00F445C2">
        <w:rPr>
          <w:rFonts w:cs="Arial"/>
          <w:sz w:val="24"/>
          <w:szCs w:val="24"/>
          <w:lang w:val="sr-Latn-ME"/>
        </w:rPr>
        <w:t>j</w:t>
      </w:r>
      <w:r w:rsidRPr="00F96844">
        <w:rPr>
          <w:rFonts w:cs="Arial"/>
          <w:sz w:val="24"/>
          <w:szCs w:val="24"/>
          <w:lang w:val="sr-Latn-ME"/>
        </w:rPr>
        <w:t>e ostvarivalo je 5</w:t>
      </w:r>
      <w:r w:rsidR="00DA5868">
        <w:rPr>
          <w:rFonts w:cs="Arial"/>
          <w:sz w:val="24"/>
          <w:szCs w:val="24"/>
          <w:lang w:val="sr-Latn-ME"/>
        </w:rPr>
        <w:t>.</w:t>
      </w:r>
      <w:r w:rsidRPr="00F96844">
        <w:rPr>
          <w:rFonts w:cs="Arial"/>
          <w:sz w:val="24"/>
          <w:szCs w:val="24"/>
          <w:lang w:val="sr-Latn-ME"/>
        </w:rPr>
        <w:t>669 porodica</w:t>
      </w:r>
      <w:r w:rsidR="00F445C2">
        <w:rPr>
          <w:rFonts w:cs="Arial"/>
          <w:sz w:val="24"/>
          <w:szCs w:val="24"/>
          <w:lang w:val="sr-Latn-ME"/>
        </w:rPr>
        <w:t>,</w:t>
      </w:r>
      <w:r w:rsidR="00D42D95" w:rsidRPr="00F96844">
        <w:rPr>
          <w:rFonts w:cs="Arial"/>
          <w:sz w:val="24"/>
          <w:szCs w:val="24"/>
          <w:lang w:val="sr-Latn-ME"/>
        </w:rPr>
        <w:t xml:space="preserve"> od čega su </w:t>
      </w:r>
      <w:r w:rsidR="008C0F7F">
        <w:rPr>
          <w:rFonts w:cs="Arial"/>
          <w:sz w:val="24"/>
          <w:szCs w:val="24"/>
          <w:lang w:val="sr-Latn-ME"/>
        </w:rPr>
        <w:t>nositeljke</w:t>
      </w:r>
      <w:r w:rsidR="00D42D95" w:rsidRPr="00F96844">
        <w:rPr>
          <w:rFonts w:cs="Arial"/>
          <w:sz w:val="24"/>
          <w:szCs w:val="24"/>
          <w:lang w:val="sr-Latn-ME"/>
        </w:rPr>
        <w:t xml:space="preserve"> prava žene 2.766 a muškarci 2.903 </w:t>
      </w:r>
      <w:r w:rsidRPr="00F96844">
        <w:rPr>
          <w:rFonts w:cs="Arial"/>
          <w:sz w:val="24"/>
          <w:szCs w:val="24"/>
          <w:lang w:val="sr-Latn-ME"/>
        </w:rPr>
        <w:t>s 19.144 članova</w:t>
      </w:r>
      <w:r w:rsidR="00D42D95" w:rsidRPr="00F96844">
        <w:rPr>
          <w:rFonts w:cs="Arial"/>
          <w:sz w:val="24"/>
          <w:szCs w:val="24"/>
          <w:lang w:val="sr-Latn-ME"/>
        </w:rPr>
        <w:t xml:space="preserve">. </w:t>
      </w:r>
      <w:r w:rsidRPr="00F96844">
        <w:rPr>
          <w:rFonts w:eastAsia="Times New Roman" w:cs="Arial"/>
          <w:sz w:val="24"/>
          <w:szCs w:val="24"/>
          <w:lang w:val="sr-Latn-ME"/>
        </w:rPr>
        <w:t xml:space="preserve">Smanjenje porodica </w:t>
      </w:r>
      <w:r w:rsidR="00EB2F1D">
        <w:rPr>
          <w:rFonts w:eastAsia="Times New Roman" w:cs="Arial"/>
          <w:sz w:val="24"/>
          <w:szCs w:val="24"/>
          <w:lang w:val="sr-Latn-ME"/>
        </w:rPr>
        <w:t>korisnika/korisnica</w:t>
      </w:r>
      <w:r w:rsidRPr="00F96844">
        <w:rPr>
          <w:rFonts w:eastAsia="Times New Roman" w:cs="Arial"/>
          <w:sz w:val="24"/>
          <w:szCs w:val="24"/>
          <w:lang w:val="sr-Latn-ME"/>
        </w:rPr>
        <w:t xml:space="preserve"> materijalnog obezbjeđenja sa</w:t>
      </w:r>
      <w:r w:rsidR="00E25B9C" w:rsidRPr="00F96844">
        <w:rPr>
          <w:rFonts w:eastAsia="Times New Roman" w:cs="Arial"/>
          <w:sz w:val="24"/>
          <w:szCs w:val="24"/>
          <w:lang w:val="sr-Latn-ME"/>
        </w:rPr>
        <w:t xml:space="preserve"> </w:t>
      </w:r>
      <w:r w:rsidRPr="00F96844">
        <w:rPr>
          <w:rFonts w:eastAsia="Times New Roman" w:cs="Arial"/>
          <w:sz w:val="24"/>
          <w:szCs w:val="24"/>
          <w:lang w:val="sr-Latn-ME"/>
        </w:rPr>
        <w:t>6.296 u 2022.</w:t>
      </w:r>
      <w:r w:rsidR="00DA5868">
        <w:rPr>
          <w:rFonts w:eastAsia="Times New Roman" w:cs="Arial"/>
          <w:sz w:val="24"/>
          <w:szCs w:val="24"/>
          <w:lang w:val="sr-Latn-ME"/>
        </w:rPr>
        <w:t xml:space="preserve"> </w:t>
      </w:r>
      <w:r w:rsidRPr="00F96844">
        <w:rPr>
          <w:rFonts w:eastAsia="Times New Roman" w:cs="Arial"/>
          <w:sz w:val="24"/>
          <w:szCs w:val="24"/>
          <w:lang w:val="sr-Latn-ME"/>
        </w:rPr>
        <w:t>godini na 5.669 porodica u 2023.</w:t>
      </w:r>
      <w:r w:rsidR="00DA5868">
        <w:rPr>
          <w:rFonts w:eastAsia="Times New Roman" w:cs="Arial"/>
          <w:sz w:val="24"/>
          <w:szCs w:val="24"/>
          <w:lang w:val="sr-Latn-ME"/>
        </w:rPr>
        <w:t xml:space="preserve"> </w:t>
      </w:r>
      <w:r w:rsidRPr="00F96844">
        <w:rPr>
          <w:rFonts w:eastAsia="Times New Roman" w:cs="Arial"/>
          <w:sz w:val="24"/>
          <w:szCs w:val="24"/>
          <w:lang w:val="sr-Latn-ME"/>
        </w:rPr>
        <w:t>godini je nastavak trenda smanjenja iz prethodnog perioda, kao i drugih prava kojima je MO osnov za ostvarivanje prava. Smanjenje broja porodica korisnika započelo je donošenjem novog Zakona o socijalnoj i dječjoj zaštiti 2013.</w:t>
      </w:r>
      <w:r w:rsidR="00DA5868">
        <w:rPr>
          <w:rFonts w:eastAsia="Times New Roman" w:cs="Arial"/>
          <w:sz w:val="24"/>
          <w:szCs w:val="24"/>
          <w:lang w:val="sr-Latn-ME"/>
        </w:rPr>
        <w:t xml:space="preserve"> </w:t>
      </w:r>
      <w:r w:rsidRPr="00F96844">
        <w:rPr>
          <w:rFonts w:eastAsia="Times New Roman" w:cs="Arial"/>
          <w:sz w:val="24"/>
          <w:szCs w:val="24"/>
          <w:lang w:val="sr-Latn-ME"/>
        </w:rPr>
        <w:t xml:space="preserve">godine i uvođenjem „Informacionog sistema socijalnog staranja </w:t>
      </w:r>
      <w:r w:rsidR="002F229D">
        <w:rPr>
          <w:rFonts w:eastAsia="Times New Roman" w:cs="Arial"/>
          <w:sz w:val="24"/>
          <w:szCs w:val="24"/>
          <w:lang w:val="sr-Latn-ME"/>
        </w:rPr>
        <w:t>–</w:t>
      </w:r>
      <w:r w:rsidRPr="00F96844">
        <w:rPr>
          <w:rFonts w:eastAsia="Times New Roman" w:cs="Arial"/>
          <w:sz w:val="24"/>
          <w:szCs w:val="24"/>
          <w:lang w:val="sr-Latn-ME"/>
        </w:rPr>
        <w:t xml:space="preserve"> </w:t>
      </w:r>
      <w:r w:rsidR="002F229D">
        <w:rPr>
          <w:rFonts w:eastAsia="Times New Roman" w:cs="Arial"/>
          <w:sz w:val="24"/>
          <w:szCs w:val="24"/>
          <w:lang w:val="sr-Latn-ME"/>
        </w:rPr>
        <w:t>e-Socijala</w:t>
      </w:r>
      <w:r w:rsidRPr="00F96844">
        <w:rPr>
          <w:rFonts w:eastAsia="Times New Roman" w:cs="Arial"/>
          <w:sz w:val="24"/>
          <w:szCs w:val="24"/>
          <w:lang w:val="sr-Latn-ME"/>
        </w:rPr>
        <w:t xml:space="preserve">“, što je bilo osnov za bolju kontrolu prihoda i imovine </w:t>
      </w:r>
      <w:r w:rsidR="00EB2F1D">
        <w:rPr>
          <w:rFonts w:eastAsia="Times New Roman" w:cs="Arial"/>
          <w:sz w:val="24"/>
          <w:szCs w:val="24"/>
          <w:lang w:val="sr-Latn-ME"/>
        </w:rPr>
        <w:t>korisnika/korisnica</w:t>
      </w:r>
      <w:r w:rsidRPr="00F96844">
        <w:rPr>
          <w:rFonts w:eastAsia="Times New Roman" w:cs="Arial"/>
          <w:sz w:val="24"/>
          <w:szCs w:val="24"/>
          <w:lang w:val="sr-Latn-ME"/>
        </w:rPr>
        <w:t xml:space="preserve"> i do navedenih izmjena broj porodica </w:t>
      </w:r>
      <w:r w:rsidR="00EB2F1D">
        <w:rPr>
          <w:rFonts w:eastAsia="Times New Roman" w:cs="Arial"/>
          <w:sz w:val="24"/>
          <w:szCs w:val="24"/>
          <w:lang w:val="sr-Latn-ME"/>
        </w:rPr>
        <w:t>korisnika/korisnica</w:t>
      </w:r>
      <w:r w:rsidRPr="00F96844">
        <w:rPr>
          <w:rFonts w:eastAsia="Times New Roman" w:cs="Arial"/>
          <w:sz w:val="24"/>
          <w:szCs w:val="24"/>
          <w:lang w:val="sr-Latn-ME"/>
        </w:rPr>
        <w:t xml:space="preserve"> je bio oko 14.000, što je znatno više od sadašnjih 5.669 porodica.</w:t>
      </w:r>
      <w:r w:rsidRPr="00F96844">
        <w:rPr>
          <w:rFonts w:cs="Arial"/>
          <w:sz w:val="24"/>
          <w:szCs w:val="24"/>
          <w:lang w:val="sr-Latn-ME"/>
        </w:rPr>
        <w:t xml:space="preserve"> </w:t>
      </w:r>
      <w:r w:rsidRPr="00F96844">
        <w:rPr>
          <w:rFonts w:eastAsia="Times New Roman" w:cs="Arial"/>
          <w:sz w:val="24"/>
          <w:szCs w:val="24"/>
          <w:lang w:val="sr-Latn-ME"/>
        </w:rPr>
        <w:t>Imajući u vidu promjenu ekonomskih uslova, kako na globalnom tako i na unutrašnjem planu,</w:t>
      </w:r>
      <w:r w:rsidR="00D069CF">
        <w:rPr>
          <w:rFonts w:eastAsia="Times New Roman" w:cs="Arial"/>
          <w:sz w:val="24"/>
          <w:szCs w:val="24"/>
          <w:lang w:val="sr-Latn-ME"/>
        </w:rPr>
        <w:t xml:space="preserve"> praćene visokom inflacijom,</w:t>
      </w:r>
      <w:r w:rsidRPr="00F96844">
        <w:rPr>
          <w:rFonts w:eastAsia="Times New Roman" w:cs="Arial"/>
          <w:sz w:val="24"/>
          <w:szCs w:val="24"/>
          <w:lang w:val="sr-Latn-ME"/>
        </w:rPr>
        <w:t xml:space="preserve"> povećanje zarada i penzija, lica u stanju socijalne potreb</w:t>
      </w:r>
      <w:r w:rsidR="00F445C2">
        <w:rPr>
          <w:rFonts w:eastAsia="Times New Roman" w:cs="Arial"/>
          <w:sz w:val="24"/>
          <w:szCs w:val="24"/>
          <w:lang w:val="sr-Latn-ME"/>
        </w:rPr>
        <w:t>e</w:t>
      </w:r>
      <w:r w:rsidRPr="00F96844">
        <w:rPr>
          <w:rFonts w:eastAsia="Times New Roman" w:cs="Arial"/>
          <w:sz w:val="24"/>
          <w:szCs w:val="24"/>
          <w:lang w:val="sr-Latn-ME"/>
        </w:rPr>
        <w:t xml:space="preserve"> došla su u nezavidan položaj po pitanju visine naknada.</w:t>
      </w:r>
    </w:p>
    <w:p w14:paraId="0D8912F3" w14:textId="77777777" w:rsidR="00E53258" w:rsidRPr="00F96844" w:rsidRDefault="00E53258" w:rsidP="00780738">
      <w:pPr>
        <w:jc w:val="both"/>
        <w:rPr>
          <w:rFonts w:eastAsia="Times New Roman" w:cs="Arial"/>
          <w:sz w:val="24"/>
          <w:szCs w:val="24"/>
          <w:lang w:val="sr-Latn-ME"/>
        </w:rPr>
      </w:pPr>
    </w:p>
    <w:p w14:paraId="5EA8B743" w14:textId="77777777" w:rsidR="00A55F5C" w:rsidRDefault="00133DF8" w:rsidP="00780738">
      <w:pPr>
        <w:jc w:val="both"/>
        <w:rPr>
          <w:rFonts w:eastAsia="Times New Roman" w:cs="Arial"/>
          <w:sz w:val="24"/>
          <w:szCs w:val="24"/>
          <w:lang w:val="sr-Latn-ME"/>
        </w:rPr>
      </w:pPr>
      <w:r w:rsidRPr="00F96844">
        <w:rPr>
          <w:rFonts w:eastAsia="Times New Roman" w:cs="Arial"/>
          <w:sz w:val="24"/>
          <w:szCs w:val="24"/>
          <w:lang w:val="sr-Latn-ME"/>
        </w:rPr>
        <w:t>Naknade se usklađuju polugodišnje u skladu s čl.</w:t>
      </w:r>
      <w:r w:rsidR="004C5D23">
        <w:rPr>
          <w:rFonts w:eastAsia="Times New Roman" w:cs="Arial"/>
          <w:sz w:val="24"/>
          <w:szCs w:val="24"/>
          <w:lang w:val="sr-Latn-ME"/>
        </w:rPr>
        <w:t xml:space="preserve"> </w:t>
      </w:r>
      <w:r w:rsidRPr="00F96844">
        <w:rPr>
          <w:rFonts w:eastAsia="Times New Roman" w:cs="Arial"/>
          <w:sz w:val="24"/>
          <w:szCs w:val="24"/>
          <w:lang w:val="sr-Latn-ME"/>
        </w:rPr>
        <w:t>38 i 58 Zakona o socijalnoj i dječjoj zaštiti u odnosu na troškove života i i prosječne zarade i od 2013. godine povećanja su se najčešće</w:t>
      </w:r>
      <w:r w:rsidR="00E25B9C" w:rsidRPr="00F96844">
        <w:rPr>
          <w:rFonts w:eastAsia="Times New Roman" w:cs="Arial"/>
          <w:sz w:val="24"/>
          <w:szCs w:val="24"/>
          <w:lang w:val="sr-Latn-ME"/>
        </w:rPr>
        <w:t xml:space="preserve"> </w:t>
      </w:r>
      <w:r w:rsidRPr="00F96844">
        <w:rPr>
          <w:rFonts w:eastAsia="Times New Roman" w:cs="Arial"/>
          <w:sz w:val="24"/>
          <w:szCs w:val="24"/>
          <w:lang w:val="sr-Latn-ME"/>
        </w:rPr>
        <w:t>kretala u procentu 2</w:t>
      </w:r>
      <w:r w:rsidR="00F445C2">
        <w:rPr>
          <w:rFonts w:eastAsia="Times New Roman" w:cs="Arial"/>
          <w:sz w:val="24"/>
          <w:szCs w:val="24"/>
          <w:lang w:val="sr-Latn-ME"/>
        </w:rPr>
        <w:t>‒</w:t>
      </w:r>
      <w:r w:rsidRPr="00F96844">
        <w:rPr>
          <w:rFonts w:eastAsia="Times New Roman" w:cs="Arial"/>
          <w:sz w:val="24"/>
          <w:szCs w:val="24"/>
          <w:lang w:val="sr-Latn-ME"/>
        </w:rPr>
        <w:t>3 %</w:t>
      </w:r>
      <w:r w:rsidR="00D069CF">
        <w:rPr>
          <w:rFonts w:eastAsia="Times New Roman" w:cs="Arial"/>
          <w:sz w:val="24"/>
          <w:szCs w:val="24"/>
          <w:lang w:val="sr-Latn-ME"/>
        </w:rPr>
        <w:t>, s tim što je us</w:t>
      </w:r>
      <w:r w:rsidR="00F445C2">
        <w:rPr>
          <w:rFonts w:eastAsia="Times New Roman" w:cs="Arial"/>
          <w:sz w:val="24"/>
          <w:szCs w:val="24"/>
          <w:lang w:val="sr-Latn-ME"/>
        </w:rPr>
        <w:t>k</w:t>
      </w:r>
      <w:r w:rsidR="00D069CF">
        <w:rPr>
          <w:rFonts w:eastAsia="Times New Roman" w:cs="Arial"/>
          <w:sz w:val="24"/>
          <w:szCs w:val="24"/>
          <w:lang w:val="sr-Latn-ME"/>
        </w:rPr>
        <w:t>lađivanje 1.</w:t>
      </w:r>
      <w:r w:rsidR="00F445C2">
        <w:rPr>
          <w:rFonts w:eastAsia="Times New Roman" w:cs="Arial"/>
          <w:sz w:val="24"/>
          <w:szCs w:val="24"/>
          <w:lang w:val="sr-Latn-ME"/>
        </w:rPr>
        <w:t xml:space="preserve"> </w:t>
      </w:r>
      <w:r w:rsidR="00D069CF">
        <w:rPr>
          <w:rFonts w:eastAsia="Times New Roman" w:cs="Arial"/>
          <w:sz w:val="24"/>
          <w:szCs w:val="24"/>
          <w:lang w:val="sr-Latn-ME"/>
        </w:rPr>
        <w:t>7. 2022. godine bilo 8,70% odnosno 1.</w:t>
      </w:r>
      <w:r w:rsidR="00F445C2">
        <w:rPr>
          <w:rFonts w:eastAsia="Times New Roman" w:cs="Arial"/>
          <w:sz w:val="24"/>
          <w:szCs w:val="24"/>
          <w:lang w:val="sr-Latn-ME"/>
        </w:rPr>
        <w:t xml:space="preserve"> </w:t>
      </w:r>
      <w:r w:rsidR="00D069CF">
        <w:rPr>
          <w:rFonts w:eastAsia="Times New Roman" w:cs="Arial"/>
          <w:sz w:val="24"/>
          <w:szCs w:val="24"/>
          <w:lang w:val="sr-Latn-ME"/>
        </w:rPr>
        <w:t>7.</w:t>
      </w:r>
      <w:r w:rsidR="00F445C2">
        <w:rPr>
          <w:rFonts w:eastAsia="Times New Roman" w:cs="Arial"/>
          <w:sz w:val="24"/>
          <w:szCs w:val="24"/>
          <w:lang w:val="sr-Latn-ME"/>
        </w:rPr>
        <w:t xml:space="preserve"> </w:t>
      </w:r>
      <w:r w:rsidR="00D069CF">
        <w:rPr>
          <w:rFonts w:eastAsia="Times New Roman" w:cs="Arial"/>
          <w:sz w:val="24"/>
          <w:szCs w:val="24"/>
          <w:lang w:val="sr-Latn-ME"/>
        </w:rPr>
        <w:t>2023. godine 5,92%.</w:t>
      </w:r>
      <w:r w:rsidRPr="00F96844">
        <w:rPr>
          <w:rFonts w:eastAsia="Times New Roman" w:cs="Arial"/>
          <w:sz w:val="24"/>
          <w:szCs w:val="24"/>
          <w:lang w:val="sr-Latn-ME"/>
        </w:rPr>
        <w:t xml:space="preserve"> </w:t>
      </w:r>
      <w:r w:rsidR="00A55F5C">
        <w:rPr>
          <w:rFonts w:eastAsia="Times New Roman" w:cs="Arial"/>
          <w:sz w:val="24"/>
          <w:szCs w:val="24"/>
          <w:lang w:val="sr-Latn-ME"/>
        </w:rPr>
        <w:t xml:space="preserve">Navedeni podaci ukazuju da postoji </w:t>
      </w:r>
      <w:r w:rsidRPr="00F96844">
        <w:rPr>
          <w:rFonts w:eastAsia="Times New Roman" w:cs="Arial"/>
          <w:sz w:val="24"/>
          <w:szCs w:val="24"/>
          <w:lang w:val="sr-Latn-ME"/>
        </w:rPr>
        <w:t xml:space="preserve"> potreba da se</w:t>
      </w:r>
      <w:r w:rsidR="00900FC6">
        <w:rPr>
          <w:rFonts w:eastAsia="Times New Roman" w:cs="Arial"/>
          <w:sz w:val="24"/>
          <w:szCs w:val="24"/>
          <w:lang w:val="sr-Latn-ME"/>
        </w:rPr>
        <w:t xml:space="preserve"> preispita postojeći način</w:t>
      </w:r>
      <w:r w:rsidRPr="00F96844">
        <w:rPr>
          <w:rFonts w:eastAsia="Times New Roman" w:cs="Arial"/>
          <w:sz w:val="24"/>
          <w:szCs w:val="24"/>
          <w:lang w:val="sr-Latn-ME"/>
        </w:rPr>
        <w:t xml:space="preserve"> usklađivanj</w:t>
      </w:r>
      <w:r w:rsidR="00900FC6">
        <w:rPr>
          <w:rFonts w:eastAsia="Times New Roman" w:cs="Arial"/>
          <w:sz w:val="24"/>
          <w:szCs w:val="24"/>
          <w:lang w:val="sr-Latn-ME"/>
        </w:rPr>
        <w:t>a</w:t>
      </w:r>
      <w:r w:rsidRPr="00F96844">
        <w:rPr>
          <w:rFonts w:eastAsia="Times New Roman" w:cs="Arial"/>
          <w:sz w:val="24"/>
          <w:szCs w:val="24"/>
          <w:lang w:val="sr-Latn-ME"/>
        </w:rPr>
        <w:t xml:space="preserve">, </w:t>
      </w:r>
      <w:r w:rsidR="00900FC6">
        <w:rPr>
          <w:rFonts w:eastAsia="Times New Roman" w:cs="Arial"/>
          <w:sz w:val="24"/>
          <w:szCs w:val="24"/>
          <w:lang w:val="sr-Latn-ME"/>
        </w:rPr>
        <w:t>kako bi</w:t>
      </w:r>
      <w:r w:rsidRPr="00F96844">
        <w:rPr>
          <w:rFonts w:eastAsia="Times New Roman" w:cs="Arial"/>
          <w:sz w:val="24"/>
          <w:szCs w:val="24"/>
          <w:lang w:val="sr-Latn-ME"/>
        </w:rPr>
        <w:t xml:space="preserve"> se na realniji i pravedniji način naknade poveća</w:t>
      </w:r>
      <w:r w:rsidR="00900FC6">
        <w:rPr>
          <w:rFonts w:eastAsia="Times New Roman" w:cs="Arial"/>
          <w:sz w:val="24"/>
          <w:szCs w:val="24"/>
          <w:lang w:val="sr-Latn-ME"/>
        </w:rPr>
        <w:t>le</w:t>
      </w:r>
      <w:r w:rsidRPr="00F96844">
        <w:rPr>
          <w:rFonts w:eastAsia="Times New Roman" w:cs="Arial"/>
          <w:sz w:val="24"/>
          <w:szCs w:val="24"/>
          <w:lang w:val="sr-Latn-ME"/>
        </w:rPr>
        <w:t>.</w:t>
      </w:r>
    </w:p>
    <w:p w14:paraId="098B6E05" w14:textId="77777777" w:rsidR="00A55F5C" w:rsidRDefault="00A55F5C" w:rsidP="00780738">
      <w:pPr>
        <w:jc w:val="both"/>
        <w:rPr>
          <w:rFonts w:eastAsia="Times New Roman" w:cs="Arial"/>
          <w:sz w:val="24"/>
          <w:szCs w:val="24"/>
          <w:lang w:val="sr-Latn-ME"/>
        </w:rPr>
      </w:pPr>
    </w:p>
    <w:p w14:paraId="45085FC7" w14:textId="77777777" w:rsidR="00133DF8" w:rsidRDefault="00133DF8" w:rsidP="00780738">
      <w:pPr>
        <w:jc w:val="both"/>
        <w:rPr>
          <w:rFonts w:eastAsia="Times New Roman" w:cs="Arial"/>
          <w:sz w:val="24"/>
          <w:szCs w:val="24"/>
          <w:lang w:val="sr-Latn-ME"/>
        </w:rPr>
      </w:pPr>
      <w:r w:rsidRPr="00F96844">
        <w:rPr>
          <w:rFonts w:eastAsia="Times New Roman" w:cs="Arial"/>
          <w:sz w:val="24"/>
          <w:szCs w:val="24"/>
          <w:lang w:val="sr-Latn-ME"/>
        </w:rPr>
        <w:t xml:space="preserve">Potrebno je preispitati uslove za ostvarivanje </w:t>
      </w:r>
      <w:r w:rsidR="003A3C03">
        <w:rPr>
          <w:rFonts w:eastAsia="Times New Roman" w:cs="Arial"/>
          <w:sz w:val="24"/>
          <w:szCs w:val="24"/>
          <w:lang w:val="sr-Latn-ME"/>
        </w:rPr>
        <w:t xml:space="preserve">prava na </w:t>
      </w:r>
      <w:r w:rsidRPr="00F96844">
        <w:rPr>
          <w:rFonts w:eastAsia="Times New Roman" w:cs="Arial"/>
          <w:sz w:val="24"/>
          <w:szCs w:val="24"/>
          <w:lang w:val="sr-Latn-ME"/>
        </w:rPr>
        <w:t>materijalno obezbjeđenj</w:t>
      </w:r>
      <w:r w:rsidR="003A3C03">
        <w:rPr>
          <w:rFonts w:eastAsia="Times New Roman" w:cs="Arial"/>
          <w:sz w:val="24"/>
          <w:szCs w:val="24"/>
          <w:lang w:val="sr-Latn-ME"/>
        </w:rPr>
        <w:t>e</w:t>
      </w:r>
      <w:r w:rsidRPr="00F96844">
        <w:rPr>
          <w:rFonts w:eastAsia="Times New Roman" w:cs="Arial"/>
          <w:sz w:val="24"/>
          <w:szCs w:val="24"/>
          <w:lang w:val="sr-Latn-ME"/>
        </w:rPr>
        <w:t xml:space="preserve">, kao i eventualno </w:t>
      </w:r>
      <w:r w:rsidR="006F35A9">
        <w:rPr>
          <w:rFonts w:eastAsia="Times New Roman" w:cs="Arial"/>
          <w:sz w:val="24"/>
          <w:szCs w:val="24"/>
          <w:lang w:val="sr-Latn-ME"/>
        </w:rPr>
        <w:t>prepoznati</w:t>
      </w:r>
      <w:r w:rsidRPr="00F96844">
        <w:rPr>
          <w:rFonts w:eastAsia="Times New Roman" w:cs="Arial"/>
          <w:sz w:val="24"/>
          <w:szCs w:val="24"/>
          <w:lang w:val="sr-Latn-ME"/>
        </w:rPr>
        <w:t xml:space="preserve"> nove korisničke grupe</w:t>
      </w:r>
      <w:r w:rsidR="003A3C03">
        <w:rPr>
          <w:rFonts w:eastAsia="Times New Roman" w:cs="Arial"/>
          <w:sz w:val="24"/>
          <w:szCs w:val="24"/>
          <w:lang w:val="sr-Latn-ME"/>
        </w:rPr>
        <w:t xml:space="preserve">, </w:t>
      </w:r>
      <w:r w:rsidRPr="00F96844">
        <w:rPr>
          <w:rFonts w:eastAsia="Times New Roman" w:cs="Arial"/>
          <w:sz w:val="24"/>
          <w:szCs w:val="24"/>
          <w:lang w:val="sr-Latn-ME"/>
        </w:rPr>
        <w:t>napraviti razliku u visini primanja između pojedinaca</w:t>
      </w:r>
      <w:r w:rsidR="008C0F7F">
        <w:rPr>
          <w:rFonts w:eastAsia="Times New Roman" w:cs="Arial"/>
          <w:sz w:val="24"/>
          <w:szCs w:val="24"/>
          <w:lang w:val="sr-Latn-ME"/>
        </w:rPr>
        <w:t>/</w:t>
      </w:r>
      <w:r w:rsidR="00F445C2">
        <w:rPr>
          <w:rFonts w:eastAsia="Times New Roman" w:cs="Arial"/>
          <w:sz w:val="24"/>
          <w:szCs w:val="24"/>
          <w:lang w:val="sr-Latn-ME"/>
        </w:rPr>
        <w:t>pojedin</w:t>
      </w:r>
      <w:r w:rsidR="008C0F7F">
        <w:rPr>
          <w:rFonts w:eastAsia="Times New Roman" w:cs="Arial"/>
          <w:sz w:val="24"/>
          <w:szCs w:val="24"/>
          <w:lang w:val="sr-Latn-ME"/>
        </w:rPr>
        <w:t>ki</w:t>
      </w:r>
      <w:r w:rsidRPr="00F96844">
        <w:rPr>
          <w:rFonts w:eastAsia="Times New Roman" w:cs="Arial"/>
          <w:sz w:val="24"/>
          <w:szCs w:val="24"/>
          <w:lang w:val="sr-Latn-ME"/>
        </w:rPr>
        <w:t xml:space="preserve"> i porodica gdje su svi članovi nesposobni za rad u odnosu na porodice koje imaju članove sposobne za rad</w:t>
      </w:r>
      <w:r w:rsidR="003A3C03">
        <w:rPr>
          <w:rFonts w:eastAsia="Times New Roman" w:cs="Arial"/>
          <w:sz w:val="24"/>
          <w:szCs w:val="24"/>
          <w:lang w:val="sr-Latn-ME"/>
        </w:rPr>
        <w:t>,</w:t>
      </w:r>
      <w:r w:rsidRPr="00F96844">
        <w:rPr>
          <w:rFonts w:eastAsia="Times New Roman" w:cs="Arial"/>
          <w:sz w:val="24"/>
          <w:szCs w:val="24"/>
          <w:lang w:val="sr-Latn-ME"/>
        </w:rPr>
        <w:t xml:space="preserve"> </w:t>
      </w:r>
      <w:r w:rsidR="003A3C03">
        <w:rPr>
          <w:rFonts w:eastAsia="Times New Roman" w:cs="Arial"/>
          <w:sz w:val="24"/>
          <w:szCs w:val="24"/>
          <w:lang w:val="sr-Latn-ME"/>
        </w:rPr>
        <w:t>p</w:t>
      </w:r>
      <w:r w:rsidRPr="00F96844">
        <w:rPr>
          <w:rFonts w:eastAsia="Times New Roman" w:cs="Arial"/>
          <w:sz w:val="24"/>
          <w:szCs w:val="24"/>
          <w:lang w:val="sr-Latn-ME"/>
        </w:rPr>
        <w:t>reispitati dužinu i način kor</w:t>
      </w:r>
      <w:r w:rsidR="00735198">
        <w:rPr>
          <w:rFonts w:eastAsia="Times New Roman" w:cs="Arial"/>
          <w:sz w:val="24"/>
          <w:szCs w:val="24"/>
          <w:lang w:val="sr-Latn-ME"/>
        </w:rPr>
        <w:t>i</w:t>
      </w:r>
      <w:r w:rsidRPr="00F96844">
        <w:rPr>
          <w:rFonts w:eastAsia="Times New Roman" w:cs="Arial"/>
          <w:sz w:val="24"/>
          <w:szCs w:val="24"/>
          <w:lang w:val="sr-Latn-ME"/>
        </w:rPr>
        <w:t>šćenja MO u porodicama gdje ima radno sposobnih korisnika</w:t>
      </w:r>
      <w:r w:rsidR="003A3C03">
        <w:rPr>
          <w:rFonts w:eastAsia="Times New Roman" w:cs="Arial"/>
          <w:sz w:val="24"/>
          <w:szCs w:val="24"/>
          <w:lang w:val="sr-Latn-ME"/>
        </w:rPr>
        <w:t>, p</w:t>
      </w:r>
      <w:r w:rsidRPr="00F96844">
        <w:rPr>
          <w:rFonts w:eastAsia="Times New Roman" w:cs="Arial"/>
          <w:sz w:val="24"/>
          <w:szCs w:val="24"/>
          <w:lang w:val="sr-Latn-ME"/>
        </w:rPr>
        <w:t>reispitati prihode koji se ne računaju prihodima u ostvarivanju prava na MO</w:t>
      </w:r>
      <w:r w:rsidR="00FC555E">
        <w:rPr>
          <w:rFonts w:eastAsia="Times New Roman" w:cs="Arial"/>
          <w:sz w:val="24"/>
          <w:szCs w:val="24"/>
          <w:lang w:val="sr-Latn-ME"/>
        </w:rPr>
        <w:t>,</w:t>
      </w:r>
      <w:r w:rsidRPr="00F96844">
        <w:rPr>
          <w:rFonts w:cs="Arial"/>
          <w:sz w:val="24"/>
          <w:szCs w:val="24"/>
          <w:lang w:val="sr-Latn-ME"/>
        </w:rPr>
        <w:t xml:space="preserve"> </w:t>
      </w:r>
      <w:r w:rsidR="00FC555E">
        <w:rPr>
          <w:rFonts w:eastAsia="Times New Roman" w:cs="Arial"/>
          <w:sz w:val="24"/>
          <w:szCs w:val="24"/>
          <w:lang w:val="sr-Latn-ME"/>
        </w:rPr>
        <w:t>p</w:t>
      </w:r>
      <w:r w:rsidRPr="00F96844">
        <w:rPr>
          <w:rFonts w:eastAsia="Times New Roman" w:cs="Arial"/>
          <w:sz w:val="24"/>
          <w:szCs w:val="24"/>
          <w:lang w:val="sr-Latn-ME"/>
        </w:rPr>
        <w:t>ropisati rokove prestanka prava na MO u slučaju odlaska korisnika MO u inostranstvo</w:t>
      </w:r>
      <w:r w:rsidR="00FC555E">
        <w:rPr>
          <w:rFonts w:eastAsia="Times New Roman" w:cs="Arial"/>
          <w:sz w:val="24"/>
          <w:szCs w:val="24"/>
          <w:lang w:val="sr-Latn-ME"/>
        </w:rPr>
        <w:t xml:space="preserve"> i razmotriti mogućnost uvećanja iznosa za MO.</w:t>
      </w:r>
    </w:p>
    <w:p w14:paraId="6D4F2457" w14:textId="77777777" w:rsidR="00CC3C54" w:rsidRDefault="00CC3C54" w:rsidP="00780738">
      <w:pPr>
        <w:jc w:val="both"/>
        <w:rPr>
          <w:rFonts w:eastAsia="Times New Roman" w:cs="Arial"/>
          <w:sz w:val="24"/>
          <w:szCs w:val="24"/>
          <w:lang w:val="sr-Latn-ME"/>
        </w:rPr>
      </w:pPr>
    </w:p>
    <w:p w14:paraId="10320FA6" w14:textId="77777777" w:rsidR="00735198" w:rsidRPr="008046B8" w:rsidRDefault="00735198" w:rsidP="00780738">
      <w:pPr>
        <w:jc w:val="both"/>
        <w:rPr>
          <w:rFonts w:eastAsia="Times New Roman" w:cs="Arial"/>
          <w:sz w:val="24"/>
          <w:lang w:val="hr-HR"/>
        </w:rPr>
      </w:pPr>
      <w:r w:rsidRPr="008046B8">
        <w:rPr>
          <w:rFonts w:eastAsia="Times New Roman" w:cs="Arial"/>
          <w:sz w:val="24"/>
          <w:lang w:val="hr-HR"/>
        </w:rPr>
        <w:t>Potrebno je ojačati saradnju sa sektorom zapošljavanja i drugim sektorima u aktivaciji radno sposobnih korisnika MO. Dvije trećine korisnika MO su procijenjeni radno sposobnim</w:t>
      </w:r>
      <w:r w:rsidR="00F445C2">
        <w:rPr>
          <w:rFonts w:eastAsia="Times New Roman" w:cs="Arial"/>
          <w:sz w:val="24"/>
          <w:lang w:val="hr-HR"/>
        </w:rPr>
        <w:t>,</w:t>
      </w:r>
      <w:r w:rsidRPr="008046B8">
        <w:rPr>
          <w:rFonts w:eastAsia="Times New Roman" w:cs="Arial"/>
          <w:sz w:val="24"/>
          <w:lang w:val="hr-HR"/>
        </w:rPr>
        <w:t xml:space="preserve"> ali ostaju dugotrajno nezaposleni jer izostaje podrška u rješavanju njihovih prepreka za zapošljavanje (briga za djecu i druge zavisne članove porodice, rješavanje zdravstvenih problema i dr.)</w:t>
      </w:r>
      <w:r w:rsidR="00F445C2">
        <w:rPr>
          <w:rFonts w:eastAsia="Times New Roman" w:cs="Arial"/>
          <w:sz w:val="24"/>
          <w:lang w:val="hr-HR"/>
        </w:rPr>
        <w:t>,</w:t>
      </w:r>
      <w:r w:rsidRPr="008046B8">
        <w:rPr>
          <w:rFonts w:eastAsia="Times New Roman" w:cs="Arial"/>
          <w:sz w:val="24"/>
          <w:lang w:val="hr-HR"/>
        </w:rPr>
        <w:t xml:space="preserve"> kao i socijalna aktivacija kroz programe socijalnog uključivanja.</w:t>
      </w:r>
      <w:r w:rsidR="00CC3C54" w:rsidRPr="008046B8">
        <w:rPr>
          <w:rFonts w:eastAsia="Times New Roman" w:cs="Arial"/>
          <w:sz w:val="24"/>
          <w:lang w:val="hr-HR"/>
        </w:rPr>
        <w:t xml:space="preserve"> U narednom periodu potrebno je</w:t>
      </w:r>
      <w:r w:rsidRPr="008046B8">
        <w:rPr>
          <w:rFonts w:eastAsia="Times New Roman" w:cs="Arial"/>
          <w:sz w:val="24"/>
          <w:lang w:val="hr-HR"/>
        </w:rPr>
        <w:t xml:space="preserve"> </w:t>
      </w:r>
      <w:r w:rsidR="00CC3C54" w:rsidRPr="008046B8">
        <w:rPr>
          <w:rFonts w:eastAsia="Times New Roman" w:cs="Arial"/>
          <w:sz w:val="24"/>
          <w:lang w:val="hr-HR"/>
        </w:rPr>
        <w:t>r</w:t>
      </w:r>
      <w:r w:rsidRPr="008046B8">
        <w:rPr>
          <w:rFonts w:eastAsia="Times New Roman" w:cs="Arial"/>
          <w:sz w:val="24"/>
          <w:lang w:val="hr-HR"/>
        </w:rPr>
        <w:t xml:space="preserve">azmotriti stimuliranje aktivacije i zapošljavanja kroz postepeno smanjivanje iznosa MO i drugih prava u vrijeme uključivanja u mjere APZ i drugih programa i prihvatanja kratkotrajnih sezonskih poslova. Posebno </w:t>
      </w:r>
      <w:r w:rsidR="00CC3C54" w:rsidRPr="008046B8">
        <w:rPr>
          <w:rFonts w:eastAsia="Times New Roman" w:cs="Arial"/>
          <w:sz w:val="24"/>
          <w:lang w:val="hr-HR"/>
        </w:rPr>
        <w:t xml:space="preserve">treba </w:t>
      </w:r>
      <w:r w:rsidRPr="008046B8">
        <w:rPr>
          <w:rFonts w:eastAsia="Times New Roman" w:cs="Arial"/>
          <w:sz w:val="24"/>
          <w:lang w:val="hr-HR"/>
        </w:rPr>
        <w:t xml:space="preserve">voditi računa o mladima iz MO porodica </w:t>
      </w:r>
      <w:r w:rsidR="00CC3C54" w:rsidRPr="008046B8">
        <w:rPr>
          <w:rFonts w:eastAsia="Times New Roman" w:cs="Arial"/>
          <w:sz w:val="24"/>
          <w:lang w:val="hr-HR"/>
        </w:rPr>
        <w:t>kako ne bi ostali</w:t>
      </w:r>
      <w:r w:rsidRPr="008046B8">
        <w:rPr>
          <w:rFonts w:eastAsia="Times New Roman" w:cs="Arial"/>
          <w:sz w:val="24"/>
          <w:lang w:val="hr-HR"/>
        </w:rPr>
        <w:t xml:space="preserve"> zarobljeni u višegeneracijskoj zamci siromaštva</w:t>
      </w:r>
      <w:r w:rsidR="00F445C2">
        <w:rPr>
          <w:rFonts w:eastAsia="Times New Roman" w:cs="Arial"/>
          <w:sz w:val="24"/>
          <w:lang w:val="hr-HR"/>
        </w:rPr>
        <w:t>,</w:t>
      </w:r>
      <w:r w:rsidRPr="008046B8">
        <w:rPr>
          <w:rFonts w:eastAsia="Times New Roman" w:cs="Arial"/>
          <w:sz w:val="24"/>
          <w:lang w:val="hr-HR"/>
        </w:rPr>
        <w:t xml:space="preserve"> </w:t>
      </w:r>
      <w:r w:rsidR="00CC3C54" w:rsidRPr="008046B8">
        <w:rPr>
          <w:rFonts w:eastAsia="Times New Roman" w:cs="Arial"/>
          <w:sz w:val="24"/>
          <w:lang w:val="hr-HR"/>
        </w:rPr>
        <w:t xml:space="preserve">odnosno </w:t>
      </w:r>
      <w:r w:rsidRPr="008046B8">
        <w:rPr>
          <w:rFonts w:eastAsia="Times New Roman" w:cs="Arial"/>
          <w:sz w:val="24"/>
          <w:lang w:val="hr-HR"/>
        </w:rPr>
        <w:t>ako se mladi zaposle da ne gubi pravo na MO cijela porodica.</w:t>
      </w:r>
    </w:p>
    <w:p w14:paraId="6B8F1876" w14:textId="77777777" w:rsidR="00735198" w:rsidRDefault="00735198" w:rsidP="00780738">
      <w:pPr>
        <w:jc w:val="both"/>
        <w:rPr>
          <w:rFonts w:cs="Arial"/>
          <w:sz w:val="24"/>
          <w:szCs w:val="24"/>
          <w:lang w:val="sr-Latn-ME"/>
        </w:rPr>
      </w:pPr>
    </w:p>
    <w:p w14:paraId="6BAA59CE" w14:textId="77777777" w:rsidR="00735198" w:rsidRPr="00AF486E" w:rsidRDefault="00735198" w:rsidP="00780738">
      <w:pPr>
        <w:jc w:val="both"/>
        <w:rPr>
          <w:rFonts w:cs="Arial"/>
          <w:sz w:val="24"/>
          <w:szCs w:val="24"/>
          <w:lang w:val="sr-Latn-ME"/>
        </w:rPr>
      </w:pPr>
      <w:r>
        <w:rPr>
          <w:rFonts w:cs="Arial"/>
          <w:sz w:val="24"/>
          <w:szCs w:val="24"/>
          <w:lang w:val="sr-Latn-ME"/>
        </w:rPr>
        <w:lastRenderedPageBreak/>
        <w:t>EU socijalna politika se temelji na princip</w:t>
      </w:r>
      <w:r w:rsidR="00CC3C54">
        <w:rPr>
          <w:rFonts w:cs="Arial"/>
          <w:sz w:val="24"/>
          <w:szCs w:val="24"/>
          <w:lang w:val="sr-Latn-ME"/>
        </w:rPr>
        <w:t>ima</w:t>
      </w:r>
      <w:r>
        <w:rPr>
          <w:rFonts w:cs="Arial"/>
          <w:sz w:val="24"/>
          <w:szCs w:val="24"/>
          <w:lang w:val="sr-Latn-ME"/>
        </w:rPr>
        <w:t xml:space="preserve"> aktivnog uključivanja</w:t>
      </w:r>
      <w:r w:rsidR="00F445C2">
        <w:rPr>
          <w:rFonts w:cs="Arial"/>
          <w:sz w:val="24"/>
          <w:szCs w:val="24"/>
          <w:lang w:val="sr-Latn-ME"/>
        </w:rPr>
        <w:t>,</w:t>
      </w:r>
      <w:r>
        <w:rPr>
          <w:rStyle w:val="FootnoteReference"/>
          <w:rFonts w:cs="Arial"/>
          <w:sz w:val="24"/>
          <w:szCs w:val="24"/>
          <w:lang w:val="sr-Latn-ME"/>
        </w:rPr>
        <w:footnoteReference w:id="74"/>
      </w:r>
      <w:r>
        <w:rPr>
          <w:rFonts w:cs="Arial"/>
          <w:sz w:val="24"/>
          <w:szCs w:val="24"/>
          <w:lang w:val="sr-Latn-ME"/>
        </w:rPr>
        <w:t xml:space="preserve"> što konkretno znači </w:t>
      </w:r>
      <w:r w:rsidRPr="00AF486E">
        <w:rPr>
          <w:rFonts w:cs="Arial"/>
          <w:sz w:val="24"/>
          <w:szCs w:val="24"/>
          <w:lang w:val="sr-Latn-ME"/>
        </w:rPr>
        <w:t>da svaki građanin</w:t>
      </w:r>
      <w:r w:rsidR="00F445C2" w:rsidRPr="00AF486E">
        <w:rPr>
          <w:rFonts w:cs="Arial"/>
          <w:sz w:val="24"/>
          <w:szCs w:val="24"/>
          <w:lang w:val="sr-Latn-ME"/>
        </w:rPr>
        <w:t xml:space="preserve"> </w:t>
      </w:r>
      <w:r w:rsidR="006C1156" w:rsidRPr="00AF486E">
        <w:rPr>
          <w:rFonts w:cs="Arial"/>
          <w:sz w:val="24"/>
          <w:szCs w:val="24"/>
          <w:lang w:val="sr-Latn-ME"/>
        </w:rPr>
        <w:t>/</w:t>
      </w:r>
      <w:r w:rsidR="00F445C2" w:rsidRPr="00AF486E">
        <w:rPr>
          <w:rFonts w:cs="Arial"/>
          <w:sz w:val="24"/>
          <w:szCs w:val="24"/>
          <w:lang w:val="sr-Latn-ME"/>
        </w:rPr>
        <w:t xml:space="preserve"> svaka građan</w:t>
      </w:r>
      <w:r w:rsidR="006C1156" w:rsidRPr="00AF486E">
        <w:rPr>
          <w:rFonts w:cs="Arial"/>
          <w:sz w:val="24"/>
          <w:szCs w:val="24"/>
          <w:lang w:val="sr-Latn-ME"/>
        </w:rPr>
        <w:t>ka</w:t>
      </w:r>
      <w:r w:rsidRPr="00AF486E">
        <w:rPr>
          <w:rFonts w:cs="Arial"/>
          <w:sz w:val="24"/>
          <w:szCs w:val="24"/>
          <w:lang w:val="sr-Latn-ME"/>
        </w:rPr>
        <w:t xml:space="preserve"> ima pravo na: </w:t>
      </w:r>
    </w:p>
    <w:p w14:paraId="01442641" w14:textId="77777777" w:rsidR="00735198" w:rsidRPr="00AF486E" w:rsidRDefault="00F445C2" w:rsidP="00780738">
      <w:pPr>
        <w:jc w:val="both"/>
        <w:rPr>
          <w:rFonts w:cs="Arial"/>
          <w:sz w:val="24"/>
          <w:szCs w:val="24"/>
          <w:lang w:val="sr-Latn-ME"/>
        </w:rPr>
      </w:pPr>
      <w:r w:rsidRPr="00AF486E">
        <w:rPr>
          <w:rFonts w:cs="Arial"/>
          <w:sz w:val="24"/>
          <w:szCs w:val="24"/>
          <w:lang w:val="sr-Latn-ME"/>
        </w:rPr>
        <w:t>‒</w:t>
      </w:r>
      <w:r w:rsidR="00AF486E">
        <w:rPr>
          <w:rFonts w:cs="Arial"/>
          <w:sz w:val="24"/>
          <w:szCs w:val="24"/>
          <w:lang w:val="sr-Latn-ME"/>
        </w:rPr>
        <w:t xml:space="preserve"> </w:t>
      </w:r>
      <w:r w:rsidR="00735198" w:rsidRPr="00AF486E">
        <w:rPr>
          <w:rFonts w:cs="Arial"/>
          <w:sz w:val="24"/>
          <w:szCs w:val="24"/>
          <w:lang w:val="sr-Latn-ME"/>
        </w:rPr>
        <w:t xml:space="preserve"> </w:t>
      </w:r>
      <w:r w:rsidR="00735198" w:rsidRPr="00AF486E">
        <w:rPr>
          <w:rFonts w:cs="Arial"/>
          <w:bCs/>
          <w:sz w:val="24"/>
          <w:szCs w:val="24"/>
          <w:lang w:val="sr-Latn-ME"/>
        </w:rPr>
        <w:t>materijalnu naknadu</w:t>
      </w:r>
      <w:r w:rsidR="00735198" w:rsidRPr="00AF486E">
        <w:rPr>
          <w:rFonts w:cs="Arial"/>
          <w:sz w:val="24"/>
          <w:szCs w:val="24"/>
          <w:lang w:val="sr-Latn-ME"/>
        </w:rPr>
        <w:t xml:space="preserve"> koja mu omogućava da dostojanstveno živi u svim fazama života</w:t>
      </w:r>
      <w:r w:rsidRPr="00AF486E">
        <w:rPr>
          <w:rFonts w:cs="Arial"/>
          <w:sz w:val="24"/>
          <w:szCs w:val="24"/>
          <w:lang w:val="sr-Latn-ME"/>
        </w:rPr>
        <w:t>;</w:t>
      </w:r>
    </w:p>
    <w:p w14:paraId="2E7C4D2D" w14:textId="77777777" w:rsidR="00735198" w:rsidRPr="00AF486E" w:rsidRDefault="00F445C2" w:rsidP="00780738">
      <w:pPr>
        <w:jc w:val="both"/>
        <w:rPr>
          <w:rFonts w:cs="Arial"/>
          <w:sz w:val="24"/>
          <w:szCs w:val="24"/>
          <w:lang w:val="sr-Latn-ME"/>
        </w:rPr>
      </w:pPr>
      <w:r w:rsidRPr="00AF486E">
        <w:rPr>
          <w:rFonts w:cs="Arial"/>
          <w:sz w:val="24"/>
          <w:szCs w:val="24"/>
          <w:lang w:val="sr-Latn-ME"/>
        </w:rPr>
        <w:t>‒</w:t>
      </w:r>
      <w:r w:rsidR="00735198" w:rsidRPr="00AF486E">
        <w:rPr>
          <w:rFonts w:cs="Arial"/>
          <w:sz w:val="24"/>
          <w:szCs w:val="24"/>
          <w:lang w:val="sr-Latn-ME"/>
        </w:rPr>
        <w:t xml:space="preserve"> </w:t>
      </w:r>
      <w:r w:rsidR="00AF486E">
        <w:rPr>
          <w:rFonts w:cs="Arial"/>
          <w:sz w:val="24"/>
          <w:szCs w:val="24"/>
          <w:lang w:val="sr-Latn-ME"/>
        </w:rPr>
        <w:t xml:space="preserve"> </w:t>
      </w:r>
      <w:r w:rsidR="00CC3C54" w:rsidRPr="00AF486E">
        <w:rPr>
          <w:rFonts w:cs="Arial"/>
          <w:bCs/>
          <w:sz w:val="24"/>
          <w:szCs w:val="24"/>
          <w:lang w:val="sr-Latn-ME"/>
        </w:rPr>
        <w:t>inkluzivno</w:t>
      </w:r>
      <w:r w:rsidR="00735198" w:rsidRPr="00AF486E">
        <w:rPr>
          <w:rFonts w:cs="Arial"/>
          <w:bCs/>
          <w:sz w:val="24"/>
          <w:szCs w:val="24"/>
          <w:lang w:val="sr-Latn-ME"/>
        </w:rPr>
        <w:t xml:space="preserve"> tržište rada</w:t>
      </w:r>
      <w:r w:rsidR="00735198" w:rsidRPr="00AF486E">
        <w:rPr>
          <w:rFonts w:cs="Arial"/>
          <w:sz w:val="24"/>
          <w:szCs w:val="24"/>
          <w:lang w:val="sr-Latn-ME"/>
        </w:rPr>
        <w:t xml:space="preserve"> koje će mu omogućiti lakše zapošljavanje, izbjegavanje zamki</w:t>
      </w:r>
      <w:r w:rsidR="00AF486E">
        <w:rPr>
          <w:rFonts w:cs="Arial"/>
          <w:sz w:val="24"/>
          <w:szCs w:val="24"/>
          <w:lang w:val="sr-Latn-ME"/>
        </w:rPr>
        <w:t xml:space="preserve"> </w:t>
      </w:r>
      <w:r w:rsidR="00735198" w:rsidRPr="00AF486E">
        <w:rPr>
          <w:rFonts w:cs="Arial"/>
          <w:sz w:val="24"/>
          <w:szCs w:val="24"/>
          <w:lang w:val="sr-Latn-ME"/>
        </w:rPr>
        <w:t>siromaštva i motivi</w:t>
      </w:r>
      <w:r w:rsidR="009F04AA" w:rsidRPr="00AF486E">
        <w:rPr>
          <w:rFonts w:cs="Arial"/>
          <w:sz w:val="24"/>
          <w:szCs w:val="24"/>
          <w:lang w:val="sr-Latn-ME"/>
        </w:rPr>
        <w:t>s</w:t>
      </w:r>
      <w:r w:rsidR="00735198" w:rsidRPr="00AF486E">
        <w:rPr>
          <w:rFonts w:cs="Arial"/>
          <w:sz w:val="24"/>
          <w:szCs w:val="24"/>
          <w:lang w:val="sr-Latn-ME"/>
        </w:rPr>
        <w:t>anje za rad</w:t>
      </w:r>
      <w:r w:rsidRPr="00AF486E">
        <w:rPr>
          <w:rFonts w:cs="Arial"/>
          <w:sz w:val="24"/>
          <w:szCs w:val="24"/>
          <w:lang w:val="sr-Latn-ME"/>
        </w:rPr>
        <w:t>;</w:t>
      </w:r>
    </w:p>
    <w:p w14:paraId="71A98EB6" w14:textId="77777777" w:rsidR="00735198" w:rsidRDefault="00F445C2" w:rsidP="00780738">
      <w:pPr>
        <w:jc w:val="both"/>
        <w:rPr>
          <w:rFonts w:cs="Arial"/>
          <w:sz w:val="24"/>
          <w:szCs w:val="24"/>
          <w:lang w:val="sr-Latn-ME"/>
        </w:rPr>
      </w:pPr>
      <w:r w:rsidRPr="00AF486E">
        <w:rPr>
          <w:rFonts w:cs="Arial"/>
          <w:sz w:val="24"/>
          <w:szCs w:val="24"/>
          <w:lang w:val="sr-Latn-ME"/>
        </w:rPr>
        <w:t>‒</w:t>
      </w:r>
      <w:r w:rsidR="00735198" w:rsidRPr="00AF486E">
        <w:rPr>
          <w:rFonts w:cs="Arial"/>
          <w:sz w:val="24"/>
          <w:szCs w:val="24"/>
          <w:lang w:val="sr-Latn-ME"/>
        </w:rPr>
        <w:t xml:space="preserve"> </w:t>
      </w:r>
      <w:r w:rsidR="00735198" w:rsidRPr="00AF486E">
        <w:rPr>
          <w:rFonts w:cs="Arial"/>
          <w:bCs/>
          <w:sz w:val="24"/>
          <w:szCs w:val="24"/>
          <w:lang w:val="sr-Latn-ME"/>
        </w:rPr>
        <w:t xml:space="preserve">pristup kvalitetnim uslugama </w:t>
      </w:r>
      <w:r w:rsidR="00735198" w:rsidRPr="00AF486E">
        <w:rPr>
          <w:rFonts w:cs="Arial"/>
          <w:sz w:val="24"/>
          <w:szCs w:val="24"/>
          <w:lang w:val="sr-Latn-ME"/>
        </w:rPr>
        <w:t>– uključujući</w:t>
      </w:r>
      <w:r w:rsidR="00735198">
        <w:rPr>
          <w:rFonts w:cs="Arial"/>
          <w:sz w:val="24"/>
          <w:szCs w:val="24"/>
          <w:lang w:val="sr-Latn-ME"/>
        </w:rPr>
        <w:t xml:space="preserve"> i usluge</w:t>
      </w:r>
      <w:r w:rsidR="009F04AA">
        <w:rPr>
          <w:rFonts w:cs="Arial"/>
          <w:sz w:val="24"/>
          <w:szCs w:val="24"/>
          <w:lang w:val="sr-Latn-ME"/>
        </w:rPr>
        <w:t xml:space="preserve"> socijalne zaštite</w:t>
      </w:r>
      <w:r w:rsidR="00735198">
        <w:rPr>
          <w:rFonts w:cs="Arial"/>
          <w:sz w:val="24"/>
          <w:szCs w:val="24"/>
          <w:lang w:val="sr-Latn-ME"/>
        </w:rPr>
        <w:t xml:space="preserve"> koje pomažu aktivno uključivanje u društvo i povratak u svijet rada. </w:t>
      </w:r>
    </w:p>
    <w:p w14:paraId="10D4DFE2" w14:textId="77777777" w:rsidR="00735198" w:rsidRDefault="00735198" w:rsidP="00780738">
      <w:pPr>
        <w:jc w:val="both"/>
        <w:rPr>
          <w:rFonts w:cs="Arial"/>
          <w:sz w:val="24"/>
          <w:szCs w:val="24"/>
          <w:lang w:val="sr-Latn-ME"/>
        </w:rPr>
      </w:pPr>
    </w:p>
    <w:p w14:paraId="519D916E" w14:textId="77777777" w:rsidR="00735198" w:rsidRPr="004305DF" w:rsidRDefault="00735198" w:rsidP="00780738">
      <w:pPr>
        <w:jc w:val="both"/>
        <w:rPr>
          <w:rFonts w:cs="Arial"/>
          <w:sz w:val="24"/>
          <w:szCs w:val="24"/>
          <w:lang w:val="sr-Latn-ME"/>
        </w:rPr>
      </w:pPr>
      <w:r>
        <w:rPr>
          <w:rFonts w:cs="Arial"/>
          <w:sz w:val="24"/>
          <w:szCs w:val="24"/>
          <w:lang w:val="sr-Latn-ME"/>
        </w:rPr>
        <w:t xml:space="preserve">Materijalne naknade ne smiju </w:t>
      </w:r>
      <w:r w:rsidR="009F04AA">
        <w:rPr>
          <w:rFonts w:cs="Arial"/>
          <w:sz w:val="24"/>
          <w:szCs w:val="24"/>
          <w:lang w:val="sr-Latn-ME"/>
        </w:rPr>
        <w:t xml:space="preserve">da </w:t>
      </w:r>
      <w:r>
        <w:rPr>
          <w:rFonts w:cs="Arial"/>
          <w:sz w:val="24"/>
          <w:szCs w:val="24"/>
          <w:lang w:val="sr-Latn-ME"/>
        </w:rPr>
        <w:t>služ</w:t>
      </w:r>
      <w:r w:rsidR="009F04AA">
        <w:rPr>
          <w:rFonts w:cs="Arial"/>
          <w:sz w:val="24"/>
          <w:szCs w:val="24"/>
          <w:lang w:val="sr-Latn-ME"/>
        </w:rPr>
        <w:t>e</w:t>
      </w:r>
      <w:r>
        <w:rPr>
          <w:rFonts w:cs="Arial"/>
          <w:sz w:val="24"/>
          <w:szCs w:val="24"/>
          <w:lang w:val="sr-Latn-ME"/>
        </w:rPr>
        <w:t xml:space="preserve"> pasiviziranju radno sposobnih osoba već im pomažu u prev</w:t>
      </w:r>
      <w:r w:rsidR="009F04AA">
        <w:rPr>
          <w:rFonts w:cs="Arial"/>
          <w:sz w:val="24"/>
          <w:szCs w:val="24"/>
          <w:lang w:val="sr-Latn-ME"/>
        </w:rPr>
        <w:t>azilaženju</w:t>
      </w:r>
      <w:r>
        <w:rPr>
          <w:rFonts w:cs="Arial"/>
          <w:sz w:val="24"/>
          <w:szCs w:val="24"/>
          <w:lang w:val="sr-Latn-ME"/>
        </w:rPr>
        <w:t xml:space="preserve"> nepovoljne situacije u kojoj su se našli i pomažu da se ponovo uključe u svoju zajednicu, te se paralelno kombin</w:t>
      </w:r>
      <w:r w:rsidR="009F04AA">
        <w:rPr>
          <w:rFonts w:cs="Arial"/>
          <w:sz w:val="24"/>
          <w:szCs w:val="24"/>
          <w:lang w:val="sr-Latn-ME"/>
        </w:rPr>
        <w:t>uju</w:t>
      </w:r>
      <w:r w:rsidR="004C5D23">
        <w:rPr>
          <w:rFonts w:cs="Arial"/>
          <w:sz w:val="24"/>
          <w:szCs w:val="24"/>
          <w:lang w:val="sr-Latn-ME"/>
        </w:rPr>
        <w:t xml:space="preserve"> s o</w:t>
      </w:r>
      <w:r>
        <w:rPr>
          <w:rFonts w:cs="Arial"/>
          <w:sz w:val="24"/>
          <w:szCs w:val="24"/>
          <w:lang w:val="sr-Latn-ME"/>
        </w:rPr>
        <w:t>stalim mjerama socijalne aktivacije u suzbijanju dugotrajne nezaposlenosti.</w:t>
      </w:r>
    </w:p>
    <w:p w14:paraId="24E108DF" w14:textId="77777777" w:rsidR="00A36D6B" w:rsidRPr="00F96844" w:rsidRDefault="00A36D6B" w:rsidP="00780738">
      <w:pPr>
        <w:jc w:val="both"/>
        <w:rPr>
          <w:rFonts w:cs="Arial"/>
          <w:sz w:val="24"/>
          <w:szCs w:val="24"/>
          <w:lang w:val="sr-Latn-ME"/>
        </w:rPr>
      </w:pPr>
    </w:p>
    <w:p w14:paraId="681E19AB" w14:textId="77777777" w:rsidR="00133DF8" w:rsidRPr="00F96844" w:rsidRDefault="00A36D6B" w:rsidP="00780738">
      <w:pPr>
        <w:jc w:val="both"/>
        <w:rPr>
          <w:rFonts w:eastAsia="Times New Roman" w:cs="Arial"/>
          <w:sz w:val="24"/>
          <w:szCs w:val="24"/>
          <w:lang w:val="sr-Latn-ME"/>
        </w:rPr>
      </w:pPr>
      <w:r w:rsidRPr="00F96844">
        <w:rPr>
          <w:rFonts w:eastAsia="Times New Roman" w:cs="Arial"/>
          <w:i/>
          <w:sz w:val="24"/>
          <w:szCs w:val="24"/>
          <w:u w:val="single"/>
          <w:lang w:val="sr-Latn-ME" w:eastAsia="sr-Latn-CS"/>
        </w:rPr>
        <w:t xml:space="preserve">Ličnu </w:t>
      </w:r>
      <w:r w:rsidRPr="00F445C2">
        <w:rPr>
          <w:rFonts w:eastAsia="Times New Roman" w:cs="Arial"/>
          <w:i/>
          <w:sz w:val="24"/>
          <w:szCs w:val="24"/>
          <w:u w:val="single"/>
          <w:lang w:val="sr-Latn-ME" w:eastAsia="sr-Latn-CS"/>
        </w:rPr>
        <w:t>invalidninu</w:t>
      </w:r>
      <w:r w:rsidR="00F445C2">
        <w:rPr>
          <w:rFonts w:eastAsia="Times New Roman" w:cs="Arial"/>
          <w:i/>
          <w:sz w:val="24"/>
          <w:szCs w:val="24"/>
          <w:lang w:val="sr-Latn-ME" w:eastAsia="sr-Latn-CS"/>
        </w:rPr>
        <w:t xml:space="preserve"> </w:t>
      </w:r>
      <w:r w:rsidRPr="00F445C2">
        <w:rPr>
          <w:rFonts w:eastAsia="Times New Roman" w:cs="Arial"/>
          <w:sz w:val="24"/>
          <w:szCs w:val="24"/>
          <w:lang w:val="sr-Latn-ME" w:eastAsia="sr-Latn-CS"/>
        </w:rPr>
        <w:t>ima</w:t>
      </w:r>
      <w:r w:rsidRPr="00F96844">
        <w:rPr>
          <w:rFonts w:eastAsia="Times New Roman" w:cs="Arial"/>
          <w:sz w:val="24"/>
          <w:szCs w:val="24"/>
          <w:lang w:val="sr-Latn-ME" w:eastAsia="sr-Latn-CS"/>
        </w:rPr>
        <w:t xml:space="preserve"> lice s teškim invaliditetom. Visina lične invalidnine u decembru 2023.</w:t>
      </w:r>
      <w:r w:rsidR="00536AB2">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godine iznosila je mjesečno 297,36 eura. Ukupno u 2023.</w:t>
      </w:r>
      <w:r w:rsidR="00726690">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11.453.109,70 eura.</w:t>
      </w:r>
      <w:r w:rsidRPr="00F96844">
        <w:rPr>
          <w:rFonts w:cs="Arial"/>
          <w:sz w:val="24"/>
          <w:szCs w:val="24"/>
          <w:lang w:val="sr-Latn-ME"/>
        </w:rPr>
        <w:t xml:space="preserve"> U decembru 2023.</w:t>
      </w:r>
      <w:r w:rsidR="00726690">
        <w:rPr>
          <w:rFonts w:cs="Arial"/>
          <w:sz w:val="24"/>
          <w:szCs w:val="24"/>
          <w:lang w:val="sr-Latn-ME"/>
        </w:rPr>
        <w:t xml:space="preserve"> </w:t>
      </w:r>
      <w:r w:rsidRPr="00F96844">
        <w:rPr>
          <w:rFonts w:cs="Arial"/>
          <w:sz w:val="24"/>
          <w:szCs w:val="24"/>
          <w:lang w:val="sr-Latn-ME"/>
        </w:rPr>
        <w:t>godine</w:t>
      </w:r>
      <w:r w:rsidR="008110F6">
        <w:rPr>
          <w:rFonts w:cs="Arial"/>
          <w:sz w:val="24"/>
          <w:szCs w:val="24"/>
          <w:lang w:val="sr-Latn-ME"/>
        </w:rPr>
        <w:t>,</w:t>
      </w:r>
      <w:r w:rsidRPr="00F96844">
        <w:rPr>
          <w:rFonts w:cs="Arial"/>
          <w:sz w:val="24"/>
          <w:szCs w:val="24"/>
          <w:lang w:val="sr-Latn-ME"/>
        </w:rPr>
        <w:t xml:space="preserve"> pravo na ličnu invalidninu ostvarivalo je 3.648 korisnika,</w:t>
      </w:r>
      <w:r w:rsidR="00D42D95" w:rsidRPr="00F96844">
        <w:rPr>
          <w:rFonts w:cs="Arial"/>
          <w:sz w:val="24"/>
          <w:szCs w:val="24"/>
          <w:lang w:val="sr-Latn-ME"/>
        </w:rPr>
        <w:t xml:space="preserve"> od čega su žene korisnice prava 1.487 a muškarci 2.161</w:t>
      </w:r>
      <w:r w:rsidR="001208A3" w:rsidRPr="00F96844">
        <w:rPr>
          <w:rFonts w:cs="Arial"/>
          <w:sz w:val="24"/>
          <w:szCs w:val="24"/>
          <w:lang w:val="sr-Latn-ME"/>
        </w:rPr>
        <w:t xml:space="preserve">. Ovaj podatak predstavlja </w:t>
      </w:r>
      <w:r w:rsidRPr="00F96844">
        <w:rPr>
          <w:rFonts w:cs="Arial"/>
          <w:sz w:val="24"/>
          <w:szCs w:val="24"/>
          <w:lang w:val="sr-Latn-ME"/>
        </w:rPr>
        <w:t>rast u odnosu na decembar 2022.</w:t>
      </w:r>
      <w:r w:rsidR="00726690">
        <w:rPr>
          <w:rFonts w:cs="Arial"/>
          <w:sz w:val="24"/>
          <w:szCs w:val="24"/>
          <w:lang w:val="sr-Latn-ME"/>
        </w:rPr>
        <w:t xml:space="preserve"> </w:t>
      </w:r>
      <w:r w:rsidRPr="00F96844">
        <w:rPr>
          <w:rFonts w:cs="Arial"/>
          <w:sz w:val="24"/>
          <w:szCs w:val="24"/>
          <w:lang w:val="sr-Latn-ME"/>
        </w:rPr>
        <w:t>godine</w:t>
      </w:r>
      <w:r w:rsidR="008110F6">
        <w:rPr>
          <w:rFonts w:cs="Arial"/>
          <w:sz w:val="24"/>
          <w:szCs w:val="24"/>
          <w:lang w:val="sr-Latn-ME"/>
        </w:rPr>
        <w:t>,</w:t>
      </w:r>
      <w:r w:rsidRPr="00F96844">
        <w:rPr>
          <w:rFonts w:cs="Arial"/>
          <w:sz w:val="24"/>
          <w:szCs w:val="24"/>
          <w:lang w:val="sr-Latn-ME"/>
        </w:rPr>
        <w:t xml:space="preserve"> kada je to pravo koristilo </w:t>
      </w:r>
      <w:r w:rsidRPr="00F96844">
        <w:rPr>
          <w:rFonts w:eastAsia="Times New Roman" w:cs="Arial"/>
          <w:sz w:val="24"/>
          <w:szCs w:val="24"/>
          <w:lang w:val="sr-Latn-ME"/>
        </w:rPr>
        <w:t>2.997 korisnika.</w:t>
      </w:r>
    </w:p>
    <w:p w14:paraId="65CB99F9" w14:textId="77777777" w:rsidR="00E53258" w:rsidRPr="00F96844" w:rsidRDefault="00E53258" w:rsidP="00780738">
      <w:pPr>
        <w:jc w:val="both"/>
        <w:rPr>
          <w:rFonts w:cs="Arial"/>
          <w:sz w:val="24"/>
          <w:szCs w:val="24"/>
          <w:lang w:val="sr-Latn-ME"/>
        </w:rPr>
      </w:pPr>
    </w:p>
    <w:p w14:paraId="4EDED207" w14:textId="77777777" w:rsidR="00A36D6B" w:rsidRDefault="00133DF8" w:rsidP="00780738">
      <w:pPr>
        <w:jc w:val="both"/>
        <w:rPr>
          <w:rFonts w:eastAsia="Times New Roman" w:cs="Arial"/>
          <w:sz w:val="24"/>
          <w:szCs w:val="24"/>
          <w:lang w:val="sr-Latn-ME"/>
        </w:rPr>
      </w:pPr>
      <w:r w:rsidRPr="00F96844">
        <w:rPr>
          <w:rFonts w:eastAsia="Times New Roman" w:cs="Arial"/>
          <w:i/>
          <w:sz w:val="24"/>
          <w:szCs w:val="24"/>
          <w:u w:val="single"/>
          <w:lang w:val="sr-Latn-ME" w:eastAsia="sr-Latn-CS"/>
        </w:rPr>
        <w:t>Dodatak za njegu i pomoć</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ima</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lice kome je zbog tjelesnih, mentalnih, intelektualnih ili senzornih oštećenja ili promjena u zdravstvenom stanju neophodna njega i pomoć da bi imalo pristup zadovoljavanju potreba. Visina dodatka za njegu i pomoć u decembru 2023.</w:t>
      </w:r>
      <w:r w:rsidR="00726690">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w:t>
      </w:r>
      <w:r w:rsidR="00726690">
        <w:rPr>
          <w:rFonts w:eastAsia="Times New Roman" w:cs="Arial"/>
          <w:sz w:val="24"/>
          <w:szCs w:val="24"/>
          <w:lang w:val="sr-Latn-ME" w:eastAsia="sr-Latn-CS"/>
        </w:rPr>
        <w:t>e</w:t>
      </w:r>
      <w:r w:rsidRPr="00F96844">
        <w:rPr>
          <w:rFonts w:eastAsia="Times New Roman" w:cs="Arial"/>
          <w:sz w:val="24"/>
          <w:szCs w:val="24"/>
          <w:lang w:val="sr-Latn-ME" w:eastAsia="sr-Latn-CS"/>
        </w:rPr>
        <w:t xml:space="preserve"> iznosila je 84.33 eura. Ukupno 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30.650.923,52 eura.</w:t>
      </w:r>
      <w:r w:rsidRPr="00F96844">
        <w:rPr>
          <w:rFonts w:cs="Arial"/>
          <w:sz w:val="24"/>
          <w:szCs w:val="24"/>
          <w:lang w:val="sr-Latn-ME"/>
        </w:rPr>
        <w:t xml:space="preserve"> U decembru 2023.</w:t>
      </w:r>
      <w:r w:rsidR="0052767B">
        <w:rPr>
          <w:rFonts w:cs="Arial"/>
          <w:sz w:val="24"/>
          <w:szCs w:val="24"/>
          <w:lang w:val="sr-Latn-ME"/>
        </w:rPr>
        <w:t xml:space="preserve"> </w:t>
      </w:r>
      <w:r w:rsidRPr="00F96844">
        <w:rPr>
          <w:rFonts w:cs="Arial"/>
          <w:sz w:val="24"/>
          <w:szCs w:val="24"/>
          <w:lang w:val="sr-Latn-ME"/>
        </w:rPr>
        <w:t>godine pravo na dodatak za njegu i pomoć ostvarivalo je 30.14</w:t>
      </w:r>
      <w:r w:rsidR="00FC555E">
        <w:rPr>
          <w:rFonts w:cs="Arial"/>
          <w:sz w:val="24"/>
          <w:szCs w:val="24"/>
          <w:lang w:val="sr-Latn-ME"/>
        </w:rPr>
        <w:t>8</w:t>
      </w:r>
      <w:r w:rsidRPr="00F96844">
        <w:rPr>
          <w:rFonts w:cs="Arial"/>
          <w:sz w:val="24"/>
          <w:szCs w:val="24"/>
          <w:lang w:val="sr-Latn-ME"/>
        </w:rPr>
        <w:t xml:space="preserve"> korisnika</w:t>
      </w:r>
      <w:r w:rsidR="001208A3" w:rsidRPr="00F96844">
        <w:rPr>
          <w:rFonts w:cs="Arial"/>
          <w:sz w:val="24"/>
          <w:szCs w:val="24"/>
          <w:lang w:val="sr-Latn-ME"/>
        </w:rPr>
        <w:t>, od čega su žene korisnice prava 17.726, a muškarci 12.422. Ovaj podatak pokazuje da je broj korisnika znatno veći</w:t>
      </w:r>
      <w:r w:rsidRPr="00F96844">
        <w:rPr>
          <w:rFonts w:cs="Arial"/>
          <w:sz w:val="24"/>
          <w:szCs w:val="24"/>
          <w:lang w:val="sr-Latn-ME"/>
        </w:rPr>
        <w:t xml:space="preserve"> od</w:t>
      </w:r>
      <w:r w:rsidRPr="00F96844">
        <w:rPr>
          <w:rFonts w:eastAsia="Times New Roman" w:cs="Arial"/>
          <w:sz w:val="24"/>
          <w:szCs w:val="24"/>
          <w:lang w:val="sr-Latn-ME"/>
        </w:rPr>
        <w:t xml:space="preserve"> 22.896 korisnika u</w:t>
      </w:r>
      <w:r w:rsidR="00371227">
        <w:rPr>
          <w:rFonts w:eastAsia="Times New Roman" w:cs="Arial"/>
          <w:sz w:val="24"/>
          <w:szCs w:val="24"/>
          <w:lang w:val="sr-Latn-ME"/>
        </w:rPr>
        <w:t xml:space="preserve"> decembru</w:t>
      </w:r>
      <w:r w:rsidRPr="00F96844">
        <w:rPr>
          <w:rFonts w:eastAsia="Times New Roman" w:cs="Arial"/>
          <w:sz w:val="24"/>
          <w:szCs w:val="24"/>
          <w:lang w:val="sr-Latn-ME"/>
        </w:rPr>
        <w:t xml:space="preserve"> 2022.</w:t>
      </w:r>
      <w:r w:rsidR="0052767B">
        <w:rPr>
          <w:rFonts w:eastAsia="Times New Roman" w:cs="Arial"/>
          <w:sz w:val="24"/>
          <w:szCs w:val="24"/>
          <w:lang w:val="sr-Latn-ME"/>
        </w:rPr>
        <w:t xml:space="preserve"> </w:t>
      </w:r>
      <w:r w:rsidRPr="00F96844">
        <w:rPr>
          <w:rFonts w:eastAsia="Times New Roman" w:cs="Arial"/>
          <w:sz w:val="24"/>
          <w:szCs w:val="24"/>
          <w:lang w:val="sr-Latn-ME"/>
        </w:rPr>
        <w:t>godin</w:t>
      </w:r>
      <w:r w:rsidR="00371227">
        <w:rPr>
          <w:rFonts w:eastAsia="Times New Roman" w:cs="Arial"/>
          <w:sz w:val="24"/>
          <w:szCs w:val="24"/>
          <w:lang w:val="sr-Latn-ME"/>
        </w:rPr>
        <w:t xml:space="preserve">e </w:t>
      </w:r>
      <w:r w:rsidRPr="00F96844">
        <w:rPr>
          <w:rFonts w:eastAsia="Times New Roman" w:cs="Arial"/>
          <w:sz w:val="24"/>
          <w:szCs w:val="24"/>
          <w:lang w:val="sr-Latn-ME"/>
        </w:rPr>
        <w:t>i pored činjenice da nije došlo da izmjene medicinskih indikacija za ostvarivanje prava</w:t>
      </w:r>
      <w:r w:rsidR="00D53409">
        <w:rPr>
          <w:rFonts w:eastAsia="Times New Roman" w:cs="Arial"/>
          <w:sz w:val="24"/>
          <w:szCs w:val="24"/>
          <w:lang w:val="sr-Latn-ME"/>
        </w:rPr>
        <w:t>.</w:t>
      </w:r>
      <w:r w:rsidRPr="00F96844">
        <w:rPr>
          <w:rFonts w:eastAsia="Times New Roman" w:cs="Arial"/>
          <w:sz w:val="24"/>
          <w:szCs w:val="24"/>
          <w:lang w:val="sr-Latn-ME"/>
        </w:rPr>
        <w:t xml:space="preserve"> </w:t>
      </w:r>
    </w:p>
    <w:p w14:paraId="552C37F3" w14:textId="77777777" w:rsidR="00D9050F" w:rsidRDefault="00D9050F" w:rsidP="00780738">
      <w:pPr>
        <w:jc w:val="both"/>
        <w:rPr>
          <w:rFonts w:eastAsia="Times New Roman" w:cs="Arial"/>
          <w:sz w:val="24"/>
          <w:szCs w:val="24"/>
          <w:lang w:val="sr-Latn-ME"/>
        </w:rPr>
      </w:pPr>
    </w:p>
    <w:p w14:paraId="1C6B4437" w14:textId="68E4A10F" w:rsidR="005655E5" w:rsidRDefault="00D9050F" w:rsidP="00780738">
      <w:pPr>
        <w:jc w:val="both"/>
        <w:rPr>
          <w:rFonts w:eastAsia="Times New Roman" w:cs="Arial"/>
          <w:sz w:val="24"/>
          <w:szCs w:val="24"/>
          <w:lang w:val="sr-Latn-ME"/>
        </w:rPr>
      </w:pPr>
      <w:r w:rsidRPr="00D9050F">
        <w:rPr>
          <w:rFonts w:eastAsia="Times New Roman" w:cs="Arial"/>
          <w:sz w:val="24"/>
          <w:szCs w:val="24"/>
          <w:lang w:val="sr-Latn-ME"/>
        </w:rPr>
        <w:t xml:space="preserve">U ostvarivanju prava na MO, ličnu invalidninu i dodatak za njegu i pomoć </w:t>
      </w:r>
      <w:r>
        <w:rPr>
          <w:rFonts w:eastAsia="Times New Roman" w:cs="Arial"/>
          <w:sz w:val="24"/>
          <w:szCs w:val="24"/>
          <w:lang w:val="sr-Latn-ME"/>
        </w:rPr>
        <w:t>i rad</w:t>
      </w:r>
      <w:r w:rsidR="004C5D23">
        <w:rPr>
          <w:rFonts w:eastAsia="Times New Roman" w:cs="Arial"/>
          <w:sz w:val="24"/>
          <w:szCs w:val="24"/>
          <w:lang w:val="sr-Latn-ME"/>
        </w:rPr>
        <w:t xml:space="preserve"> s p</w:t>
      </w:r>
      <w:r>
        <w:rPr>
          <w:rFonts w:eastAsia="Times New Roman" w:cs="Arial"/>
          <w:sz w:val="24"/>
          <w:szCs w:val="24"/>
          <w:lang w:val="sr-Latn-ME"/>
        </w:rPr>
        <w:t>olovinom punog radnog vremena evidentiran</w:t>
      </w:r>
      <w:r w:rsidRPr="00D9050F">
        <w:rPr>
          <w:rFonts w:eastAsia="Times New Roman" w:cs="Arial"/>
          <w:sz w:val="24"/>
          <w:szCs w:val="24"/>
          <w:lang w:val="sr-Latn-ME"/>
        </w:rPr>
        <w:t xml:space="preserve"> je problem kršenja rokova za odlučivanje po zahtjevima. </w:t>
      </w:r>
      <w:r>
        <w:rPr>
          <w:rFonts w:eastAsia="Times New Roman" w:cs="Arial"/>
          <w:sz w:val="24"/>
          <w:szCs w:val="24"/>
          <w:lang w:val="sr-Latn-ME"/>
        </w:rPr>
        <w:t>Iako je formirano</w:t>
      </w:r>
      <w:r w:rsidRPr="00D9050F">
        <w:rPr>
          <w:rFonts w:eastAsia="Times New Roman" w:cs="Arial"/>
          <w:sz w:val="24"/>
          <w:szCs w:val="24"/>
          <w:lang w:val="sr-Latn-ME"/>
        </w:rPr>
        <w:t xml:space="preserve"> 5 prvostepe</w:t>
      </w:r>
      <w:r>
        <w:rPr>
          <w:rFonts w:eastAsia="Times New Roman" w:cs="Arial"/>
          <w:sz w:val="24"/>
          <w:szCs w:val="24"/>
          <w:lang w:val="sr-Latn-ME"/>
        </w:rPr>
        <w:t xml:space="preserve">nih </w:t>
      </w:r>
      <w:r w:rsidRPr="00D9050F">
        <w:rPr>
          <w:rFonts w:eastAsia="Times New Roman" w:cs="Arial"/>
          <w:sz w:val="24"/>
          <w:szCs w:val="24"/>
          <w:lang w:val="sr-Latn-ME"/>
        </w:rPr>
        <w:t>socijalno-ljekarsk</w:t>
      </w:r>
      <w:r>
        <w:rPr>
          <w:rFonts w:eastAsia="Times New Roman" w:cs="Arial"/>
          <w:sz w:val="24"/>
          <w:szCs w:val="24"/>
          <w:lang w:val="sr-Latn-ME"/>
        </w:rPr>
        <w:t>ih</w:t>
      </w:r>
      <w:r w:rsidRPr="00D9050F">
        <w:rPr>
          <w:rFonts w:eastAsia="Times New Roman" w:cs="Arial"/>
          <w:sz w:val="24"/>
          <w:szCs w:val="24"/>
          <w:lang w:val="sr-Latn-ME"/>
        </w:rPr>
        <w:t xml:space="preserve"> komisija, koj</w:t>
      </w:r>
      <w:r w:rsidR="005655E5">
        <w:rPr>
          <w:rFonts w:eastAsia="Times New Roman" w:cs="Arial"/>
          <w:sz w:val="24"/>
          <w:szCs w:val="24"/>
          <w:lang w:val="sr-Latn-ME"/>
        </w:rPr>
        <w:t xml:space="preserve">e </w:t>
      </w:r>
      <w:r w:rsidRPr="00D9050F">
        <w:rPr>
          <w:rFonts w:eastAsia="Times New Roman" w:cs="Arial"/>
          <w:sz w:val="24"/>
          <w:szCs w:val="24"/>
          <w:lang w:val="sr-Latn-ME"/>
        </w:rPr>
        <w:t>odlučuj</w:t>
      </w:r>
      <w:r w:rsidR="005655E5">
        <w:rPr>
          <w:rFonts w:eastAsia="Times New Roman" w:cs="Arial"/>
          <w:sz w:val="24"/>
          <w:szCs w:val="24"/>
          <w:lang w:val="sr-Latn-ME"/>
        </w:rPr>
        <w:t>u</w:t>
      </w:r>
      <w:r w:rsidRPr="00D9050F">
        <w:rPr>
          <w:rFonts w:eastAsia="Times New Roman" w:cs="Arial"/>
          <w:sz w:val="24"/>
          <w:szCs w:val="24"/>
          <w:lang w:val="sr-Latn-ME"/>
        </w:rPr>
        <w:t xml:space="preserve"> u postupcima koji su pokrenuti pred svim CZSR u Crnoj Gori, na </w:t>
      </w:r>
      <w:r w:rsidR="005655E5">
        <w:rPr>
          <w:rFonts w:eastAsia="Times New Roman" w:cs="Arial"/>
          <w:sz w:val="24"/>
          <w:szCs w:val="24"/>
          <w:lang w:val="sr-Latn-ME"/>
        </w:rPr>
        <w:t>razmatranje zahtjeva</w:t>
      </w:r>
      <w:r w:rsidRPr="00D9050F">
        <w:rPr>
          <w:rFonts w:eastAsia="Times New Roman" w:cs="Arial"/>
          <w:sz w:val="24"/>
          <w:szCs w:val="24"/>
          <w:lang w:val="sr-Latn-ME"/>
        </w:rPr>
        <w:t xml:space="preserve"> čeka </w:t>
      </w:r>
      <w:r w:rsidR="005655E5">
        <w:rPr>
          <w:rFonts w:eastAsia="Times New Roman" w:cs="Arial"/>
          <w:sz w:val="24"/>
          <w:szCs w:val="24"/>
          <w:lang w:val="sr-Latn-ME"/>
        </w:rPr>
        <w:t xml:space="preserve">se </w:t>
      </w:r>
      <w:r w:rsidRPr="00D9050F">
        <w:rPr>
          <w:rFonts w:eastAsia="Times New Roman" w:cs="Arial"/>
          <w:sz w:val="24"/>
          <w:szCs w:val="24"/>
          <w:lang w:val="sr-Latn-ME"/>
        </w:rPr>
        <w:t xml:space="preserve">i po više mjeseci. Sličan problem postoji i u drugostepenom postupku pred </w:t>
      </w:r>
      <w:r w:rsidRPr="005B7D8D">
        <w:rPr>
          <w:rFonts w:eastAsia="Times New Roman" w:cs="Arial"/>
          <w:sz w:val="24"/>
          <w:szCs w:val="24"/>
          <w:lang w:val="sr-Latn-ME"/>
        </w:rPr>
        <w:t>M</w:t>
      </w:r>
      <w:r w:rsidR="00F13713" w:rsidRPr="005B7D8D">
        <w:rPr>
          <w:rFonts w:eastAsia="Times New Roman" w:cs="Arial"/>
          <w:sz w:val="24"/>
          <w:szCs w:val="24"/>
          <w:lang w:val="sr-Latn-ME"/>
        </w:rPr>
        <w:t>SSD</w:t>
      </w:r>
      <w:r w:rsidRPr="00D9050F">
        <w:rPr>
          <w:rFonts w:eastAsia="Times New Roman" w:cs="Arial"/>
          <w:sz w:val="24"/>
          <w:szCs w:val="24"/>
          <w:lang w:val="sr-Latn-ME"/>
        </w:rPr>
        <w:t xml:space="preserve">. </w:t>
      </w:r>
      <w:r w:rsidR="005655E5">
        <w:rPr>
          <w:rFonts w:eastAsia="Times New Roman" w:cs="Arial"/>
          <w:sz w:val="24"/>
          <w:szCs w:val="24"/>
          <w:lang w:val="sr-Latn-ME"/>
        </w:rPr>
        <w:t>Formirane su nove komisije čiji članovi</w:t>
      </w:r>
      <w:r w:rsidR="006C1156">
        <w:rPr>
          <w:rFonts w:eastAsia="Times New Roman" w:cs="Arial"/>
          <w:sz w:val="24"/>
          <w:szCs w:val="24"/>
          <w:lang w:val="sr-Latn-ME"/>
        </w:rPr>
        <w:t>/</w:t>
      </w:r>
      <w:r w:rsidR="008110F6">
        <w:rPr>
          <w:rFonts w:eastAsia="Times New Roman" w:cs="Arial"/>
          <w:sz w:val="24"/>
          <w:szCs w:val="24"/>
          <w:lang w:val="sr-Latn-ME"/>
        </w:rPr>
        <w:t>člani</w:t>
      </w:r>
      <w:r w:rsidR="006C1156">
        <w:rPr>
          <w:rFonts w:eastAsia="Times New Roman" w:cs="Arial"/>
          <w:sz w:val="24"/>
          <w:szCs w:val="24"/>
          <w:lang w:val="sr-Latn-ME"/>
        </w:rPr>
        <w:t>ce</w:t>
      </w:r>
      <w:r w:rsidR="005655E5">
        <w:rPr>
          <w:rFonts w:eastAsia="Times New Roman" w:cs="Arial"/>
          <w:sz w:val="24"/>
          <w:szCs w:val="24"/>
          <w:lang w:val="sr-Latn-ME"/>
        </w:rPr>
        <w:t xml:space="preserve"> su ljekari</w:t>
      </w:r>
      <w:r w:rsidR="006C1156">
        <w:rPr>
          <w:rFonts w:eastAsia="Times New Roman" w:cs="Arial"/>
          <w:sz w:val="24"/>
          <w:szCs w:val="24"/>
          <w:lang w:val="sr-Latn-ME"/>
        </w:rPr>
        <w:t>/</w:t>
      </w:r>
      <w:r w:rsidR="008110F6">
        <w:rPr>
          <w:rFonts w:eastAsia="Times New Roman" w:cs="Arial"/>
          <w:sz w:val="24"/>
          <w:szCs w:val="24"/>
          <w:lang w:val="sr-Latn-ME"/>
        </w:rPr>
        <w:t>ljekar</w:t>
      </w:r>
      <w:r w:rsidR="006C1156">
        <w:rPr>
          <w:rFonts w:eastAsia="Times New Roman" w:cs="Arial"/>
          <w:sz w:val="24"/>
          <w:szCs w:val="24"/>
          <w:lang w:val="sr-Latn-ME"/>
        </w:rPr>
        <w:t>ke</w:t>
      </w:r>
      <w:r w:rsidR="005655E5">
        <w:rPr>
          <w:rFonts w:eastAsia="Times New Roman" w:cs="Arial"/>
          <w:sz w:val="24"/>
          <w:szCs w:val="24"/>
          <w:lang w:val="sr-Latn-ME"/>
        </w:rPr>
        <w:t xml:space="preserve"> različitih specijalizacija, što podrazumijeva da komisije još uvijek rade po medicinskom modelu, dok ne razmatraju socijalne potrebe potencijalnih </w:t>
      </w:r>
      <w:r w:rsidR="00EB2F1D">
        <w:rPr>
          <w:rFonts w:eastAsia="Times New Roman" w:cs="Arial"/>
          <w:sz w:val="24"/>
          <w:szCs w:val="24"/>
          <w:lang w:val="sr-Latn-ME"/>
        </w:rPr>
        <w:t>korisnika/korisnica</w:t>
      </w:r>
      <w:r w:rsidR="005655E5">
        <w:rPr>
          <w:rFonts w:eastAsia="Times New Roman" w:cs="Arial"/>
          <w:sz w:val="24"/>
          <w:szCs w:val="24"/>
          <w:lang w:val="sr-Latn-ME"/>
        </w:rPr>
        <w:t>.</w:t>
      </w:r>
    </w:p>
    <w:p w14:paraId="5A24AAC6" w14:textId="77777777" w:rsidR="00133DF8" w:rsidRPr="00F96844" w:rsidRDefault="00133DF8" w:rsidP="00780738">
      <w:pPr>
        <w:jc w:val="both"/>
        <w:rPr>
          <w:rFonts w:eastAsia="Times New Roman" w:cs="Arial"/>
          <w:sz w:val="24"/>
          <w:szCs w:val="24"/>
          <w:lang w:val="sr-Latn-ME"/>
        </w:rPr>
      </w:pPr>
    </w:p>
    <w:p w14:paraId="4BB861FE" w14:textId="77777777" w:rsidR="00A36D6B" w:rsidRPr="00F96844" w:rsidRDefault="00A36D6B"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Zdravstvena zaštita</w:t>
      </w:r>
      <w:r w:rsidRPr="00F96844">
        <w:rPr>
          <w:rFonts w:eastAsia="Times New Roman" w:cs="Arial"/>
          <w:sz w:val="24"/>
          <w:szCs w:val="24"/>
          <w:lang w:val="sr-Latn-ME" w:eastAsia="sr-Latn-CS"/>
        </w:rPr>
        <w:t xml:space="preserve"> se obezbjeđuje korisniku materijalnog obezbjeđenja, lične invalidnine, dodatka za njegu i pomoć i usluge smještaja,</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ukoliko ovo pravo nije ostvario po drugom osnovu. Broj korisnika prava u decembru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godine je bio 1.203.</w:t>
      </w:r>
      <w:r w:rsidR="00371227">
        <w:rPr>
          <w:rFonts w:eastAsia="Times New Roman" w:cs="Arial"/>
          <w:sz w:val="24"/>
          <w:szCs w:val="24"/>
          <w:lang w:val="sr-Latn-ME" w:eastAsia="sr-Latn-CS"/>
        </w:rPr>
        <w:t xml:space="preserve"> Broj korisnika ovog prava se značajno smanjio ukidanjem doprinosa za obavezno zdravstveno osiguranje u 2021. godini.</w:t>
      </w:r>
    </w:p>
    <w:p w14:paraId="7B9434F9" w14:textId="77777777" w:rsidR="00133DF8" w:rsidRPr="00F96844" w:rsidRDefault="00133DF8" w:rsidP="00780738">
      <w:pPr>
        <w:jc w:val="both"/>
        <w:rPr>
          <w:rFonts w:cs="Arial"/>
          <w:sz w:val="24"/>
          <w:szCs w:val="24"/>
          <w:lang w:val="sr-Latn-ME"/>
        </w:rPr>
      </w:pPr>
    </w:p>
    <w:p w14:paraId="7FC11D47" w14:textId="77777777" w:rsidR="00133DF8" w:rsidRDefault="00133DF8" w:rsidP="00780738">
      <w:pPr>
        <w:jc w:val="both"/>
        <w:rPr>
          <w:rFonts w:cs="Arial"/>
          <w:sz w:val="24"/>
          <w:szCs w:val="24"/>
          <w:lang w:val="sr-Latn-ME"/>
        </w:rPr>
      </w:pPr>
      <w:r w:rsidRPr="00F96844">
        <w:rPr>
          <w:rFonts w:eastAsia="Times New Roman" w:cs="Arial"/>
          <w:i/>
          <w:sz w:val="24"/>
          <w:szCs w:val="24"/>
          <w:u w:val="single"/>
          <w:lang w:val="sr-Latn-ME" w:eastAsia="sr-Latn-CS"/>
        </w:rPr>
        <w:lastRenderedPageBreak/>
        <w:t>Troškovi sahrane</w:t>
      </w:r>
      <w:r w:rsidRPr="00F96844">
        <w:rPr>
          <w:rFonts w:eastAsia="Times New Roman" w:cs="Arial"/>
          <w:sz w:val="24"/>
          <w:szCs w:val="24"/>
          <w:lang w:val="sr-Latn-ME" w:eastAsia="sr-Latn-CS"/>
        </w:rPr>
        <w:t xml:space="preserve"> obezbjeđuju se u slučaju smrti korisnika</w:t>
      </w:r>
      <w:r w:rsidR="006C1156">
        <w:rPr>
          <w:rFonts w:eastAsia="Times New Roman" w:cs="Arial"/>
          <w:sz w:val="24"/>
          <w:szCs w:val="24"/>
          <w:lang w:val="sr-Latn-ME" w:eastAsia="sr-Latn-CS"/>
        </w:rPr>
        <w:t>/</w:t>
      </w:r>
      <w:r w:rsidR="008110F6">
        <w:rPr>
          <w:rFonts w:eastAsia="Times New Roman" w:cs="Arial"/>
          <w:sz w:val="24"/>
          <w:szCs w:val="24"/>
          <w:lang w:val="sr-Latn-ME" w:eastAsia="sr-Latn-CS"/>
        </w:rPr>
        <w:t>korisni</w:t>
      </w:r>
      <w:r w:rsidR="006C1156">
        <w:rPr>
          <w:rFonts w:eastAsia="Times New Roman" w:cs="Arial"/>
          <w:sz w:val="24"/>
          <w:szCs w:val="24"/>
          <w:lang w:val="sr-Latn-ME" w:eastAsia="sr-Latn-CS"/>
        </w:rPr>
        <w:t>ce</w:t>
      </w:r>
      <w:r w:rsidRPr="00F96844">
        <w:rPr>
          <w:rFonts w:eastAsia="Times New Roman" w:cs="Arial"/>
          <w:sz w:val="24"/>
          <w:szCs w:val="24"/>
          <w:lang w:val="sr-Latn-ME" w:eastAsia="sr-Latn-CS"/>
        </w:rPr>
        <w:t xml:space="preserve"> materijalnog obezbjeđenja,</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lične invalidnine i dodatka za njegu i pomoć i smještaja. Visina troškova sahrane 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iznosila je 421,75 eura. Ukupno 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236.103,50</w:t>
      </w:r>
      <w:r w:rsidR="0052767B">
        <w:rPr>
          <w:rFonts w:eastAsia="Times New Roman" w:cs="Arial"/>
          <w:sz w:val="24"/>
          <w:szCs w:val="24"/>
          <w:lang w:val="sr-Latn-ME" w:eastAsia="sr-Latn-CS"/>
        </w:rPr>
        <w:t xml:space="preserve"> eura, </w:t>
      </w:r>
      <w:r w:rsidRPr="00F96844">
        <w:rPr>
          <w:rFonts w:eastAsia="Times New Roman" w:cs="Arial"/>
          <w:sz w:val="24"/>
          <w:szCs w:val="24"/>
          <w:lang w:val="sr-Latn-ME" w:eastAsia="sr-Latn-CS"/>
        </w:rPr>
        <w:t>a</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 broj</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korisnika prava je bio 549</w:t>
      </w:r>
      <w:r w:rsidR="0052767B">
        <w:rPr>
          <w:rFonts w:eastAsia="Times New Roman" w:cs="Arial"/>
          <w:sz w:val="24"/>
          <w:szCs w:val="24"/>
          <w:lang w:val="sr-Latn-ME" w:eastAsia="sr-Latn-CS"/>
        </w:rPr>
        <w:t xml:space="preserve"> ukupno, od čega je u decembru 2023. godine bilo 38 korisnika, </w:t>
      </w:r>
      <w:r w:rsidR="00773225">
        <w:rPr>
          <w:rFonts w:eastAsia="Times New Roman" w:cs="Arial"/>
          <w:sz w:val="24"/>
          <w:szCs w:val="24"/>
          <w:lang w:val="sr-Latn-ME" w:eastAsia="sr-Latn-CS"/>
        </w:rPr>
        <w:t xml:space="preserve">od </w:t>
      </w:r>
      <w:r w:rsidR="00371227">
        <w:rPr>
          <w:rFonts w:eastAsia="Times New Roman" w:cs="Arial"/>
          <w:sz w:val="24"/>
          <w:szCs w:val="24"/>
          <w:lang w:val="sr-Latn-ME" w:eastAsia="sr-Latn-CS"/>
        </w:rPr>
        <w:t>kojih</w:t>
      </w:r>
      <w:r w:rsidR="00773225">
        <w:rPr>
          <w:rFonts w:eastAsia="Times New Roman" w:cs="Arial"/>
          <w:sz w:val="24"/>
          <w:szCs w:val="24"/>
          <w:lang w:val="sr-Latn-ME" w:eastAsia="sr-Latn-CS"/>
        </w:rPr>
        <w:t xml:space="preserve"> je</w:t>
      </w:r>
      <w:r w:rsidR="009A5A32">
        <w:rPr>
          <w:rFonts w:eastAsia="Times New Roman" w:cs="Arial"/>
          <w:sz w:val="24"/>
          <w:szCs w:val="24"/>
          <w:lang w:val="sr-Latn-ME" w:eastAsia="sr-Latn-CS"/>
        </w:rPr>
        <w:t xml:space="preserve"> 9 žena </w:t>
      </w:r>
      <w:r w:rsidR="00773225">
        <w:rPr>
          <w:rFonts w:eastAsia="Times New Roman" w:cs="Arial"/>
          <w:sz w:val="24"/>
          <w:szCs w:val="24"/>
          <w:lang w:val="sr-Latn-ME" w:eastAsia="sr-Latn-CS"/>
        </w:rPr>
        <w:t>i 29 mušk</w:t>
      </w:r>
      <w:r w:rsidR="00690869">
        <w:rPr>
          <w:rFonts w:eastAsia="Times New Roman" w:cs="Arial"/>
          <w:sz w:val="24"/>
          <w:szCs w:val="24"/>
          <w:lang w:val="sr-Latn-ME" w:eastAsia="sr-Latn-CS"/>
        </w:rPr>
        <w:t>araca</w:t>
      </w:r>
      <w:r w:rsidR="00773225">
        <w:rPr>
          <w:rFonts w:eastAsia="Times New Roman" w:cs="Arial"/>
          <w:sz w:val="24"/>
          <w:szCs w:val="24"/>
          <w:lang w:val="sr-Latn-ME" w:eastAsia="sr-Latn-CS"/>
        </w:rPr>
        <w:t>.</w:t>
      </w:r>
      <w:r w:rsidRPr="00F96844">
        <w:rPr>
          <w:rFonts w:cs="Arial"/>
          <w:sz w:val="24"/>
          <w:szCs w:val="24"/>
          <w:lang w:val="sr-Latn-ME"/>
        </w:rPr>
        <w:t xml:space="preserve"> </w:t>
      </w:r>
      <w:r w:rsidR="00D855AC">
        <w:rPr>
          <w:rFonts w:cs="Arial"/>
          <w:sz w:val="24"/>
          <w:szCs w:val="24"/>
          <w:lang w:val="sr-Latn-ME"/>
        </w:rPr>
        <w:t>Potrebno je razmotrit</w:t>
      </w:r>
      <w:r w:rsidR="00371227">
        <w:rPr>
          <w:rFonts w:cs="Arial"/>
          <w:sz w:val="24"/>
          <w:szCs w:val="24"/>
          <w:lang w:val="sr-Latn-ME"/>
        </w:rPr>
        <w:t>i</w:t>
      </w:r>
      <w:r w:rsidR="00D855AC">
        <w:rPr>
          <w:rFonts w:cs="Arial"/>
          <w:sz w:val="24"/>
          <w:szCs w:val="24"/>
          <w:lang w:val="sr-Latn-ME"/>
        </w:rPr>
        <w:t xml:space="preserve"> mogućnost  uvećanja iznosa za navedeno pravo.</w:t>
      </w:r>
      <w:r w:rsidRPr="00F96844">
        <w:rPr>
          <w:rFonts w:cs="Arial"/>
          <w:sz w:val="24"/>
          <w:szCs w:val="24"/>
          <w:lang w:val="sr-Latn-ME"/>
        </w:rPr>
        <w:t xml:space="preserve"> </w:t>
      </w:r>
    </w:p>
    <w:p w14:paraId="2E8D317E" w14:textId="77777777" w:rsidR="00773225" w:rsidRDefault="00773225" w:rsidP="00780738">
      <w:pPr>
        <w:jc w:val="both"/>
        <w:rPr>
          <w:rFonts w:cs="Arial"/>
          <w:sz w:val="24"/>
          <w:szCs w:val="24"/>
          <w:lang w:val="sr-Latn-ME"/>
        </w:rPr>
      </w:pPr>
    </w:p>
    <w:p w14:paraId="79B07C9F" w14:textId="77777777" w:rsidR="00A71C11" w:rsidRDefault="00773225" w:rsidP="00780738">
      <w:pPr>
        <w:jc w:val="both"/>
        <w:rPr>
          <w:rFonts w:eastAsia="Times New Roman" w:cs="Arial"/>
          <w:sz w:val="24"/>
          <w:szCs w:val="24"/>
        </w:rPr>
      </w:pPr>
      <w:r w:rsidRPr="00773225">
        <w:rPr>
          <w:rFonts w:eastAsia="Times New Roman" w:cs="Arial"/>
          <w:i/>
          <w:sz w:val="24"/>
          <w:szCs w:val="24"/>
          <w:u w:val="single"/>
          <w:lang w:val="sl-SI" w:eastAsia="sr-Latn-CS"/>
        </w:rPr>
        <w:t xml:space="preserve">Naknada roditelju ili staratelju korisnika prava na ličnu invalidninu. </w:t>
      </w:r>
      <w:r w:rsidRPr="00773225">
        <w:rPr>
          <w:rFonts w:eastAsia="Times New Roman" w:cs="Arial"/>
          <w:sz w:val="24"/>
          <w:szCs w:val="24"/>
          <w:lang w:val="sl-SI" w:eastAsia="sr-Latn-CS"/>
        </w:rPr>
        <w:t>Jedan od roditelja, odnosno staratelj</w:t>
      </w:r>
      <w:r w:rsidR="006C1156">
        <w:rPr>
          <w:rFonts w:eastAsia="Times New Roman" w:cs="Arial"/>
          <w:sz w:val="24"/>
          <w:szCs w:val="24"/>
          <w:lang w:val="sl-SI" w:eastAsia="sr-Latn-CS"/>
        </w:rPr>
        <w:t>/</w:t>
      </w:r>
      <w:r w:rsidR="008110F6">
        <w:rPr>
          <w:rFonts w:eastAsia="Times New Roman" w:cs="Arial"/>
          <w:sz w:val="24"/>
          <w:szCs w:val="24"/>
          <w:lang w:val="sl-SI" w:eastAsia="sr-Latn-CS"/>
        </w:rPr>
        <w:t>staratelj</w:t>
      </w:r>
      <w:r w:rsidR="006C1156">
        <w:rPr>
          <w:rFonts w:eastAsia="Times New Roman" w:cs="Arial"/>
          <w:sz w:val="24"/>
          <w:szCs w:val="24"/>
          <w:lang w:val="sl-SI" w:eastAsia="sr-Latn-CS"/>
        </w:rPr>
        <w:t>ka</w:t>
      </w:r>
      <w:r w:rsidRPr="00773225">
        <w:rPr>
          <w:rFonts w:eastAsia="Times New Roman" w:cs="Arial"/>
          <w:sz w:val="24"/>
          <w:szCs w:val="24"/>
          <w:lang w:val="sl-SI" w:eastAsia="sr-Latn-CS"/>
        </w:rPr>
        <w:t xml:space="preserve"> korisnika</w:t>
      </w:r>
      <w:r w:rsidR="006C1156">
        <w:rPr>
          <w:rFonts w:eastAsia="Times New Roman" w:cs="Arial"/>
          <w:sz w:val="24"/>
          <w:szCs w:val="24"/>
          <w:lang w:val="sl-SI" w:eastAsia="sr-Latn-CS"/>
        </w:rPr>
        <w:t>/</w:t>
      </w:r>
      <w:r w:rsidR="008110F6">
        <w:rPr>
          <w:rFonts w:eastAsia="Times New Roman" w:cs="Arial"/>
          <w:sz w:val="24"/>
          <w:szCs w:val="24"/>
          <w:lang w:val="sl-SI" w:eastAsia="sr-Latn-CS"/>
        </w:rPr>
        <w:t>korisni</w:t>
      </w:r>
      <w:r w:rsidR="006C1156">
        <w:rPr>
          <w:rFonts w:eastAsia="Times New Roman" w:cs="Arial"/>
          <w:sz w:val="24"/>
          <w:szCs w:val="24"/>
          <w:lang w:val="sl-SI" w:eastAsia="sr-Latn-CS"/>
        </w:rPr>
        <w:t>ce</w:t>
      </w:r>
      <w:r w:rsidRPr="00773225">
        <w:rPr>
          <w:rFonts w:eastAsia="Times New Roman" w:cs="Arial"/>
          <w:sz w:val="24"/>
          <w:szCs w:val="24"/>
          <w:lang w:val="sl-SI" w:eastAsia="sr-Latn-CS"/>
        </w:rPr>
        <w:t xml:space="preserve"> prava na ličnu invalidninu ima pravo na naknadu, za svakog korisnika</w:t>
      </w:r>
      <w:r w:rsidR="008110F6">
        <w:rPr>
          <w:rFonts w:eastAsia="Times New Roman" w:cs="Arial"/>
          <w:sz w:val="24"/>
          <w:szCs w:val="24"/>
          <w:lang w:val="sl-SI" w:eastAsia="sr-Latn-CS"/>
        </w:rPr>
        <w:t xml:space="preserve"> </w:t>
      </w:r>
      <w:r w:rsidR="006C1156">
        <w:rPr>
          <w:rFonts w:eastAsia="Times New Roman" w:cs="Arial"/>
          <w:sz w:val="24"/>
          <w:szCs w:val="24"/>
          <w:lang w:val="sl-SI" w:eastAsia="sr-Latn-CS"/>
        </w:rPr>
        <w:t>/</w:t>
      </w:r>
      <w:r w:rsidR="008110F6">
        <w:rPr>
          <w:rFonts w:eastAsia="Times New Roman" w:cs="Arial"/>
          <w:sz w:val="24"/>
          <w:szCs w:val="24"/>
          <w:lang w:val="sl-SI" w:eastAsia="sr-Latn-CS"/>
        </w:rPr>
        <w:t xml:space="preserve"> svaku korisni</w:t>
      </w:r>
      <w:r w:rsidR="006C1156">
        <w:rPr>
          <w:rFonts w:eastAsia="Times New Roman" w:cs="Arial"/>
          <w:sz w:val="24"/>
          <w:szCs w:val="24"/>
          <w:lang w:val="sl-SI" w:eastAsia="sr-Latn-CS"/>
        </w:rPr>
        <w:t>cu</w:t>
      </w:r>
      <w:r w:rsidRPr="00773225">
        <w:rPr>
          <w:rFonts w:eastAsia="Times New Roman" w:cs="Arial"/>
          <w:sz w:val="24"/>
          <w:szCs w:val="24"/>
          <w:lang w:val="sl-SI" w:eastAsia="sr-Latn-CS"/>
        </w:rPr>
        <w:t xml:space="preserve"> pojedinačno.</w:t>
      </w:r>
      <w:r>
        <w:rPr>
          <w:rFonts w:eastAsia="Times New Roman" w:cs="Arial"/>
          <w:sz w:val="24"/>
          <w:szCs w:val="24"/>
          <w:lang w:val="sl-SI" w:eastAsia="sr-Latn-CS"/>
        </w:rPr>
        <w:t xml:space="preserve"> </w:t>
      </w:r>
      <w:r w:rsidRPr="00773225">
        <w:rPr>
          <w:rFonts w:eastAsia="Times New Roman" w:cs="Arial"/>
          <w:sz w:val="24"/>
          <w:szCs w:val="24"/>
          <w:lang w:val="sl-SI" w:eastAsia="sr-Latn-CS"/>
        </w:rPr>
        <w:t>Pravo ima jedan od roditelja, odnosno staratelj</w:t>
      </w:r>
      <w:r w:rsidR="006C1156">
        <w:rPr>
          <w:rFonts w:eastAsia="Times New Roman" w:cs="Arial"/>
          <w:sz w:val="24"/>
          <w:szCs w:val="24"/>
          <w:lang w:val="sl-SI" w:eastAsia="sr-Latn-CS"/>
        </w:rPr>
        <w:t>/</w:t>
      </w:r>
      <w:r w:rsidR="008110F6">
        <w:rPr>
          <w:rFonts w:eastAsia="Times New Roman" w:cs="Arial"/>
          <w:sz w:val="24"/>
          <w:szCs w:val="24"/>
          <w:lang w:val="sl-SI" w:eastAsia="sr-Latn-CS"/>
        </w:rPr>
        <w:t>staratelj</w:t>
      </w:r>
      <w:r w:rsidR="006C1156">
        <w:rPr>
          <w:rFonts w:eastAsia="Times New Roman" w:cs="Arial"/>
          <w:sz w:val="24"/>
          <w:szCs w:val="24"/>
          <w:lang w:val="sl-SI" w:eastAsia="sr-Latn-CS"/>
        </w:rPr>
        <w:t>ka</w:t>
      </w:r>
      <w:r w:rsidRPr="00773225">
        <w:rPr>
          <w:rFonts w:eastAsia="Times New Roman" w:cs="Arial"/>
          <w:sz w:val="24"/>
          <w:szCs w:val="24"/>
          <w:lang w:val="sl-SI" w:eastAsia="sr-Latn-CS"/>
        </w:rPr>
        <w:t xml:space="preserve"> koji ima najmanje jednog korisnika</w:t>
      </w:r>
      <w:r w:rsidR="008110F6">
        <w:rPr>
          <w:rFonts w:eastAsia="Times New Roman" w:cs="Arial"/>
          <w:sz w:val="24"/>
          <w:szCs w:val="24"/>
          <w:lang w:val="sl-SI" w:eastAsia="sr-Latn-CS"/>
        </w:rPr>
        <w:t xml:space="preserve"> </w:t>
      </w:r>
      <w:r w:rsidR="006C1156">
        <w:rPr>
          <w:rFonts w:eastAsia="Times New Roman" w:cs="Arial"/>
          <w:sz w:val="24"/>
          <w:szCs w:val="24"/>
          <w:lang w:val="sl-SI" w:eastAsia="sr-Latn-CS"/>
        </w:rPr>
        <w:t>/</w:t>
      </w:r>
      <w:r w:rsidR="008110F6">
        <w:rPr>
          <w:rFonts w:eastAsia="Times New Roman" w:cs="Arial"/>
          <w:sz w:val="24"/>
          <w:szCs w:val="24"/>
          <w:lang w:val="sl-SI" w:eastAsia="sr-Latn-CS"/>
        </w:rPr>
        <w:t xml:space="preserve"> jednu korisni</w:t>
      </w:r>
      <w:r w:rsidR="006C1156">
        <w:rPr>
          <w:rFonts w:eastAsia="Times New Roman" w:cs="Arial"/>
          <w:sz w:val="24"/>
          <w:szCs w:val="24"/>
          <w:lang w:val="sl-SI" w:eastAsia="sr-Latn-CS"/>
        </w:rPr>
        <w:t>cu</w:t>
      </w:r>
      <w:r w:rsidRPr="00773225">
        <w:rPr>
          <w:rFonts w:eastAsia="Times New Roman" w:cs="Arial"/>
          <w:sz w:val="24"/>
          <w:szCs w:val="24"/>
          <w:lang w:val="sl-SI" w:eastAsia="sr-Latn-CS"/>
        </w:rPr>
        <w:t xml:space="preserve"> prava na ličnu invalidninu i jednog</w:t>
      </w:r>
      <w:r w:rsidR="006C1156">
        <w:rPr>
          <w:rFonts w:eastAsia="Times New Roman" w:cs="Arial"/>
          <w:sz w:val="24"/>
          <w:szCs w:val="24"/>
          <w:lang w:val="sl-SI" w:eastAsia="sr-Latn-CS"/>
        </w:rPr>
        <w:t>/</w:t>
      </w:r>
      <w:r w:rsidR="008110F6">
        <w:rPr>
          <w:rFonts w:eastAsia="Times New Roman" w:cs="Arial"/>
          <w:sz w:val="24"/>
          <w:szCs w:val="24"/>
          <w:lang w:val="sl-SI" w:eastAsia="sr-Latn-CS"/>
        </w:rPr>
        <w:t>jedn</w:t>
      </w:r>
      <w:r w:rsidR="006C1156">
        <w:rPr>
          <w:rFonts w:eastAsia="Times New Roman" w:cs="Arial"/>
          <w:sz w:val="24"/>
          <w:szCs w:val="24"/>
          <w:lang w:val="sl-SI" w:eastAsia="sr-Latn-CS"/>
        </w:rPr>
        <w:t>u</w:t>
      </w:r>
      <w:r w:rsidRPr="00773225">
        <w:rPr>
          <w:rFonts w:eastAsia="Times New Roman" w:cs="Arial"/>
          <w:sz w:val="24"/>
          <w:szCs w:val="24"/>
          <w:lang w:val="sl-SI" w:eastAsia="sr-Latn-CS"/>
        </w:rPr>
        <w:t xml:space="preserve"> ili više </w:t>
      </w:r>
      <w:r w:rsidR="00EB2F1D">
        <w:rPr>
          <w:rFonts w:eastAsia="Times New Roman" w:cs="Arial"/>
          <w:sz w:val="24"/>
          <w:szCs w:val="24"/>
          <w:lang w:val="sl-SI" w:eastAsia="sr-Latn-CS"/>
        </w:rPr>
        <w:t>korisnika/korisnica</w:t>
      </w:r>
      <w:r w:rsidRPr="00773225">
        <w:rPr>
          <w:rFonts w:eastAsia="Times New Roman" w:cs="Arial"/>
          <w:sz w:val="24"/>
          <w:szCs w:val="24"/>
          <w:lang w:val="sl-SI" w:eastAsia="sr-Latn-CS"/>
        </w:rPr>
        <w:t xml:space="preserve"> prava na dodatak za njegu i pomoć, za svakog</w:t>
      </w:r>
      <w:r w:rsidR="008110F6">
        <w:rPr>
          <w:rFonts w:eastAsia="Times New Roman" w:cs="Arial"/>
          <w:sz w:val="24"/>
          <w:szCs w:val="24"/>
          <w:lang w:val="sl-SI" w:eastAsia="sr-Latn-CS"/>
        </w:rPr>
        <w:t xml:space="preserve"> </w:t>
      </w:r>
      <w:r w:rsidRPr="00773225">
        <w:rPr>
          <w:rFonts w:eastAsia="Times New Roman" w:cs="Arial"/>
          <w:sz w:val="24"/>
          <w:szCs w:val="24"/>
          <w:lang w:val="sl-SI" w:eastAsia="sr-Latn-CS"/>
        </w:rPr>
        <w:t>korisnika</w:t>
      </w:r>
      <w:r w:rsidR="008110F6">
        <w:rPr>
          <w:rFonts w:eastAsia="Times New Roman" w:cs="Arial"/>
          <w:sz w:val="24"/>
          <w:szCs w:val="24"/>
          <w:lang w:val="sl-SI" w:eastAsia="sr-Latn-CS"/>
        </w:rPr>
        <w:t xml:space="preserve"> </w:t>
      </w:r>
      <w:r w:rsidR="006C1156">
        <w:rPr>
          <w:rFonts w:eastAsia="Times New Roman" w:cs="Arial"/>
          <w:sz w:val="24"/>
          <w:szCs w:val="24"/>
          <w:lang w:val="sl-SI" w:eastAsia="sr-Latn-CS"/>
        </w:rPr>
        <w:t>/</w:t>
      </w:r>
      <w:r w:rsidR="008110F6">
        <w:rPr>
          <w:rFonts w:eastAsia="Times New Roman" w:cs="Arial"/>
          <w:sz w:val="24"/>
          <w:szCs w:val="24"/>
          <w:lang w:val="sl-SI" w:eastAsia="sr-Latn-CS"/>
        </w:rPr>
        <w:t xml:space="preserve"> svaku korisni</w:t>
      </w:r>
      <w:r w:rsidR="006C1156">
        <w:rPr>
          <w:rFonts w:eastAsia="Times New Roman" w:cs="Arial"/>
          <w:sz w:val="24"/>
          <w:szCs w:val="24"/>
          <w:lang w:val="sl-SI" w:eastAsia="sr-Latn-CS"/>
        </w:rPr>
        <w:t>cu</w:t>
      </w:r>
      <w:r w:rsidRPr="00773225">
        <w:rPr>
          <w:rFonts w:eastAsia="Times New Roman" w:cs="Arial"/>
          <w:sz w:val="24"/>
          <w:szCs w:val="24"/>
          <w:lang w:val="sl-SI" w:eastAsia="sr-Latn-CS"/>
        </w:rPr>
        <w:t xml:space="preserve"> pojedinačno. Visina naknade iznosila je u decembru 2023.</w:t>
      </w:r>
      <w:r w:rsidR="00536AB2">
        <w:rPr>
          <w:rFonts w:eastAsia="Times New Roman" w:cs="Arial"/>
          <w:sz w:val="24"/>
          <w:szCs w:val="24"/>
          <w:lang w:val="sl-SI" w:eastAsia="sr-Latn-CS"/>
        </w:rPr>
        <w:t xml:space="preserve"> </w:t>
      </w:r>
      <w:r w:rsidRPr="00773225">
        <w:rPr>
          <w:rFonts w:eastAsia="Times New Roman" w:cs="Arial"/>
          <w:sz w:val="24"/>
          <w:szCs w:val="24"/>
          <w:lang w:val="sl-SI" w:eastAsia="sr-Latn-CS"/>
        </w:rPr>
        <w:t>godine 249,05  eura mjesečno. Ukupno u 2023.</w:t>
      </w:r>
      <w:r w:rsidR="00536AB2">
        <w:rPr>
          <w:rFonts w:eastAsia="Times New Roman" w:cs="Arial"/>
          <w:sz w:val="24"/>
          <w:szCs w:val="24"/>
          <w:lang w:val="sl-SI" w:eastAsia="sr-Latn-CS"/>
        </w:rPr>
        <w:t xml:space="preserve"> </w:t>
      </w:r>
      <w:r>
        <w:rPr>
          <w:rFonts w:eastAsia="Times New Roman" w:cs="Arial"/>
          <w:sz w:val="24"/>
          <w:szCs w:val="24"/>
          <w:lang w:val="sl-SI" w:eastAsia="sr-Latn-CS"/>
        </w:rPr>
        <w:t>godini</w:t>
      </w:r>
      <w:r w:rsidRPr="00773225">
        <w:rPr>
          <w:rFonts w:eastAsia="Times New Roman" w:cs="Arial"/>
          <w:sz w:val="24"/>
          <w:szCs w:val="24"/>
          <w:lang w:val="sl-SI" w:eastAsia="sr-Latn-CS"/>
        </w:rPr>
        <w:t xml:space="preserve"> isplaćeno je  8.851.367,58 eura, broj </w:t>
      </w:r>
      <w:r w:rsidR="00EB2F1D">
        <w:rPr>
          <w:rFonts w:eastAsia="Times New Roman" w:cs="Arial"/>
          <w:sz w:val="24"/>
          <w:szCs w:val="24"/>
          <w:lang w:val="sl-SI" w:eastAsia="sr-Latn-CS"/>
        </w:rPr>
        <w:t>korisnika/korisnica</w:t>
      </w:r>
      <w:r w:rsidRPr="00773225">
        <w:rPr>
          <w:rFonts w:eastAsia="Times New Roman" w:cs="Arial"/>
          <w:sz w:val="24"/>
          <w:szCs w:val="24"/>
          <w:lang w:val="sl-SI" w:eastAsia="sr-Latn-CS"/>
        </w:rPr>
        <w:t xml:space="preserve"> u decembru  2023.</w:t>
      </w:r>
      <w:r>
        <w:rPr>
          <w:rFonts w:eastAsia="Times New Roman" w:cs="Arial"/>
          <w:sz w:val="24"/>
          <w:szCs w:val="24"/>
          <w:lang w:val="sl-SI" w:eastAsia="sr-Latn-CS"/>
        </w:rPr>
        <w:t xml:space="preserve"> godine</w:t>
      </w:r>
      <w:r w:rsidRPr="00773225">
        <w:rPr>
          <w:rFonts w:eastAsia="Times New Roman" w:cs="Arial"/>
          <w:sz w:val="24"/>
          <w:szCs w:val="24"/>
          <w:lang w:val="sl-SI" w:eastAsia="sr-Latn-CS"/>
        </w:rPr>
        <w:t xml:space="preserve"> bio je 2.996</w:t>
      </w:r>
      <w:r w:rsidR="006915C6">
        <w:rPr>
          <w:rFonts w:eastAsia="Times New Roman" w:cs="Arial"/>
          <w:sz w:val="24"/>
          <w:szCs w:val="24"/>
          <w:lang w:val="sl-SI" w:eastAsia="sr-Latn-CS"/>
        </w:rPr>
        <w:t>,</w:t>
      </w:r>
      <w:r w:rsidRPr="00773225">
        <w:rPr>
          <w:rFonts w:eastAsia="Times New Roman" w:cs="Arial"/>
          <w:sz w:val="24"/>
          <w:szCs w:val="24"/>
          <w:lang w:val="sl-SI" w:eastAsia="sr-Latn-CS"/>
        </w:rPr>
        <w:t xml:space="preserve"> od čega </w:t>
      </w:r>
      <w:r w:rsidR="006C1156">
        <w:rPr>
          <w:rFonts w:eastAsia="Times New Roman" w:cs="Arial"/>
          <w:sz w:val="24"/>
          <w:szCs w:val="24"/>
          <w:lang w:val="sl-SI" w:eastAsia="sr-Latn-CS"/>
        </w:rPr>
        <w:t xml:space="preserve">su žene </w:t>
      </w:r>
      <w:r w:rsidR="00056818">
        <w:rPr>
          <w:rFonts w:eastAsia="Times New Roman" w:cs="Arial"/>
          <w:sz w:val="24"/>
          <w:szCs w:val="24"/>
          <w:lang w:val="sl-SI" w:eastAsia="sr-Latn-CS"/>
        </w:rPr>
        <w:t xml:space="preserve">korisnice prava </w:t>
      </w:r>
      <w:r w:rsidRPr="00773225">
        <w:rPr>
          <w:rFonts w:eastAsia="Times New Roman" w:cs="Arial"/>
          <w:sz w:val="24"/>
          <w:szCs w:val="24"/>
          <w:lang w:val="sl-SI" w:eastAsia="sr-Latn-CS"/>
        </w:rPr>
        <w:t xml:space="preserve">2.249 </w:t>
      </w:r>
      <w:r w:rsidR="00056818">
        <w:rPr>
          <w:rFonts w:eastAsia="Times New Roman" w:cs="Arial"/>
          <w:sz w:val="24"/>
          <w:szCs w:val="24"/>
          <w:lang w:val="sl-SI" w:eastAsia="sr-Latn-CS"/>
        </w:rPr>
        <w:t xml:space="preserve">a </w:t>
      </w:r>
      <w:r w:rsidRPr="00773225">
        <w:rPr>
          <w:rFonts w:eastAsia="Times New Roman" w:cs="Arial"/>
          <w:sz w:val="24"/>
          <w:szCs w:val="24"/>
          <w:lang w:val="sl-SI" w:eastAsia="sr-Latn-CS"/>
        </w:rPr>
        <w:t>mušk</w:t>
      </w:r>
      <w:r w:rsidR="00056818">
        <w:rPr>
          <w:rFonts w:eastAsia="Times New Roman" w:cs="Arial"/>
          <w:sz w:val="24"/>
          <w:szCs w:val="24"/>
          <w:lang w:val="sl-SI" w:eastAsia="sr-Latn-CS"/>
        </w:rPr>
        <w:t>arci 747</w:t>
      </w:r>
      <w:r w:rsidRPr="00773225">
        <w:rPr>
          <w:rFonts w:eastAsia="Times New Roman" w:cs="Arial"/>
          <w:sz w:val="24"/>
          <w:szCs w:val="24"/>
          <w:lang w:val="sl-SI" w:eastAsia="sr-Latn-CS"/>
        </w:rPr>
        <w:t>.</w:t>
      </w:r>
      <w:r w:rsidR="00D15B61">
        <w:rPr>
          <w:rFonts w:eastAsia="Times New Roman" w:cs="Arial"/>
          <w:sz w:val="24"/>
          <w:szCs w:val="24"/>
          <w:lang w:val="sl-SI" w:eastAsia="sr-Latn-CS"/>
        </w:rPr>
        <w:t xml:space="preserve"> Potrebno je preispitati uslove za ostvarivanje ovog prava </w:t>
      </w:r>
      <w:r w:rsidR="00D15B61">
        <w:rPr>
          <w:rFonts w:eastAsia="Times New Roman" w:cs="Arial"/>
          <w:sz w:val="24"/>
          <w:szCs w:val="24"/>
        </w:rPr>
        <w:t>zbog činjenice</w:t>
      </w:r>
      <w:r w:rsidR="00D15B61" w:rsidRPr="00773225">
        <w:rPr>
          <w:rFonts w:eastAsia="Times New Roman" w:cs="Arial"/>
          <w:sz w:val="24"/>
          <w:szCs w:val="24"/>
        </w:rPr>
        <w:t xml:space="preserve"> </w:t>
      </w:r>
      <w:r w:rsidRPr="00773225">
        <w:rPr>
          <w:rFonts w:eastAsia="Times New Roman" w:cs="Arial"/>
          <w:sz w:val="24"/>
          <w:szCs w:val="24"/>
        </w:rPr>
        <w:t xml:space="preserve">da se omogućava ostvarivanje </w:t>
      </w:r>
      <w:r w:rsidR="00D15B61">
        <w:rPr>
          <w:rFonts w:eastAsia="Times New Roman" w:cs="Arial"/>
          <w:sz w:val="24"/>
          <w:szCs w:val="24"/>
        </w:rPr>
        <w:t xml:space="preserve">ovog </w:t>
      </w:r>
      <w:r w:rsidRPr="00773225">
        <w:rPr>
          <w:rFonts w:eastAsia="Times New Roman" w:cs="Arial"/>
          <w:sz w:val="24"/>
          <w:szCs w:val="24"/>
        </w:rPr>
        <w:t>prava i u situacijama kada roditelj i k</w:t>
      </w:r>
      <w:r w:rsidR="00017587">
        <w:rPr>
          <w:rFonts w:eastAsia="Times New Roman" w:cs="Arial"/>
          <w:sz w:val="24"/>
          <w:szCs w:val="24"/>
        </w:rPr>
        <w:t>orisnik/korisnica</w:t>
      </w:r>
      <w:r w:rsidRPr="00773225">
        <w:rPr>
          <w:rFonts w:eastAsia="Times New Roman" w:cs="Arial"/>
          <w:sz w:val="24"/>
          <w:szCs w:val="24"/>
        </w:rPr>
        <w:t xml:space="preserve"> lične invalidnine ne čine zajednicu življenja</w:t>
      </w:r>
      <w:r w:rsidR="00271CE6">
        <w:rPr>
          <w:rFonts w:eastAsia="Times New Roman" w:cs="Arial"/>
          <w:sz w:val="24"/>
          <w:szCs w:val="24"/>
        </w:rPr>
        <w:t>.</w:t>
      </w:r>
      <w:r w:rsidRPr="00773225">
        <w:rPr>
          <w:rFonts w:eastAsia="Times New Roman" w:cs="Arial"/>
          <w:sz w:val="24"/>
          <w:szCs w:val="24"/>
        </w:rPr>
        <w:t xml:space="preserve"> </w:t>
      </w:r>
    </w:p>
    <w:p w14:paraId="02A9D567" w14:textId="77777777" w:rsidR="00F509B6" w:rsidRDefault="00F509B6" w:rsidP="00780738">
      <w:pPr>
        <w:jc w:val="both"/>
        <w:rPr>
          <w:rFonts w:eastAsia="Times New Roman" w:cs="Arial"/>
          <w:sz w:val="24"/>
          <w:szCs w:val="24"/>
        </w:rPr>
      </w:pPr>
    </w:p>
    <w:p w14:paraId="486C8AC9" w14:textId="77777777" w:rsidR="00F509B6" w:rsidRDefault="00F509B6" w:rsidP="00780738">
      <w:pPr>
        <w:jc w:val="both"/>
        <w:rPr>
          <w:rFonts w:eastAsia="Times New Roman" w:cs="Arial"/>
          <w:i/>
          <w:iCs/>
          <w:sz w:val="24"/>
          <w:szCs w:val="24"/>
          <w:u w:val="single"/>
          <w:lang w:val="sl-SI" w:eastAsia="sr-Latn-CS"/>
        </w:rPr>
      </w:pPr>
      <w:r w:rsidRPr="00F509B6">
        <w:rPr>
          <w:rFonts w:eastAsia="Times New Roman" w:cs="Arial"/>
          <w:i/>
          <w:iCs/>
          <w:sz w:val="24"/>
          <w:szCs w:val="24"/>
          <w:u w:val="single"/>
          <w:lang w:val="sl-SI" w:eastAsia="sr-Latn-CS"/>
        </w:rPr>
        <w:t>Problemi vezani za materijalna davanja iz socijalne zaštite:</w:t>
      </w:r>
      <w:r>
        <w:rPr>
          <w:rFonts w:eastAsia="Times New Roman" w:cs="Arial"/>
          <w:i/>
          <w:iCs/>
          <w:sz w:val="24"/>
          <w:szCs w:val="24"/>
          <w:u w:val="single"/>
          <w:lang w:val="sl-SI" w:eastAsia="sr-Latn-CS"/>
        </w:rPr>
        <w:t xml:space="preserve"> </w:t>
      </w:r>
    </w:p>
    <w:p w14:paraId="07152DF9" w14:textId="77777777" w:rsidR="00F509B6" w:rsidRDefault="00F509B6" w:rsidP="00780738">
      <w:pPr>
        <w:jc w:val="both"/>
        <w:rPr>
          <w:rFonts w:eastAsia="Times New Roman" w:cs="Arial"/>
          <w:i/>
          <w:iCs/>
          <w:sz w:val="24"/>
          <w:szCs w:val="24"/>
          <w:u w:val="single"/>
          <w:lang w:val="sl-SI" w:eastAsia="sr-Latn-CS"/>
        </w:rPr>
      </w:pPr>
    </w:p>
    <w:p w14:paraId="5291519E" w14:textId="77777777" w:rsidR="00F509B6" w:rsidRPr="00F509B6" w:rsidRDefault="008110F6" w:rsidP="00780738">
      <w:pPr>
        <w:jc w:val="both"/>
        <w:rPr>
          <w:rFonts w:eastAsia="Times New Roman" w:cs="Arial"/>
          <w:sz w:val="24"/>
          <w:szCs w:val="24"/>
          <w:lang w:val="sl-SI" w:eastAsia="sr-Latn-CS"/>
        </w:rPr>
      </w:pPr>
      <w:r>
        <w:rPr>
          <w:rFonts w:eastAsia="Times New Roman" w:cs="Arial"/>
          <w:sz w:val="24"/>
          <w:szCs w:val="24"/>
          <w:lang w:val="sl-SI" w:eastAsia="sr-Latn-CS"/>
        </w:rPr>
        <w:t xml:space="preserve">‒ </w:t>
      </w:r>
      <w:r w:rsidR="00F509B6" w:rsidRPr="00F509B6">
        <w:rPr>
          <w:rFonts w:eastAsia="Times New Roman" w:cs="Arial"/>
          <w:sz w:val="24"/>
          <w:szCs w:val="24"/>
          <w:lang w:val="sl-SI" w:eastAsia="sr-Latn-CS"/>
        </w:rPr>
        <w:t>došlo je do velikog pada procentualnog učešća naknada koje se ostvaruju po socijalno zaštitnim kriterijumima u odnosu na ukupan budžet koji se opredjeljuje za socijalnu i dječju zaštitu zbog propisivanja</w:t>
      </w:r>
      <w:r w:rsidR="00F509B6">
        <w:rPr>
          <w:rFonts w:eastAsia="Times New Roman" w:cs="Arial"/>
          <w:sz w:val="24"/>
          <w:szCs w:val="24"/>
          <w:lang w:val="sl-SI" w:eastAsia="sr-Latn-CS"/>
        </w:rPr>
        <w:t xml:space="preserve"> prava na </w:t>
      </w:r>
      <w:r w:rsidR="00F509B6" w:rsidRPr="00F509B6">
        <w:rPr>
          <w:rFonts w:eastAsia="Times New Roman" w:cs="Arial"/>
          <w:sz w:val="24"/>
          <w:szCs w:val="24"/>
          <w:lang w:val="sl-SI" w:eastAsia="sr-Latn-CS"/>
        </w:rPr>
        <w:t xml:space="preserve">dodatak za djecu za svu djecu, naknada za novorođenčad, kao i povećanje broja  i naknade na osnovu Zakona o obeštećenju bivših korisnica naknade po osnovu rođenja troje ili više djece; </w:t>
      </w:r>
    </w:p>
    <w:p w14:paraId="2BF50207" w14:textId="77777777" w:rsidR="00F509B6" w:rsidRPr="00F509B6" w:rsidRDefault="008110F6" w:rsidP="00F509B6">
      <w:pPr>
        <w:spacing w:line="259" w:lineRule="auto"/>
        <w:jc w:val="both"/>
        <w:rPr>
          <w:rFonts w:eastAsia="Times New Roman" w:cs="Arial"/>
          <w:color w:val="FFFF00"/>
          <w:sz w:val="24"/>
          <w:szCs w:val="24"/>
          <w:lang w:val="sl-SI" w:eastAsia="sr-Latn-CS"/>
        </w:rPr>
      </w:pPr>
      <w:r>
        <w:rPr>
          <w:rFonts w:eastAsia="Times New Roman" w:cs="Arial"/>
          <w:sz w:val="24"/>
          <w:szCs w:val="24"/>
          <w:lang w:val="sl-SI" w:eastAsia="sr-Latn-CS"/>
        </w:rPr>
        <w:t xml:space="preserve">‒ </w:t>
      </w:r>
      <w:r w:rsidR="00F509B6" w:rsidRPr="00780738">
        <w:rPr>
          <w:rFonts w:eastAsia="Times New Roman" w:cs="Arial"/>
          <w:sz w:val="24"/>
          <w:szCs w:val="24"/>
          <w:lang w:val="sl-SI" w:eastAsia="sr-Latn-CS"/>
        </w:rPr>
        <w:t xml:space="preserve">nedovoljan obuhvat </w:t>
      </w:r>
      <w:r w:rsidR="00EB2F1D">
        <w:rPr>
          <w:rFonts w:eastAsia="Times New Roman" w:cs="Arial"/>
          <w:sz w:val="24"/>
          <w:szCs w:val="24"/>
          <w:lang w:val="sl-SI" w:eastAsia="sr-Latn-CS"/>
        </w:rPr>
        <w:t>korisnika/korisnica</w:t>
      </w:r>
      <w:r w:rsidR="00F509B6" w:rsidRPr="00780738">
        <w:rPr>
          <w:rFonts w:eastAsia="Times New Roman" w:cs="Arial"/>
          <w:sz w:val="24"/>
          <w:szCs w:val="24"/>
          <w:lang w:val="sl-SI" w:eastAsia="sr-Latn-CS"/>
        </w:rPr>
        <w:t xml:space="preserve"> i restriktivni uslovi za ostvarivanje prava na MO, pojedina prava nisu dovoljno jasno definisana (npr. povlastice na putovanje lica</w:t>
      </w:r>
      <w:r w:rsidR="00867803">
        <w:rPr>
          <w:rFonts w:eastAsia="Times New Roman" w:cs="Arial"/>
          <w:sz w:val="24"/>
          <w:szCs w:val="24"/>
          <w:lang w:val="sl-SI" w:eastAsia="sr-Latn-CS"/>
        </w:rPr>
        <w:t xml:space="preserve"> s i</w:t>
      </w:r>
      <w:r w:rsidR="00F509B6" w:rsidRPr="00780738">
        <w:rPr>
          <w:rFonts w:eastAsia="Times New Roman" w:cs="Arial"/>
          <w:sz w:val="24"/>
          <w:szCs w:val="24"/>
          <w:lang w:val="sl-SI" w:eastAsia="sr-Latn-CS"/>
        </w:rPr>
        <w:t>nvaliditetom i naknada roditelju ili staratelju korisnika lične invalidnine);</w:t>
      </w:r>
    </w:p>
    <w:p w14:paraId="715B8209" w14:textId="77777777" w:rsidR="00F509B6"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sidR="00F509B6" w:rsidRPr="00F509B6">
        <w:rPr>
          <w:rFonts w:eastAsia="Times New Roman" w:cs="Arial"/>
          <w:sz w:val="24"/>
          <w:szCs w:val="24"/>
          <w:lang w:val="sl-SI" w:eastAsia="sr-Latn-CS"/>
        </w:rPr>
        <w:t xml:space="preserve"> 75% korisnika naknade roditelju ili staratelju korisnika lične invalidnine su žene;</w:t>
      </w:r>
      <w:r w:rsidR="00F509B6" w:rsidRPr="00F509B6">
        <w:rPr>
          <w:rFonts w:eastAsia="Times New Roman" w:cs="Arial"/>
          <w:sz w:val="24"/>
          <w:szCs w:val="24"/>
          <w:vertAlign w:val="superscript"/>
          <w:lang w:val="sl-SI" w:eastAsia="sr-Latn-CS"/>
        </w:rPr>
        <w:footnoteReference w:id="75"/>
      </w:r>
      <w:r w:rsidR="00F509B6" w:rsidRPr="00F509B6">
        <w:rPr>
          <w:rFonts w:eastAsia="Times New Roman" w:cs="Arial"/>
          <w:sz w:val="24"/>
          <w:szCs w:val="24"/>
          <w:lang w:val="sl-SI" w:eastAsia="sr-Latn-CS"/>
        </w:rPr>
        <w:t xml:space="preserve"> </w:t>
      </w:r>
    </w:p>
    <w:p w14:paraId="5E9875A6" w14:textId="77777777" w:rsidR="00F509B6"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sidR="00F509B6" w:rsidRPr="00F509B6">
        <w:rPr>
          <w:rFonts w:eastAsia="Times New Roman" w:cs="Arial"/>
          <w:sz w:val="24"/>
          <w:szCs w:val="24"/>
          <w:lang w:val="sl-SI" w:eastAsia="sr-Latn-CS"/>
        </w:rPr>
        <w:t xml:space="preserve"> </w:t>
      </w:r>
      <w:r w:rsidR="00A71C11">
        <w:rPr>
          <w:rFonts w:eastAsia="Times New Roman" w:cs="Arial"/>
          <w:sz w:val="24"/>
          <w:szCs w:val="24"/>
          <w:lang w:val="sl-SI" w:eastAsia="sr-Latn-CS"/>
        </w:rPr>
        <w:t>nisu propisana</w:t>
      </w:r>
      <w:r w:rsidR="00F509B6" w:rsidRPr="00F509B6">
        <w:rPr>
          <w:rFonts w:eastAsia="Times New Roman" w:cs="Arial"/>
          <w:sz w:val="24"/>
          <w:szCs w:val="24"/>
          <w:lang w:val="sl-SI" w:eastAsia="sr-Latn-CS"/>
        </w:rPr>
        <w:t xml:space="preserve"> materijaln</w:t>
      </w:r>
      <w:r w:rsidR="00A71C11">
        <w:rPr>
          <w:rFonts w:eastAsia="Times New Roman" w:cs="Arial"/>
          <w:sz w:val="24"/>
          <w:szCs w:val="24"/>
          <w:lang w:val="sl-SI" w:eastAsia="sr-Latn-CS"/>
        </w:rPr>
        <w:t>a</w:t>
      </w:r>
      <w:r w:rsidR="00F509B6" w:rsidRPr="00F509B6">
        <w:rPr>
          <w:rFonts w:eastAsia="Times New Roman" w:cs="Arial"/>
          <w:sz w:val="24"/>
          <w:szCs w:val="24"/>
          <w:lang w:val="sl-SI" w:eastAsia="sr-Latn-CS"/>
        </w:rPr>
        <w:t xml:space="preserve"> davanj</w:t>
      </w:r>
      <w:r w:rsidR="00A71C11">
        <w:rPr>
          <w:rFonts w:eastAsia="Times New Roman" w:cs="Arial"/>
          <w:sz w:val="24"/>
          <w:szCs w:val="24"/>
          <w:lang w:val="sl-SI" w:eastAsia="sr-Latn-CS"/>
        </w:rPr>
        <w:t>a</w:t>
      </w:r>
      <w:r w:rsidR="00F509B6" w:rsidRPr="00F509B6">
        <w:rPr>
          <w:rFonts w:eastAsia="Times New Roman" w:cs="Arial"/>
          <w:sz w:val="24"/>
          <w:szCs w:val="24"/>
          <w:lang w:val="sl-SI" w:eastAsia="sr-Latn-CS"/>
        </w:rPr>
        <w:t xml:space="preserve"> za roditelje s invaliditetom;</w:t>
      </w:r>
    </w:p>
    <w:p w14:paraId="19E64E2E" w14:textId="77777777" w:rsid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sidR="00F509B6" w:rsidRPr="00F509B6">
        <w:rPr>
          <w:rFonts w:eastAsia="Times New Roman" w:cs="Arial"/>
          <w:sz w:val="24"/>
          <w:szCs w:val="24"/>
          <w:lang w:val="sl-SI" w:eastAsia="sr-Latn-CS"/>
        </w:rPr>
        <w:t xml:space="preserve"> </w:t>
      </w:r>
      <w:r w:rsidR="00A71C11">
        <w:rPr>
          <w:rFonts w:eastAsia="Times New Roman" w:cs="Arial"/>
          <w:sz w:val="24"/>
          <w:szCs w:val="24"/>
          <w:lang w:val="sl-SI" w:eastAsia="sr-Latn-CS"/>
        </w:rPr>
        <w:t xml:space="preserve">kašnjenje u </w:t>
      </w:r>
      <w:r w:rsidR="00F509B6" w:rsidRPr="00F509B6">
        <w:rPr>
          <w:rFonts w:eastAsia="Times New Roman" w:cs="Arial"/>
          <w:sz w:val="24"/>
          <w:szCs w:val="24"/>
          <w:lang w:val="sl-SI" w:eastAsia="sr-Latn-CS"/>
        </w:rPr>
        <w:t>odlučivanj</w:t>
      </w:r>
      <w:r w:rsidR="00A71C11">
        <w:rPr>
          <w:rFonts w:eastAsia="Times New Roman" w:cs="Arial"/>
          <w:sz w:val="24"/>
          <w:szCs w:val="24"/>
          <w:lang w:val="sl-SI" w:eastAsia="sr-Latn-CS"/>
        </w:rPr>
        <w:t>u</w:t>
      </w:r>
      <w:r w:rsidR="00F509B6" w:rsidRPr="00F509B6">
        <w:rPr>
          <w:rFonts w:eastAsia="Times New Roman" w:cs="Arial"/>
          <w:sz w:val="24"/>
          <w:szCs w:val="24"/>
          <w:lang w:val="sl-SI" w:eastAsia="sr-Latn-CS"/>
        </w:rPr>
        <w:t xml:space="preserve"> po zahtjevima i žalbama za ostvarivanje prava na MO, ličnu invalidninu, dodatak za njegu i pomoć i </w:t>
      </w:r>
      <w:r w:rsidR="00A71C11">
        <w:rPr>
          <w:rFonts w:eastAsia="Times New Roman" w:cs="Arial"/>
          <w:sz w:val="24"/>
          <w:szCs w:val="24"/>
          <w:lang w:val="sl-SI" w:eastAsia="sr-Latn-CS"/>
        </w:rPr>
        <w:t>rad</w:t>
      </w:r>
      <w:r w:rsidR="004C5D23">
        <w:rPr>
          <w:rFonts w:eastAsia="Times New Roman" w:cs="Arial"/>
          <w:sz w:val="24"/>
          <w:szCs w:val="24"/>
          <w:lang w:val="sl-SI" w:eastAsia="sr-Latn-CS"/>
        </w:rPr>
        <w:t xml:space="preserve"> s p</w:t>
      </w:r>
      <w:r w:rsidR="00A71C11">
        <w:rPr>
          <w:rFonts w:eastAsia="Times New Roman" w:cs="Arial"/>
          <w:sz w:val="24"/>
          <w:szCs w:val="24"/>
          <w:lang w:val="sl-SI" w:eastAsia="sr-Latn-CS"/>
        </w:rPr>
        <w:t>olovinom punog radnog vremena;</w:t>
      </w:r>
    </w:p>
    <w:p w14:paraId="3351EB44" w14:textId="77777777" w:rsidR="00A71C11"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sidR="00A71C11">
        <w:rPr>
          <w:rFonts w:eastAsia="Times New Roman" w:cs="Arial"/>
          <w:sz w:val="24"/>
          <w:szCs w:val="24"/>
          <w:lang w:val="sl-SI" w:eastAsia="sr-Latn-CS"/>
        </w:rPr>
        <w:t xml:space="preserve"> odlučivanje po zahtjevima </w:t>
      </w:r>
      <w:r w:rsidR="00A71C11" w:rsidRPr="00A71C11">
        <w:rPr>
          <w:rFonts w:eastAsia="Times New Roman" w:cs="Arial"/>
          <w:sz w:val="24"/>
          <w:szCs w:val="24"/>
          <w:lang w:val="sl-SI" w:eastAsia="sr-Latn-CS"/>
        </w:rPr>
        <w:t>ostvarivanje prava na MO, ličnu invalidninu, dodatak za njegu i pomoć i rad</w:t>
      </w:r>
      <w:r w:rsidR="004C5D23">
        <w:rPr>
          <w:rFonts w:eastAsia="Times New Roman" w:cs="Arial"/>
          <w:sz w:val="24"/>
          <w:szCs w:val="24"/>
          <w:lang w:val="sl-SI" w:eastAsia="sr-Latn-CS"/>
        </w:rPr>
        <w:t xml:space="preserve"> s p</w:t>
      </w:r>
      <w:r w:rsidR="00A71C11" w:rsidRPr="00A71C11">
        <w:rPr>
          <w:rFonts w:eastAsia="Times New Roman" w:cs="Arial"/>
          <w:sz w:val="24"/>
          <w:szCs w:val="24"/>
          <w:lang w:val="sl-SI" w:eastAsia="sr-Latn-CS"/>
        </w:rPr>
        <w:t>olovinom punog radn</w:t>
      </w:r>
      <w:r w:rsidR="00A71C11">
        <w:rPr>
          <w:rFonts w:eastAsia="Times New Roman" w:cs="Arial"/>
          <w:sz w:val="24"/>
          <w:szCs w:val="24"/>
          <w:lang w:val="sl-SI" w:eastAsia="sr-Latn-CS"/>
        </w:rPr>
        <w:t>o</w:t>
      </w:r>
      <w:r w:rsidR="00A71C11" w:rsidRPr="00A71C11">
        <w:rPr>
          <w:rFonts w:eastAsia="Times New Roman" w:cs="Arial"/>
          <w:sz w:val="24"/>
          <w:szCs w:val="24"/>
          <w:lang w:val="sl-SI" w:eastAsia="sr-Latn-CS"/>
        </w:rPr>
        <w:t>g vremena</w:t>
      </w:r>
      <w:r w:rsidR="00A71C11">
        <w:rPr>
          <w:rFonts w:eastAsia="Times New Roman" w:cs="Arial"/>
          <w:sz w:val="24"/>
          <w:szCs w:val="24"/>
          <w:lang w:val="sl-SI" w:eastAsia="sr-Latn-CS"/>
        </w:rPr>
        <w:t xml:space="preserve"> se i dalje zasniva na medicinskom modelu;</w:t>
      </w:r>
    </w:p>
    <w:p w14:paraId="68BB5E27" w14:textId="77777777" w:rsidR="00F509B6"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Pr>
          <w:rFonts w:eastAsia="Times New Roman" w:cs="Arial"/>
          <w:sz w:val="24"/>
          <w:szCs w:val="24"/>
          <w:lang w:val="sl-SI" w:eastAsia="sr-Latn-CS"/>
        </w:rPr>
        <w:t xml:space="preserve"> </w:t>
      </w:r>
      <w:r w:rsidR="00F509B6" w:rsidRPr="00F509B6">
        <w:rPr>
          <w:rFonts w:eastAsia="Times New Roman" w:cs="Arial"/>
          <w:sz w:val="24"/>
          <w:szCs w:val="24"/>
          <w:lang w:val="sl-SI" w:eastAsia="sr-Latn-CS"/>
        </w:rPr>
        <w:t>neadekvatno propisan način usklađivanja naknada, imajući u vidu da postojeći metod ne prati u dovoljnoj mjeri rast zarada i troškova života;</w:t>
      </w:r>
    </w:p>
    <w:p w14:paraId="7717DED3" w14:textId="77777777" w:rsidR="00F509B6"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Pr>
          <w:rFonts w:eastAsia="Times New Roman" w:cs="Arial"/>
          <w:sz w:val="24"/>
          <w:szCs w:val="24"/>
          <w:lang w:val="sl-SI" w:eastAsia="sr-Latn-CS"/>
        </w:rPr>
        <w:t xml:space="preserve"> </w:t>
      </w:r>
      <w:r w:rsidR="00F509B6" w:rsidRPr="00F509B6">
        <w:rPr>
          <w:rFonts w:eastAsia="Times New Roman" w:cs="Arial"/>
          <w:sz w:val="24"/>
          <w:szCs w:val="24"/>
          <w:lang w:val="sl-SI" w:eastAsia="sr-Latn-CS"/>
        </w:rPr>
        <w:t>nedostatak prostornih i stručnih kapaciteta u centrima za socijalni rad</w:t>
      </w:r>
      <w:r>
        <w:rPr>
          <w:rFonts w:eastAsia="Times New Roman" w:cs="Arial"/>
          <w:sz w:val="24"/>
          <w:szCs w:val="24"/>
          <w:lang w:val="sl-SI" w:eastAsia="sr-Latn-CS"/>
        </w:rPr>
        <w:t>;</w:t>
      </w:r>
    </w:p>
    <w:p w14:paraId="69CC2AA1" w14:textId="77777777" w:rsidR="00F509B6"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sidR="00A71C11">
        <w:rPr>
          <w:rFonts w:eastAsia="Times New Roman" w:cs="Arial"/>
          <w:sz w:val="24"/>
          <w:szCs w:val="24"/>
          <w:lang w:val="sl-SI" w:eastAsia="sr-Latn-CS"/>
        </w:rPr>
        <w:t xml:space="preserve"> fizička </w:t>
      </w:r>
      <w:r w:rsidR="00F509B6" w:rsidRPr="00F509B6">
        <w:rPr>
          <w:rFonts w:eastAsia="Times New Roman" w:cs="Arial"/>
          <w:sz w:val="24"/>
          <w:szCs w:val="24"/>
          <w:lang w:val="sl-SI" w:eastAsia="sr-Latn-CS"/>
        </w:rPr>
        <w:t xml:space="preserve">nepristupačnost u </w:t>
      </w:r>
      <w:r w:rsidR="00A71C11">
        <w:rPr>
          <w:rFonts w:eastAsia="Times New Roman" w:cs="Arial"/>
          <w:sz w:val="24"/>
          <w:szCs w:val="24"/>
          <w:lang w:val="sl-SI" w:eastAsia="sr-Latn-CS"/>
        </w:rPr>
        <w:t>dva</w:t>
      </w:r>
      <w:r w:rsidR="00F509B6" w:rsidRPr="00F509B6">
        <w:rPr>
          <w:rFonts w:eastAsia="Times New Roman" w:cs="Arial"/>
          <w:sz w:val="24"/>
          <w:szCs w:val="24"/>
          <w:lang w:val="sl-SI" w:eastAsia="sr-Latn-CS"/>
        </w:rPr>
        <w:t xml:space="preserve"> CZSR za lica</w:t>
      </w:r>
      <w:r w:rsidR="00867803">
        <w:rPr>
          <w:rFonts w:eastAsia="Times New Roman" w:cs="Arial"/>
          <w:sz w:val="24"/>
          <w:szCs w:val="24"/>
          <w:lang w:val="sl-SI" w:eastAsia="sr-Latn-CS"/>
        </w:rPr>
        <w:t xml:space="preserve"> s i</w:t>
      </w:r>
      <w:r w:rsidR="00F509B6" w:rsidRPr="00F509B6">
        <w:rPr>
          <w:rFonts w:eastAsia="Times New Roman" w:cs="Arial"/>
          <w:sz w:val="24"/>
          <w:szCs w:val="24"/>
          <w:lang w:val="sl-SI" w:eastAsia="sr-Latn-CS"/>
        </w:rPr>
        <w:t xml:space="preserve">nvaliditetom, </w:t>
      </w:r>
      <w:r w:rsidR="00A71C11">
        <w:rPr>
          <w:rFonts w:eastAsia="Times New Roman" w:cs="Arial"/>
          <w:sz w:val="24"/>
          <w:szCs w:val="24"/>
          <w:lang w:val="sl-SI" w:eastAsia="sr-Latn-CS"/>
        </w:rPr>
        <w:t xml:space="preserve">dok u svim CZSR postoji problem u dostavljanju </w:t>
      </w:r>
      <w:r w:rsidR="00F509B6" w:rsidRPr="00F509B6">
        <w:rPr>
          <w:rFonts w:eastAsia="Times New Roman" w:cs="Arial"/>
          <w:sz w:val="24"/>
          <w:szCs w:val="24"/>
          <w:lang w:val="sl-SI" w:eastAsia="sr-Latn-CS"/>
        </w:rPr>
        <w:t>pristupa</w:t>
      </w:r>
      <w:r w:rsidR="00A71C11">
        <w:rPr>
          <w:rFonts w:eastAsia="Times New Roman" w:cs="Arial"/>
          <w:sz w:val="24"/>
          <w:szCs w:val="24"/>
          <w:lang w:val="sl-SI" w:eastAsia="sr-Latn-CS"/>
        </w:rPr>
        <w:t>č</w:t>
      </w:r>
      <w:r w:rsidR="00F509B6" w:rsidRPr="00F509B6">
        <w:rPr>
          <w:rFonts w:eastAsia="Times New Roman" w:cs="Arial"/>
          <w:sz w:val="24"/>
          <w:szCs w:val="24"/>
          <w:lang w:val="sl-SI" w:eastAsia="sr-Latn-CS"/>
        </w:rPr>
        <w:t>nih informacija i pružanj</w:t>
      </w:r>
      <w:r w:rsidR="00A71C11">
        <w:rPr>
          <w:rFonts w:eastAsia="Times New Roman" w:cs="Arial"/>
          <w:sz w:val="24"/>
          <w:szCs w:val="24"/>
          <w:lang w:val="sl-SI" w:eastAsia="sr-Latn-CS"/>
        </w:rPr>
        <w:t>u</w:t>
      </w:r>
      <w:r w:rsidR="00F509B6" w:rsidRPr="00F509B6">
        <w:rPr>
          <w:rFonts w:eastAsia="Times New Roman" w:cs="Arial"/>
          <w:sz w:val="24"/>
          <w:szCs w:val="24"/>
          <w:lang w:val="sl-SI" w:eastAsia="sr-Latn-CS"/>
        </w:rPr>
        <w:t xml:space="preserve"> proceduralnih adaptacija za puno i efektivno učešće lica</w:t>
      </w:r>
      <w:r w:rsidR="00867803">
        <w:rPr>
          <w:rFonts w:eastAsia="Times New Roman" w:cs="Arial"/>
          <w:sz w:val="24"/>
          <w:szCs w:val="24"/>
          <w:lang w:val="sl-SI" w:eastAsia="sr-Latn-CS"/>
        </w:rPr>
        <w:t xml:space="preserve"> s i</w:t>
      </w:r>
      <w:r w:rsidR="00F509B6" w:rsidRPr="00F509B6">
        <w:rPr>
          <w:rFonts w:eastAsia="Times New Roman" w:cs="Arial"/>
          <w:sz w:val="24"/>
          <w:szCs w:val="24"/>
          <w:lang w:val="sl-SI" w:eastAsia="sr-Latn-CS"/>
        </w:rPr>
        <w:t>nvaliditetom</w:t>
      </w:r>
      <w:r>
        <w:rPr>
          <w:rFonts w:eastAsia="Times New Roman" w:cs="Arial"/>
          <w:sz w:val="24"/>
          <w:szCs w:val="24"/>
          <w:lang w:val="sl-SI" w:eastAsia="sr-Latn-CS"/>
        </w:rPr>
        <w:t>;</w:t>
      </w:r>
    </w:p>
    <w:p w14:paraId="588C4491" w14:textId="77777777" w:rsidR="00F509B6" w:rsidRPr="00F509B6" w:rsidRDefault="008110F6" w:rsidP="00780738">
      <w:pPr>
        <w:jc w:val="both"/>
        <w:rPr>
          <w:rFonts w:eastAsia="Times New Roman" w:cs="Arial"/>
          <w:sz w:val="24"/>
          <w:szCs w:val="24"/>
          <w:lang w:val="sl-SI" w:eastAsia="sr-Latn-CS"/>
        </w:rPr>
      </w:pPr>
      <w:r w:rsidRPr="008110F6">
        <w:rPr>
          <w:rFonts w:eastAsia="Times New Roman" w:cs="Arial"/>
          <w:sz w:val="24"/>
          <w:szCs w:val="24"/>
          <w:lang w:val="sl-SI" w:eastAsia="sr-Latn-CS"/>
        </w:rPr>
        <w:t>‒</w:t>
      </w:r>
      <w:r>
        <w:rPr>
          <w:rFonts w:eastAsia="Times New Roman" w:cs="Arial"/>
          <w:sz w:val="24"/>
          <w:szCs w:val="24"/>
          <w:lang w:val="sl-SI" w:eastAsia="sr-Latn-CS"/>
        </w:rPr>
        <w:t xml:space="preserve"> </w:t>
      </w:r>
      <w:r w:rsidR="00F509B6" w:rsidRPr="00F509B6">
        <w:rPr>
          <w:rFonts w:eastAsia="Times New Roman" w:cs="Arial"/>
          <w:sz w:val="24"/>
          <w:szCs w:val="24"/>
          <w:lang w:val="sl-SI" w:eastAsia="sr-Latn-CS"/>
        </w:rPr>
        <w:t>nedovoljna razvijenost prava na materijalna davanja na lokalnom nivou.</w:t>
      </w:r>
    </w:p>
    <w:p w14:paraId="182F65F7" w14:textId="77777777" w:rsidR="00D855AC" w:rsidRPr="00D855AC" w:rsidRDefault="00D855AC" w:rsidP="00D855AC">
      <w:pPr>
        <w:jc w:val="both"/>
        <w:rPr>
          <w:rFonts w:eastAsia="Times New Roman" w:cs="Arial"/>
          <w:sz w:val="24"/>
          <w:szCs w:val="24"/>
          <w:lang w:val="sr-Latn-ME"/>
        </w:rPr>
      </w:pPr>
    </w:p>
    <w:p w14:paraId="6D676ECC" w14:textId="77777777" w:rsidR="00133DF8" w:rsidRPr="00F96844" w:rsidRDefault="00133DF8" w:rsidP="00780738">
      <w:pPr>
        <w:autoSpaceDE w:val="0"/>
        <w:autoSpaceDN w:val="0"/>
        <w:adjustRightInd w:val="0"/>
        <w:jc w:val="both"/>
        <w:rPr>
          <w:rFonts w:eastAsia="Times New Roman" w:cs="Arial"/>
          <w:sz w:val="24"/>
          <w:szCs w:val="24"/>
          <w:lang w:val="sr-Latn-ME" w:eastAsia="sr-Latn-CS"/>
        </w:rPr>
      </w:pPr>
      <w:bookmarkStart w:id="80" w:name="_Toc172541307"/>
      <w:r w:rsidRPr="00F96844">
        <w:rPr>
          <w:rStyle w:val="Heading3Char"/>
          <w:sz w:val="24"/>
          <w:lang w:val="sr-Latn-ME"/>
        </w:rPr>
        <w:t>2.3.2. Osnovna materijalna davanja u dječjoj zaštiti</w:t>
      </w:r>
      <w:bookmarkEnd w:id="80"/>
      <w:r w:rsidRPr="00F96844">
        <w:rPr>
          <w:rFonts w:eastAsia="Times New Roman" w:cs="Arial"/>
          <w:b/>
          <w:sz w:val="24"/>
          <w:szCs w:val="24"/>
          <w:lang w:val="sr-Latn-ME" w:eastAsia="sr-Latn-CS"/>
        </w:rPr>
        <w:t xml:space="preserve"> su</w:t>
      </w:r>
      <w:r w:rsidRPr="00F96844">
        <w:rPr>
          <w:rFonts w:eastAsia="Times New Roman" w:cs="Arial"/>
          <w:sz w:val="24"/>
          <w:szCs w:val="24"/>
          <w:lang w:val="sr-Latn-ME" w:eastAsia="sr-Latn-CS"/>
        </w:rPr>
        <w:t>: naknada za novor</w:t>
      </w:r>
      <w:r w:rsidR="008110F6">
        <w:rPr>
          <w:rFonts w:eastAsia="Times New Roman" w:cs="Arial"/>
          <w:sz w:val="24"/>
          <w:szCs w:val="24"/>
          <w:lang w:val="sr-Latn-ME" w:eastAsia="sr-Latn-CS"/>
        </w:rPr>
        <w:t>o</w:t>
      </w:r>
      <w:r w:rsidRPr="00F96844">
        <w:rPr>
          <w:rFonts w:eastAsia="Times New Roman" w:cs="Arial"/>
          <w:sz w:val="24"/>
          <w:szCs w:val="24"/>
          <w:lang w:val="sr-Latn-ME" w:eastAsia="sr-Latn-CS"/>
        </w:rPr>
        <w:t>đeno dijete;</w:t>
      </w:r>
      <w:r w:rsidR="00D855AC">
        <w:rPr>
          <w:rFonts w:eastAsia="Times New Roman" w:cs="Arial"/>
          <w:sz w:val="24"/>
          <w:szCs w:val="24"/>
          <w:lang w:val="sr-Latn-ME" w:eastAsia="sr-Latn-CS"/>
        </w:rPr>
        <w:t xml:space="preserve"> </w:t>
      </w:r>
      <w:r w:rsidRPr="00F96844">
        <w:rPr>
          <w:rFonts w:eastAsia="Times New Roman" w:cs="Arial"/>
          <w:sz w:val="24"/>
          <w:szCs w:val="24"/>
          <w:lang w:val="sr-Latn-ME" w:eastAsia="sr-Latn-CS"/>
        </w:rPr>
        <w:t>dodatak za djecu; troškovi ishrane u predškolskim ustanovama;</w:t>
      </w:r>
      <w:r w:rsidR="00D855AC">
        <w:rPr>
          <w:rFonts w:eastAsia="Times New Roman" w:cs="Arial"/>
          <w:sz w:val="24"/>
          <w:szCs w:val="24"/>
          <w:lang w:val="sr-Latn-ME" w:eastAsia="sr-Latn-CS"/>
        </w:rPr>
        <w:t xml:space="preserve"> </w:t>
      </w:r>
      <w:r w:rsidRPr="00F96844">
        <w:rPr>
          <w:rFonts w:eastAsia="Times New Roman" w:cs="Arial"/>
          <w:sz w:val="24"/>
          <w:szCs w:val="24"/>
          <w:lang w:val="sr-Latn-ME" w:eastAsia="sr-Latn-CS"/>
        </w:rPr>
        <w:t>pomoć za vaspitanje i obrazovanje djece i mladih</w:t>
      </w:r>
      <w:r w:rsidR="004C5D23">
        <w:rPr>
          <w:rFonts w:eastAsia="Times New Roman" w:cs="Arial"/>
          <w:sz w:val="24"/>
          <w:szCs w:val="24"/>
          <w:lang w:val="sr-Latn-ME" w:eastAsia="sr-Latn-CS"/>
        </w:rPr>
        <w:t xml:space="preserve"> s p</w:t>
      </w:r>
      <w:r w:rsidRPr="00F96844">
        <w:rPr>
          <w:rFonts w:eastAsia="Times New Roman" w:cs="Arial"/>
          <w:sz w:val="24"/>
          <w:szCs w:val="24"/>
          <w:lang w:val="sr-Latn-ME" w:eastAsia="sr-Latn-CS"/>
        </w:rPr>
        <w:t>osebnim obrazovnim potrebama; refundacija naknade zarade i naknade zarade za porodiljsko, odnosno roditeljsko odsustvo; naknada po osnovu rođenja djeteta;</w:t>
      </w:r>
      <w:r w:rsidR="00D855AC">
        <w:rPr>
          <w:rFonts w:eastAsia="Times New Roman" w:cs="Arial"/>
          <w:sz w:val="24"/>
          <w:szCs w:val="24"/>
          <w:lang w:val="sr-Latn-ME" w:eastAsia="sr-Latn-CS"/>
        </w:rPr>
        <w:t xml:space="preserve"> </w:t>
      </w:r>
      <w:r w:rsidRPr="00F96844">
        <w:rPr>
          <w:rFonts w:eastAsia="Times New Roman" w:cs="Arial"/>
          <w:sz w:val="24"/>
          <w:szCs w:val="24"/>
          <w:lang w:val="sr-Latn-ME" w:eastAsia="sr-Latn-CS"/>
        </w:rPr>
        <w:t>refundacija naknade zarade i naknada zarade za rad</w:t>
      </w:r>
      <w:r w:rsidR="004C5D23">
        <w:rPr>
          <w:rFonts w:eastAsia="Times New Roman" w:cs="Arial"/>
          <w:sz w:val="24"/>
          <w:szCs w:val="24"/>
          <w:lang w:val="sr-Latn-ME" w:eastAsia="sr-Latn-CS"/>
        </w:rPr>
        <w:t xml:space="preserve"> s p</w:t>
      </w:r>
      <w:r w:rsidRPr="00F96844">
        <w:rPr>
          <w:rFonts w:eastAsia="Times New Roman" w:cs="Arial"/>
          <w:sz w:val="24"/>
          <w:szCs w:val="24"/>
          <w:lang w:val="sr-Latn-ME" w:eastAsia="sr-Latn-CS"/>
        </w:rPr>
        <w:t>olovinom punog radnog vremena.</w:t>
      </w:r>
    </w:p>
    <w:p w14:paraId="34127F8C" w14:textId="77777777" w:rsidR="00133DF8" w:rsidRPr="00F96844" w:rsidRDefault="00133DF8" w:rsidP="00780738">
      <w:pPr>
        <w:autoSpaceDE w:val="0"/>
        <w:autoSpaceDN w:val="0"/>
        <w:adjustRightInd w:val="0"/>
        <w:jc w:val="both"/>
        <w:rPr>
          <w:rFonts w:eastAsia="Times New Roman" w:cs="Arial"/>
          <w:i/>
          <w:sz w:val="24"/>
          <w:szCs w:val="24"/>
          <w:lang w:val="sr-Latn-ME" w:eastAsia="sr-Latn-CS"/>
        </w:rPr>
      </w:pPr>
    </w:p>
    <w:p w14:paraId="44B3E604" w14:textId="77777777" w:rsidR="00133DF8"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Naknadu za novorođeno dijete</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može ostvariti jedan od roditelja, usvojilac</w:t>
      </w:r>
      <w:r w:rsidR="00FD1ECD">
        <w:rPr>
          <w:rFonts w:eastAsia="Times New Roman" w:cs="Arial"/>
          <w:sz w:val="24"/>
          <w:szCs w:val="24"/>
          <w:lang w:val="sr-Latn-ME" w:eastAsia="sr-Latn-CS"/>
        </w:rPr>
        <w:t>/</w:t>
      </w:r>
      <w:r w:rsidR="008110F6">
        <w:rPr>
          <w:rFonts w:eastAsia="Times New Roman" w:cs="Arial"/>
          <w:sz w:val="24"/>
          <w:szCs w:val="24"/>
          <w:lang w:val="sr-Latn-ME" w:eastAsia="sr-Latn-CS"/>
        </w:rPr>
        <w:t>usvoji</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w:t>
      </w:r>
      <w:r w:rsidR="00F74583">
        <w:rPr>
          <w:rFonts w:eastAsia="Times New Roman" w:cs="Arial"/>
          <w:sz w:val="24"/>
          <w:szCs w:val="24"/>
          <w:lang w:val="sr-Latn-ME" w:eastAsia="sr-Latn-CS"/>
        </w:rPr>
        <w:t xml:space="preserve"> </w:t>
      </w:r>
      <w:r w:rsidRPr="00F96844">
        <w:rPr>
          <w:rFonts w:eastAsia="Times New Roman" w:cs="Arial"/>
          <w:sz w:val="24"/>
          <w:szCs w:val="24"/>
          <w:lang w:val="sr-Latn-ME" w:eastAsia="sr-Latn-CS"/>
        </w:rPr>
        <w:t>staralac</w:t>
      </w:r>
      <w:r w:rsidR="00FD1ECD">
        <w:rPr>
          <w:rFonts w:eastAsia="Times New Roman" w:cs="Arial"/>
          <w:sz w:val="24"/>
          <w:szCs w:val="24"/>
          <w:lang w:val="sr-Latn-ME" w:eastAsia="sr-Latn-CS"/>
        </w:rPr>
        <w:t>/</w:t>
      </w:r>
      <w:r w:rsidR="008110F6">
        <w:rPr>
          <w:rFonts w:eastAsia="Times New Roman" w:cs="Arial"/>
          <w:sz w:val="24"/>
          <w:szCs w:val="24"/>
          <w:lang w:val="sr-Latn-ME" w:eastAsia="sr-Latn-CS"/>
        </w:rPr>
        <w:t>stara</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 xml:space="preserve"> ili hranitelj</w:t>
      </w:r>
      <w:r w:rsidR="00FD1ECD">
        <w:rPr>
          <w:rFonts w:eastAsia="Times New Roman" w:cs="Arial"/>
          <w:sz w:val="24"/>
          <w:szCs w:val="24"/>
          <w:lang w:val="sr-Latn-ME" w:eastAsia="sr-Latn-CS"/>
        </w:rPr>
        <w:t>/</w:t>
      </w:r>
      <w:r w:rsidR="008110F6">
        <w:rPr>
          <w:rFonts w:eastAsia="Times New Roman" w:cs="Arial"/>
          <w:sz w:val="24"/>
          <w:szCs w:val="24"/>
          <w:lang w:val="sr-Latn-ME" w:eastAsia="sr-Latn-CS"/>
        </w:rPr>
        <w:t>hranitelj</w:t>
      </w:r>
      <w:r w:rsidR="00FD1ECD">
        <w:rPr>
          <w:rFonts w:eastAsia="Times New Roman" w:cs="Arial"/>
          <w:sz w:val="24"/>
          <w:szCs w:val="24"/>
          <w:lang w:val="sr-Latn-ME" w:eastAsia="sr-Latn-CS"/>
        </w:rPr>
        <w:t>ka</w:t>
      </w:r>
      <w:r w:rsidRPr="00F96844">
        <w:rPr>
          <w:rFonts w:eastAsia="Times New Roman" w:cs="Arial"/>
          <w:sz w:val="24"/>
          <w:szCs w:val="24"/>
          <w:lang w:val="sr-Latn-ME" w:eastAsia="sr-Latn-CS"/>
        </w:rPr>
        <w:t xml:space="preserve"> u vidu jednokratne naknade za novorođeno dijete do navršenje jedne godine djeteta. Visina naknade u 2023.</w:t>
      </w:r>
      <w:r w:rsidR="00536AB2">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iznosila je 953.28 eura, a za korisnika</w:t>
      </w:r>
      <w:r w:rsidR="00FD1ECD">
        <w:rPr>
          <w:rFonts w:eastAsia="Times New Roman" w:cs="Arial"/>
          <w:sz w:val="24"/>
          <w:szCs w:val="24"/>
          <w:lang w:val="sr-Latn-ME" w:eastAsia="sr-Latn-CS"/>
        </w:rPr>
        <w:t>/</w:t>
      </w:r>
      <w:r w:rsidR="008110F6">
        <w:rPr>
          <w:rFonts w:eastAsia="Times New Roman" w:cs="Arial"/>
          <w:sz w:val="24"/>
          <w:szCs w:val="24"/>
          <w:lang w:val="sr-Latn-ME" w:eastAsia="sr-Latn-CS"/>
        </w:rPr>
        <w:t>korisni</w:t>
      </w:r>
      <w:r w:rsidR="00FD1ECD">
        <w:rPr>
          <w:rFonts w:eastAsia="Times New Roman" w:cs="Arial"/>
          <w:sz w:val="24"/>
          <w:szCs w:val="24"/>
          <w:lang w:val="sr-Latn-ME" w:eastAsia="sr-Latn-CS"/>
        </w:rPr>
        <w:t>cu</w:t>
      </w:r>
      <w:r w:rsidRPr="00F96844">
        <w:rPr>
          <w:rFonts w:eastAsia="Times New Roman" w:cs="Arial"/>
          <w:sz w:val="24"/>
          <w:szCs w:val="24"/>
          <w:lang w:val="sr-Latn-ME" w:eastAsia="sr-Latn-CS"/>
        </w:rPr>
        <w:t xml:space="preserve"> materijalnog obezbjeđenja 1059,20 eura. </w:t>
      </w:r>
      <w:r w:rsidRPr="0041262D">
        <w:rPr>
          <w:rFonts w:eastAsia="Times New Roman" w:cs="Arial"/>
          <w:sz w:val="24"/>
          <w:szCs w:val="24"/>
          <w:lang w:val="sr-Latn-ME" w:eastAsia="sr-Latn-CS"/>
        </w:rPr>
        <w:t>Ukupno u 2023</w:t>
      </w:r>
      <w:r w:rsidRPr="00F96844">
        <w:rPr>
          <w:rFonts w:eastAsia="Times New Roman" w:cs="Arial"/>
          <w:sz w:val="24"/>
          <w:szCs w:val="24"/>
          <w:lang w:val="sr-Latn-ME" w:eastAsia="sr-Latn-CS"/>
        </w:rPr>
        <w:t>.</w:t>
      </w:r>
      <w:r w:rsidR="009E0114">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godini isplaćeno je 11.642.771,67 </w:t>
      </w:r>
      <w:r w:rsidR="00F74583">
        <w:rPr>
          <w:rFonts w:eastAsia="Times New Roman" w:cs="Arial"/>
          <w:sz w:val="24"/>
          <w:szCs w:val="24"/>
          <w:lang w:val="sr-Latn-ME" w:eastAsia="sr-Latn-CS"/>
        </w:rPr>
        <w:t xml:space="preserve">eura, </w:t>
      </w:r>
      <w:r w:rsidRPr="00F96844">
        <w:rPr>
          <w:rFonts w:eastAsia="Times New Roman" w:cs="Arial"/>
          <w:sz w:val="24"/>
          <w:szCs w:val="24"/>
          <w:lang w:val="sr-Latn-ME" w:eastAsia="sr-Latn-CS"/>
        </w:rPr>
        <w:t>a ukupan broj</w:t>
      </w:r>
      <w:r w:rsidR="00E25B9C" w:rsidRPr="00F96844">
        <w:rPr>
          <w:rFonts w:eastAsia="Times New Roman" w:cs="Arial"/>
          <w:sz w:val="24"/>
          <w:szCs w:val="24"/>
          <w:lang w:val="sr-Latn-ME" w:eastAsia="sr-Latn-CS"/>
        </w:rPr>
        <w:t xml:space="preserve"> </w:t>
      </w:r>
      <w:r w:rsidR="00EB2F1D">
        <w:rPr>
          <w:rFonts w:eastAsia="Times New Roman" w:cs="Arial"/>
          <w:sz w:val="24"/>
          <w:szCs w:val="24"/>
          <w:lang w:val="sr-Latn-ME" w:eastAsia="sr-Latn-CS"/>
        </w:rPr>
        <w:t>korisnika/korisnica</w:t>
      </w:r>
      <w:r w:rsidRPr="00F96844">
        <w:rPr>
          <w:rFonts w:eastAsia="Times New Roman" w:cs="Arial"/>
          <w:sz w:val="24"/>
          <w:szCs w:val="24"/>
          <w:lang w:val="sr-Latn-ME" w:eastAsia="sr-Latn-CS"/>
        </w:rPr>
        <w:t xml:space="preserve"> prava je bio 13.581.</w:t>
      </w:r>
      <w:r w:rsidR="00F74583">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U navedeni broj </w:t>
      </w:r>
      <w:r w:rsidR="00EB2F1D">
        <w:rPr>
          <w:rFonts w:eastAsia="Times New Roman" w:cs="Arial"/>
          <w:sz w:val="24"/>
          <w:szCs w:val="24"/>
          <w:lang w:val="sr-Latn-ME" w:eastAsia="sr-Latn-CS"/>
        </w:rPr>
        <w:t>korisnika/korisnica</w:t>
      </w:r>
      <w:r w:rsidRPr="00F96844">
        <w:rPr>
          <w:rFonts w:eastAsia="Times New Roman" w:cs="Arial"/>
          <w:sz w:val="24"/>
          <w:szCs w:val="24"/>
          <w:lang w:val="sr-Latn-ME" w:eastAsia="sr-Latn-CS"/>
        </w:rPr>
        <w:t xml:space="preserve"> i ukupni iznos sredstava uračunati su i korisnici</w:t>
      </w:r>
      <w:r w:rsidR="00FD1ECD">
        <w:rPr>
          <w:rFonts w:eastAsia="Times New Roman" w:cs="Arial"/>
          <w:sz w:val="24"/>
          <w:szCs w:val="24"/>
          <w:lang w:val="sr-Latn-ME" w:eastAsia="sr-Latn-CS"/>
        </w:rPr>
        <w:t>/</w:t>
      </w:r>
      <w:r w:rsidR="008110F6">
        <w:rPr>
          <w:rFonts w:eastAsia="Times New Roman" w:cs="Arial"/>
          <w:sz w:val="24"/>
          <w:szCs w:val="24"/>
          <w:lang w:val="sr-Latn-ME" w:eastAsia="sr-Latn-CS"/>
        </w:rPr>
        <w:t>korisni</w:t>
      </w:r>
      <w:r w:rsidR="00FD1ECD">
        <w:rPr>
          <w:rFonts w:eastAsia="Times New Roman" w:cs="Arial"/>
          <w:sz w:val="24"/>
          <w:szCs w:val="24"/>
          <w:lang w:val="sr-Latn-ME" w:eastAsia="sr-Latn-CS"/>
        </w:rPr>
        <w:t>ce</w:t>
      </w:r>
      <w:r w:rsidRPr="00F96844">
        <w:rPr>
          <w:rFonts w:eastAsia="Times New Roman" w:cs="Arial"/>
          <w:sz w:val="24"/>
          <w:szCs w:val="24"/>
          <w:lang w:val="sr-Latn-ME" w:eastAsia="sr-Latn-CS"/>
        </w:rPr>
        <w:t xml:space="preserve"> iz 2022. godine na ime razlike zbog uvećanih naknada. U 2023.</w:t>
      </w:r>
      <w:r w:rsidR="00CF241E">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novopodnijetih zahtjeva je bilo 7.273</w:t>
      </w:r>
      <w:r w:rsidR="00CF3FCE">
        <w:rPr>
          <w:rFonts w:eastAsia="Times New Roman" w:cs="Arial"/>
          <w:sz w:val="24"/>
          <w:szCs w:val="24"/>
          <w:lang w:val="sr-Latn-ME" w:eastAsia="sr-Latn-CS"/>
        </w:rPr>
        <w:t>.</w:t>
      </w:r>
    </w:p>
    <w:p w14:paraId="448BFE38" w14:textId="77777777" w:rsidR="00133DF8" w:rsidRPr="00F74583" w:rsidRDefault="00133DF8" w:rsidP="00780738">
      <w:pPr>
        <w:autoSpaceDE w:val="0"/>
        <w:autoSpaceDN w:val="0"/>
        <w:adjustRightInd w:val="0"/>
        <w:jc w:val="both"/>
        <w:rPr>
          <w:rFonts w:eastAsia="Times New Roman" w:cs="Arial"/>
          <w:i/>
          <w:color w:val="FF0000"/>
          <w:sz w:val="24"/>
          <w:szCs w:val="24"/>
          <w:u w:val="single"/>
          <w:lang w:val="sr-Latn-ME" w:eastAsia="sr-Latn-CS"/>
        </w:rPr>
      </w:pPr>
    </w:p>
    <w:p w14:paraId="49A49138" w14:textId="77777777" w:rsidR="00133DF8"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Dodatak za djecu</w:t>
      </w:r>
      <w:r w:rsidRPr="00F96844">
        <w:rPr>
          <w:rFonts w:eastAsia="Times New Roman" w:cs="Arial"/>
          <w:sz w:val="24"/>
          <w:szCs w:val="24"/>
          <w:lang w:val="sr-Latn-ME" w:eastAsia="sr-Latn-CS"/>
        </w:rPr>
        <w:t xml:space="preserve"> može ostvariti dijete do 18.</w:t>
      </w:r>
      <w:r w:rsidR="00CF241E">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godine, k</w:t>
      </w:r>
      <w:r w:rsidR="00017587">
        <w:rPr>
          <w:rFonts w:eastAsia="Times New Roman" w:cs="Arial"/>
          <w:sz w:val="24"/>
          <w:szCs w:val="24"/>
          <w:lang w:val="sr-Latn-ME" w:eastAsia="sr-Latn-CS"/>
        </w:rPr>
        <w:t>orisnik/korisnica</w:t>
      </w:r>
      <w:r w:rsidRPr="00F96844">
        <w:rPr>
          <w:rFonts w:eastAsia="Times New Roman" w:cs="Arial"/>
          <w:sz w:val="24"/>
          <w:szCs w:val="24"/>
          <w:lang w:val="sr-Latn-ME" w:eastAsia="sr-Latn-CS"/>
        </w:rPr>
        <w:t xml:space="preserve"> </w:t>
      </w:r>
      <w:r w:rsidR="00701EF5">
        <w:rPr>
          <w:rFonts w:eastAsia="Times New Roman" w:cs="Arial"/>
          <w:sz w:val="24"/>
          <w:szCs w:val="24"/>
          <w:lang w:val="sr-Latn-ME" w:eastAsia="sr-Latn-CS"/>
        </w:rPr>
        <w:t xml:space="preserve">prava na </w:t>
      </w:r>
      <w:r w:rsidRPr="00F96844">
        <w:rPr>
          <w:rFonts w:eastAsia="Times New Roman" w:cs="Arial"/>
          <w:sz w:val="24"/>
          <w:szCs w:val="24"/>
          <w:lang w:val="sr-Latn-ME" w:eastAsia="sr-Latn-CS"/>
        </w:rPr>
        <w:t>materijalno obezbjeđenj</w:t>
      </w:r>
      <w:r w:rsidR="00701EF5">
        <w:rPr>
          <w:rFonts w:eastAsia="Times New Roman" w:cs="Arial"/>
          <w:sz w:val="24"/>
          <w:szCs w:val="24"/>
          <w:lang w:val="sr-Latn-ME" w:eastAsia="sr-Latn-CS"/>
        </w:rPr>
        <w:t>e</w:t>
      </w:r>
      <w:r w:rsidRPr="00F96844">
        <w:rPr>
          <w:rFonts w:eastAsia="Times New Roman" w:cs="Arial"/>
          <w:sz w:val="24"/>
          <w:szCs w:val="24"/>
          <w:lang w:val="sr-Latn-ME" w:eastAsia="sr-Latn-CS"/>
        </w:rPr>
        <w:t>, k</w:t>
      </w:r>
      <w:r w:rsidR="00017587">
        <w:rPr>
          <w:rFonts w:eastAsia="Times New Roman" w:cs="Arial"/>
          <w:sz w:val="24"/>
          <w:szCs w:val="24"/>
          <w:lang w:val="sr-Latn-ME" w:eastAsia="sr-Latn-CS"/>
        </w:rPr>
        <w:t>orisnik/korisnica</w:t>
      </w:r>
      <w:r w:rsidRPr="00F96844">
        <w:rPr>
          <w:rFonts w:eastAsia="Times New Roman" w:cs="Arial"/>
          <w:sz w:val="24"/>
          <w:szCs w:val="24"/>
          <w:lang w:val="sr-Latn-ME" w:eastAsia="sr-Latn-CS"/>
        </w:rPr>
        <w:t xml:space="preserve"> lične invalidnine, k</w:t>
      </w:r>
      <w:r w:rsidR="00017587">
        <w:rPr>
          <w:rFonts w:eastAsia="Times New Roman" w:cs="Arial"/>
          <w:sz w:val="24"/>
          <w:szCs w:val="24"/>
          <w:lang w:val="sr-Latn-ME" w:eastAsia="sr-Latn-CS"/>
        </w:rPr>
        <w:t>orisnik/korisnica</w:t>
      </w:r>
      <w:r w:rsidRPr="00F96844">
        <w:rPr>
          <w:rFonts w:eastAsia="Times New Roman" w:cs="Arial"/>
          <w:sz w:val="24"/>
          <w:szCs w:val="24"/>
          <w:lang w:val="sr-Latn-ME" w:eastAsia="sr-Latn-CS"/>
        </w:rPr>
        <w:t xml:space="preserve"> dodatka za njegu i pomoć, </w:t>
      </w:r>
      <w:r w:rsidR="00701EF5">
        <w:rPr>
          <w:rFonts w:eastAsia="Times New Roman" w:cs="Arial"/>
          <w:sz w:val="24"/>
          <w:szCs w:val="24"/>
          <w:lang w:val="sr-Latn-ME" w:eastAsia="sr-Latn-CS"/>
        </w:rPr>
        <w:t xml:space="preserve">dijete </w:t>
      </w:r>
      <w:r w:rsidRPr="00F96844">
        <w:rPr>
          <w:rFonts w:eastAsia="Times New Roman" w:cs="Arial"/>
          <w:sz w:val="24"/>
          <w:szCs w:val="24"/>
          <w:lang w:val="sr-Latn-ME" w:eastAsia="sr-Latn-CS"/>
        </w:rPr>
        <w:t>bez roditeljskog staranja, čiji je roditelj</w:t>
      </w:r>
      <w:r w:rsidR="00FD1ECD">
        <w:rPr>
          <w:rFonts w:eastAsia="Times New Roman" w:cs="Arial"/>
          <w:sz w:val="24"/>
          <w:szCs w:val="24"/>
          <w:lang w:val="sr-Latn-ME" w:eastAsia="sr-Latn-CS"/>
        </w:rPr>
        <w:t>/</w:t>
      </w:r>
      <w:r w:rsidR="008110F6">
        <w:rPr>
          <w:rFonts w:eastAsia="Times New Roman" w:cs="Arial"/>
          <w:sz w:val="24"/>
          <w:szCs w:val="24"/>
          <w:lang w:val="sr-Latn-ME" w:eastAsia="sr-Latn-CS"/>
        </w:rPr>
        <w:t>roditelj</w:t>
      </w:r>
      <w:r w:rsidR="00FD1ECD">
        <w:rPr>
          <w:rFonts w:eastAsia="Times New Roman" w:cs="Arial"/>
          <w:sz w:val="24"/>
          <w:szCs w:val="24"/>
          <w:lang w:val="sr-Latn-ME" w:eastAsia="sr-Latn-CS"/>
        </w:rPr>
        <w:t>ka</w:t>
      </w:r>
      <w:r w:rsidRPr="00F96844">
        <w:rPr>
          <w:rFonts w:eastAsia="Times New Roman" w:cs="Arial"/>
          <w:sz w:val="24"/>
          <w:szCs w:val="24"/>
          <w:lang w:val="sr-Latn-ME" w:eastAsia="sr-Latn-CS"/>
        </w:rPr>
        <w:t>, usvojilac</w:t>
      </w:r>
      <w:r w:rsidR="00FD1ECD">
        <w:rPr>
          <w:rFonts w:eastAsia="Times New Roman" w:cs="Arial"/>
          <w:sz w:val="24"/>
          <w:szCs w:val="24"/>
          <w:lang w:val="sr-Latn-ME" w:eastAsia="sr-Latn-CS"/>
        </w:rPr>
        <w:t>/</w:t>
      </w:r>
      <w:r w:rsidR="008110F6">
        <w:rPr>
          <w:rFonts w:eastAsia="Times New Roman" w:cs="Arial"/>
          <w:sz w:val="24"/>
          <w:szCs w:val="24"/>
          <w:lang w:val="sr-Latn-ME" w:eastAsia="sr-Latn-CS"/>
        </w:rPr>
        <w:t>usvoji</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 staralac</w:t>
      </w:r>
      <w:r w:rsidR="00FD1ECD">
        <w:rPr>
          <w:rFonts w:eastAsia="Times New Roman" w:cs="Arial"/>
          <w:sz w:val="24"/>
          <w:szCs w:val="24"/>
          <w:lang w:val="sr-Latn-ME" w:eastAsia="sr-Latn-CS"/>
        </w:rPr>
        <w:t>/</w:t>
      </w:r>
      <w:r w:rsidR="008110F6">
        <w:rPr>
          <w:rFonts w:eastAsia="Times New Roman" w:cs="Arial"/>
          <w:sz w:val="24"/>
          <w:szCs w:val="24"/>
          <w:lang w:val="sr-Latn-ME" w:eastAsia="sr-Latn-CS"/>
        </w:rPr>
        <w:t>stara</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 hranitelj</w:t>
      </w:r>
      <w:r w:rsidR="00FD1ECD">
        <w:rPr>
          <w:rFonts w:eastAsia="Times New Roman" w:cs="Arial"/>
          <w:sz w:val="24"/>
          <w:szCs w:val="24"/>
          <w:lang w:val="sr-Latn-ME" w:eastAsia="sr-Latn-CS"/>
        </w:rPr>
        <w:t>/</w:t>
      </w:r>
      <w:r w:rsidR="008110F6">
        <w:rPr>
          <w:rFonts w:eastAsia="Times New Roman" w:cs="Arial"/>
          <w:sz w:val="24"/>
          <w:szCs w:val="24"/>
          <w:lang w:val="sr-Latn-ME" w:eastAsia="sr-Latn-CS"/>
        </w:rPr>
        <w:t>hranitelj</w:t>
      </w:r>
      <w:r w:rsidR="00FD1ECD">
        <w:rPr>
          <w:rFonts w:eastAsia="Times New Roman" w:cs="Arial"/>
          <w:sz w:val="24"/>
          <w:szCs w:val="24"/>
          <w:lang w:val="sr-Latn-ME" w:eastAsia="sr-Latn-CS"/>
        </w:rPr>
        <w:t>ka</w:t>
      </w:r>
      <w:r w:rsidRPr="00F96844">
        <w:rPr>
          <w:rFonts w:eastAsia="Times New Roman" w:cs="Arial"/>
          <w:sz w:val="24"/>
          <w:szCs w:val="24"/>
          <w:lang w:val="sr-Latn-ME" w:eastAsia="sr-Latn-CS"/>
        </w:rPr>
        <w:t>, odnosno lice kome je dijete povjereno na njegu, vaspitanje i obrazovanje</w:t>
      </w:r>
      <w:r w:rsidR="000B2A93">
        <w:rPr>
          <w:rFonts w:eastAsia="Times New Roman" w:cs="Arial"/>
          <w:sz w:val="24"/>
          <w:szCs w:val="24"/>
          <w:lang w:val="sr-Latn-ME" w:eastAsia="sr-Latn-CS"/>
        </w:rPr>
        <w:t>,</w:t>
      </w:r>
      <w:r w:rsidRPr="00F96844">
        <w:rPr>
          <w:rFonts w:eastAsia="Times New Roman" w:cs="Arial"/>
          <w:sz w:val="24"/>
          <w:szCs w:val="24"/>
          <w:lang w:val="sr-Latn-ME" w:eastAsia="sr-Latn-CS"/>
        </w:rPr>
        <w:t xml:space="preserve"> kao</w:t>
      </w:r>
      <w:r w:rsidR="00701EF5">
        <w:rPr>
          <w:rFonts w:eastAsia="Times New Roman" w:cs="Arial"/>
          <w:sz w:val="24"/>
          <w:szCs w:val="24"/>
          <w:lang w:val="sr-Latn-ME" w:eastAsia="sr-Latn-CS"/>
        </w:rPr>
        <w:t xml:space="preserve"> i</w:t>
      </w:r>
      <w:r w:rsidRPr="00F96844">
        <w:rPr>
          <w:rFonts w:eastAsia="Times New Roman" w:cs="Arial"/>
          <w:sz w:val="24"/>
          <w:szCs w:val="24"/>
          <w:lang w:val="sr-Latn-ME" w:eastAsia="sr-Latn-CS"/>
        </w:rPr>
        <w:t xml:space="preserve"> k</w:t>
      </w:r>
      <w:r w:rsidR="00017587">
        <w:rPr>
          <w:rFonts w:eastAsia="Times New Roman" w:cs="Arial"/>
          <w:sz w:val="24"/>
          <w:szCs w:val="24"/>
          <w:lang w:val="sr-Latn-ME" w:eastAsia="sr-Latn-CS"/>
        </w:rPr>
        <w:t>orisnik/korisnica</w:t>
      </w:r>
      <w:r w:rsidRPr="00F96844">
        <w:rPr>
          <w:rFonts w:eastAsia="Times New Roman" w:cs="Arial"/>
          <w:sz w:val="24"/>
          <w:szCs w:val="24"/>
          <w:lang w:val="sr-Latn-ME" w:eastAsia="sr-Latn-CS"/>
        </w:rPr>
        <w:t xml:space="preserve"> materijalnog obezbjeđenja </w:t>
      </w:r>
      <w:r w:rsidR="00701EF5">
        <w:rPr>
          <w:rFonts w:eastAsia="Times New Roman" w:cs="Arial"/>
          <w:sz w:val="24"/>
          <w:szCs w:val="24"/>
          <w:lang w:val="sr-Latn-ME" w:eastAsia="sr-Latn-CS"/>
        </w:rPr>
        <w:t>koji</w:t>
      </w:r>
      <w:r w:rsidR="0099729B">
        <w:rPr>
          <w:rFonts w:eastAsia="Times New Roman" w:cs="Arial"/>
          <w:sz w:val="24"/>
          <w:szCs w:val="24"/>
          <w:lang w:val="sr-Latn-ME" w:eastAsia="sr-Latn-CS"/>
        </w:rPr>
        <w:t>/</w:t>
      </w:r>
      <w:r w:rsidR="008110F6">
        <w:rPr>
          <w:rFonts w:eastAsia="Times New Roman" w:cs="Arial"/>
          <w:sz w:val="24"/>
          <w:szCs w:val="24"/>
          <w:lang w:val="sr-Latn-ME" w:eastAsia="sr-Latn-CS"/>
        </w:rPr>
        <w:t>koj</w:t>
      </w:r>
      <w:r w:rsidR="0099729B">
        <w:rPr>
          <w:rFonts w:eastAsia="Times New Roman" w:cs="Arial"/>
          <w:sz w:val="24"/>
          <w:szCs w:val="24"/>
          <w:lang w:val="sr-Latn-ME" w:eastAsia="sr-Latn-CS"/>
        </w:rPr>
        <w:t>a</w:t>
      </w:r>
      <w:r w:rsidR="00701EF5">
        <w:rPr>
          <w:rFonts w:eastAsia="Times New Roman" w:cs="Arial"/>
          <w:sz w:val="24"/>
          <w:szCs w:val="24"/>
          <w:lang w:val="sr-Latn-ME" w:eastAsia="sr-Latn-CS"/>
        </w:rPr>
        <w:t xml:space="preserve"> je </w:t>
      </w:r>
      <w:r w:rsidRPr="00F96844">
        <w:rPr>
          <w:rFonts w:eastAsia="Times New Roman" w:cs="Arial"/>
          <w:sz w:val="24"/>
          <w:szCs w:val="24"/>
          <w:lang w:val="sr-Latn-ME" w:eastAsia="sr-Latn-CS"/>
        </w:rPr>
        <w:t>zasnovao</w:t>
      </w:r>
      <w:r w:rsidR="0099729B">
        <w:rPr>
          <w:rFonts w:eastAsia="Times New Roman" w:cs="Arial"/>
          <w:sz w:val="24"/>
          <w:szCs w:val="24"/>
          <w:lang w:val="sr-Latn-ME" w:eastAsia="sr-Latn-CS"/>
        </w:rPr>
        <w:t>/</w:t>
      </w:r>
      <w:r w:rsidR="008110F6">
        <w:rPr>
          <w:rFonts w:eastAsia="Times New Roman" w:cs="Arial"/>
          <w:sz w:val="24"/>
          <w:szCs w:val="24"/>
          <w:lang w:val="sr-Latn-ME" w:eastAsia="sr-Latn-CS"/>
        </w:rPr>
        <w:t>zasnova</w:t>
      </w:r>
      <w:r w:rsidR="0099729B">
        <w:rPr>
          <w:rFonts w:eastAsia="Times New Roman" w:cs="Arial"/>
          <w:sz w:val="24"/>
          <w:szCs w:val="24"/>
          <w:lang w:val="sr-Latn-ME" w:eastAsia="sr-Latn-CS"/>
        </w:rPr>
        <w:t>la</w:t>
      </w:r>
      <w:r w:rsidRPr="00F96844">
        <w:rPr>
          <w:rFonts w:eastAsia="Times New Roman" w:cs="Arial"/>
          <w:sz w:val="24"/>
          <w:szCs w:val="24"/>
          <w:lang w:val="sr-Latn-ME" w:eastAsia="sr-Latn-CS"/>
        </w:rPr>
        <w:t xml:space="preserve"> radni odnos na osnovu sporazuma o aktivnom prevazilaženju socijalne situacije. Djeca korisnici lične invalidnine imaju pravo na dodatak za djecu, ukoliko im je rješenjem nadležne komisije za </w:t>
      </w:r>
      <w:r w:rsidR="00CF3FCE">
        <w:rPr>
          <w:rFonts w:eastAsia="Times New Roman" w:cs="Arial"/>
          <w:sz w:val="24"/>
          <w:szCs w:val="24"/>
          <w:lang w:val="sr-Latn-ME" w:eastAsia="sr-Latn-CS"/>
        </w:rPr>
        <w:t xml:space="preserve">usmjeravanje djece na poseban obrazovni program </w:t>
      </w:r>
      <w:r w:rsidRPr="00F96844">
        <w:rPr>
          <w:rFonts w:eastAsia="Times New Roman" w:cs="Arial"/>
          <w:sz w:val="24"/>
          <w:szCs w:val="24"/>
          <w:lang w:val="sr-Latn-ME" w:eastAsia="sr-Latn-CS"/>
        </w:rPr>
        <w:t>utvrđeno da ne mogu pohađati redovan obrazovni proces</w:t>
      </w:r>
      <w:r w:rsidR="00EA56E8">
        <w:rPr>
          <w:rFonts w:eastAsia="Times New Roman" w:cs="Arial"/>
          <w:sz w:val="24"/>
          <w:szCs w:val="24"/>
          <w:lang w:val="sr-Latn-ME" w:eastAsia="sr-Latn-CS"/>
        </w:rPr>
        <w:t>. Navedeno ukazuje na činjenicu da se ovaj uslov mora preispitati.</w:t>
      </w:r>
      <w:r w:rsidRPr="00F96844">
        <w:rPr>
          <w:rFonts w:eastAsia="Times New Roman" w:cs="Arial"/>
          <w:sz w:val="24"/>
          <w:szCs w:val="24"/>
          <w:lang w:val="sr-Latn-ME" w:eastAsia="sr-Latn-CS"/>
        </w:rPr>
        <w:t xml:space="preserve"> Visina dodatka za djecu u 2023.</w:t>
      </w:r>
      <w:r w:rsidR="00536AB2">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iznosila je mjesečno od 30 eura do 73.49 eura. Ukupno u 2023.</w:t>
      </w:r>
      <w:r w:rsidR="00F76435">
        <w:rPr>
          <w:rFonts w:eastAsia="Times New Roman" w:cs="Arial"/>
          <w:sz w:val="24"/>
          <w:szCs w:val="24"/>
          <w:lang w:val="sr-Latn-ME" w:eastAsia="sr-Latn-CS"/>
        </w:rPr>
        <w:t xml:space="preserve"> </w:t>
      </w:r>
      <w:r w:rsidR="00EA56E8">
        <w:rPr>
          <w:rFonts w:eastAsia="Times New Roman" w:cs="Arial"/>
          <w:sz w:val="24"/>
          <w:szCs w:val="24"/>
          <w:lang w:val="sr-Latn-ME" w:eastAsia="sr-Latn-CS"/>
        </w:rPr>
        <w:t xml:space="preserve">godini </w:t>
      </w:r>
      <w:r w:rsidR="007B472A">
        <w:rPr>
          <w:rFonts w:eastAsia="Times New Roman" w:cs="Arial"/>
          <w:sz w:val="24"/>
          <w:szCs w:val="24"/>
          <w:lang w:val="sr-Latn-ME" w:eastAsia="sr-Latn-CS"/>
        </w:rPr>
        <w:t xml:space="preserve">po osnovu </w:t>
      </w:r>
      <w:r w:rsidR="00EA56E8">
        <w:rPr>
          <w:rFonts w:eastAsia="Times New Roman" w:cs="Arial"/>
          <w:sz w:val="24"/>
          <w:szCs w:val="24"/>
          <w:lang w:val="sr-Latn-ME" w:eastAsia="sr-Latn-CS"/>
        </w:rPr>
        <w:t>prav</w:t>
      </w:r>
      <w:r w:rsidR="007B472A">
        <w:rPr>
          <w:rFonts w:eastAsia="Times New Roman" w:cs="Arial"/>
          <w:sz w:val="24"/>
          <w:szCs w:val="24"/>
          <w:lang w:val="sr-Latn-ME" w:eastAsia="sr-Latn-CS"/>
        </w:rPr>
        <w:t>a</w:t>
      </w:r>
      <w:r w:rsidR="00EA56E8">
        <w:rPr>
          <w:rFonts w:eastAsia="Times New Roman" w:cs="Arial"/>
          <w:sz w:val="24"/>
          <w:szCs w:val="24"/>
          <w:lang w:val="sr-Latn-ME" w:eastAsia="sr-Latn-CS"/>
        </w:rPr>
        <w:t xml:space="preserve"> na dječji dodatak</w:t>
      </w:r>
      <w:r w:rsidRPr="00F96844">
        <w:rPr>
          <w:rFonts w:eastAsia="Times New Roman" w:cs="Arial"/>
          <w:sz w:val="24"/>
          <w:szCs w:val="24"/>
          <w:lang w:val="sr-Latn-ME" w:eastAsia="sr-Latn-CS"/>
        </w:rPr>
        <w:t xml:space="preserve"> isplaćeno je 51.258.878,00 eura</w:t>
      </w:r>
      <w:r w:rsidR="006915C6">
        <w:rPr>
          <w:rFonts w:eastAsia="Times New Roman" w:cs="Arial"/>
          <w:sz w:val="24"/>
          <w:szCs w:val="24"/>
          <w:lang w:val="sr-Latn-ME" w:eastAsia="sr-Latn-CS"/>
        </w:rPr>
        <w:t>,</w:t>
      </w:r>
      <w:r w:rsidRPr="00F96844">
        <w:rPr>
          <w:rFonts w:eastAsia="Times New Roman" w:cs="Arial"/>
          <w:sz w:val="24"/>
          <w:szCs w:val="24"/>
          <w:lang w:val="sr-Latn-ME" w:eastAsia="sr-Latn-CS"/>
        </w:rPr>
        <w:t xml:space="preserve"> od čega za dodatak za djecu </w:t>
      </w:r>
      <w:r w:rsidR="00EA56E8">
        <w:rPr>
          <w:rFonts w:eastAsia="Times New Roman" w:cs="Arial"/>
          <w:sz w:val="24"/>
          <w:szCs w:val="24"/>
          <w:lang w:val="sr-Latn-ME" w:eastAsia="sr-Latn-CS"/>
        </w:rPr>
        <w:t xml:space="preserve"> korisnike prava na materijaln</w:t>
      </w:r>
      <w:r w:rsidR="007B472A">
        <w:rPr>
          <w:rFonts w:eastAsia="Times New Roman" w:cs="Arial"/>
          <w:sz w:val="24"/>
          <w:szCs w:val="24"/>
          <w:lang w:val="sr-Latn-ME" w:eastAsia="sr-Latn-CS"/>
        </w:rPr>
        <w:t>o obezbjeđenje, dodatak za njegu i pomoć, ličnu invalidninu i djecu bez roditeljskog staranja je isplaćeno</w:t>
      </w:r>
      <w:r w:rsidR="00EA56E8">
        <w:rPr>
          <w:rFonts w:eastAsia="Times New Roman" w:cs="Arial"/>
          <w:sz w:val="24"/>
          <w:szCs w:val="24"/>
          <w:lang w:val="sr-Latn-ME" w:eastAsia="sr-Latn-CS"/>
        </w:rPr>
        <w:t xml:space="preserve"> </w:t>
      </w:r>
      <w:r w:rsidRPr="00F96844">
        <w:rPr>
          <w:rFonts w:eastAsia="Times New Roman" w:cs="Arial"/>
          <w:sz w:val="24"/>
          <w:szCs w:val="24"/>
          <w:lang w:val="sr-Latn-ME" w:eastAsia="sr-Latn-CS"/>
        </w:rPr>
        <w:t>8.002.495 eura</w:t>
      </w:r>
      <w:r w:rsidR="007B472A">
        <w:rPr>
          <w:rFonts w:eastAsia="Times New Roman" w:cs="Arial"/>
          <w:sz w:val="24"/>
          <w:szCs w:val="24"/>
          <w:lang w:val="sr-Latn-ME" w:eastAsia="sr-Latn-CS"/>
        </w:rPr>
        <w:t>,</w:t>
      </w:r>
      <w:r w:rsidRPr="00F96844">
        <w:rPr>
          <w:rFonts w:eastAsia="Times New Roman" w:cs="Arial"/>
          <w:sz w:val="24"/>
          <w:szCs w:val="24"/>
          <w:lang w:val="sr-Latn-ME" w:eastAsia="sr-Latn-CS"/>
        </w:rPr>
        <w:t xml:space="preserve"> a za </w:t>
      </w:r>
      <w:r w:rsidR="00EB2F1D">
        <w:rPr>
          <w:rFonts w:eastAsia="Times New Roman" w:cs="Arial"/>
          <w:sz w:val="24"/>
          <w:szCs w:val="24"/>
          <w:lang w:val="sr-Latn-ME" w:eastAsia="sr-Latn-CS"/>
        </w:rPr>
        <w:t>korisnike/korisnice</w:t>
      </w:r>
      <w:r w:rsidR="00EA56E8">
        <w:rPr>
          <w:rFonts w:eastAsia="Times New Roman" w:cs="Arial"/>
          <w:sz w:val="24"/>
          <w:szCs w:val="24"/>
          <w:lang w:val="sr-Latn-ME" w:eastAsia="sr-Latn-CS"/>
        </w:rPr>
        <w:t xml:space="preserve"> „univerzalnog“ dječjeg dodatka</w:t>
      </w:r>
      <w:r w:rsidR="007B472A">
        <w:rPr>
          <w:rFonts w:eastAsia="Times New Roman" w:cs="Arial"/>
          <w:sz w:val="24"/>
          <w:szCs w:val="24"/>
          <w:lang w:val="sr-Latn-ME" w:eastAsia="sr-Latn-CS"/>
        </w:rPr>
        <w:t xml:space="preserve"> </w:t>
      </w:r>
      <w:r w:rsidRPr="00F96844">
        <w:rPr>
          <w:rFonts w:eastAsia="Times New Roman" w:cs="Arial"/>
          <w:sz w:val="24"/>
          <w:szCs w:val="24"/>
          <w:lang w:val="sr-Latn-ME" w:eastAsia="sr-Latn-CS"/>
        </w:rPr>
        <w:t>43.256.383,00</w:t>
      </w:r>
      <w:r w:rsidR="00566722">
        <w:rPr>
          <w:rFonts w:eastAsia="Times New Roman" w:cs="Arial"/>
          <w:sz w:val="24"/>
          <w:szCs w:val="24"/>
          <w:lang w:val="sr-Latn-ME" w:eastAsia="sr-Latn-CS"/>
        </w:rPr>
        <w:t xml:space="preserve"> eura</w:t>
      </w:r>
      <w:r w:rsidRPr="00F96844">
        <w:rPr>
          <w:rFonts w:eastAsia="Times New Roman" w:cs="Arial"/>
          <w:sz w:val="24"/>
          <w:szCs w:val="24"/>
          <w:lang w:val="sr-Latn-ME" w:eastAsia="sr-Latn-CS"/>
        </w:rPr>
        <w:t xml:space="preserve">. </w:t>
      </w:r>
      <w:r w:rsidR="00566722" w:rsidRPr="00566722">
        <w:rPr>
          <w:rFonts w:eastAsia="Times New Roman" w:cs="Arial"/>
          <w:sz w:val="24"/>
          <w:szCs w:val="24"/>
          <w:lang w:val="sl-SI" w:eastAsia="sr-Latn-CS"/>
        </w:rPr>
        <w:t>Broj nosilaca</w:t>
      </w:r>
      <w:r w:rsidR="0099729B">
        <w:rPr>
          <w:rFonts w:eastAsia="Times New Roman" w:cs="Arial"/>
          <w:sz w:val="24"/>
          <w:szCs w:val="24"/>
          <w:lang w:val="sl-SI" w:eastAsia="sr-Latn-CS"/>
        </w:rPr>
        <w:t>/</w:t>
      </w:r>
      <w:r w:rsidR="000C2F0F">
        <w:rPr>
          <w:rFonts w:eastAsia="Times New Roman" w:cs="Arial"/>
          <w:sz w:val="24"/>
          <w:szCs w:val="24"/>
          <w:lang w:val="sl-SI" w:eastAsia="sr-Latn-CS"/>
        </w:rPr>
        <w:t>nosi</w:t>
      </w:r>
      <w:r w:rsidR="0099729B">
        <w:rPr>
          <w:rFonts w:eastAsia="Times New Roman" w:cs="Arial"/>
          <w:sz w:val="24"/>
          <w:szCs w:val="24"/>
          <w:lang w:val="sl-SI" w:eastAsia="sr-Latn-CS"/>
        </w:rPr>
        <w:t>teljki</w:t>
      </w:r>
      <w:r w:rsidR="00566722" w:rsidRPr="00566722">
        <w:rPr>
          <w:rFonts w:eastAsia="Times New Roman" w:cs="Arial"/>
          <w:sz w:val="24"/>
          <w:szCs w:val="24"/>
          <w:lang w:val="sl-SI" w:eastAsia="sr-Latn-CS"/>
        </w:rPr>
        <w:t xml:space="preserve"> prava za decembar 2023.</w:t>
      </w:r>
      <w:r w:rsidR="00365FB2">
        <w:rPr>
          <w:rFonts w:eastAsia="Times New Roman" w:cs="Arial"/>
          <w:sz w:val="24"/>
          <w:szCs w:val="24"/>
          <w:lang w:val="sl-SI" w:eastAsia="sr-Latn-CS"/>
        </w:rPr>
        <w:t xml:space="preserve"> </w:t>
      </w:r>
      <w:r w:rsidR="00566722" w:rsidRPr="00566722">
        <w:rPr>
          <w:rFonts w:eastAsia="Times New Roman" w:cs="Arial"/>
          <w:sz w:val="24"/>
          <w:szCs w:val="24"/>
          <w:lang w:val="sl-SI" w:eastAsia="sr-Latn-CS"/>
        </w:rPr>
        <w:t xml:space="preserve">godine je bio 5.721 s 11.433 djece, od </w:t>
      </w:r>
      <w:r w:rsidR="00F76435">
        <w:rPr>
          <w:rFonts w:eastAsia="Times New Roman" w:cs="Arial"/>
          <w:sz w:val="24"/>
          <w:szCs w:val="24"/>
          <w:lang w:val="sl-SI" w:eastAsia="sr-Latn-CS"/>
        </w:rPr>
        <w:t>kojih</w:t>
      </w:r>
      <w:r w:rsidR="00566722" w:rsidRPr="00566722">
        <w:rPr>
          <w:rFonts w:eastAsia="Times New Roman" w:cs="Arial"/>
          <w:sz w:val="24"/>
          <w:szCs w:val="24"/>
          <w:lang w:val="sl-SI" w:eastAsia="sr-Latn-CS"/>
        </w:rPr>
        <w:t xml:space="preserve"> je 5.272</w:t>
      </w:r>
      <w:r w:rsidR="00F76435" w:rsidRPr="00F76435">
        <w:rPr>
          <w:rFonts w:eastAsia="Times New Roman" w:cs="Arial"/>
          <w:sz w:val="24"/>
          <w:szCs w:val="24"/>
          <w:lang w:val="sl-SI" w:eastAsia="sr-Latn-CS"/>
        </w:rPr>
        <w:t xml:space="preserve"> </w:t>
      </w:r>
      <w:r w:rsidR="00F76435">
        <w:rPr>
          <w:rFonts w:eastAsia="Times New Roman" w:cs="Arial"/>
          <w:sz w:val="24"/>
          <w:szCs w:val="24"/>
          <w:lang w:val="sl-SI" w:eastAsia="sr-Latn-CS"/>
        </w:rPr>
        <w:t>djevojčica</w:t>
      </w:r>
      <w:r w:rsidR="000C2F0F">
        <w:rPr>
          <w:rFonts w:eastAsia="Times New Roman" w:cs="Arial"/>
          <w:sz w:val="24"/>
          <w:szCs w:val="24"/>
          <w:lang w:val="sl-SI" w:eastAsia="sr-Latn-CS"/>
        </w:rPr>
        <w:t>,</w:t>
      </w:r>
      <w:r w:rsidR="00566722" w:rsidRPr="00566722">
        <w:rPr>
          <w:rFonts w:eastAsia="Times New Roman" w:cs="Arial"/>
          <w:sz w:val="24"/>
          <w:szCs w:val="24"/>
          <w:lang w:val="sl-SI" w:eastAsia="sr-Latn-CS"/>
        </w:rPr>
        <w:t xml:space="preserve"> dok je 6.161 </w:t>
      </w:r>
      <w:r w:rsidR="00566722">
        <w:rPr>
          <w:rFonts w:eastAsia="Times New Roman" w:cs="Arial"/>
          <w:sz w:val="24"/>
          <w:szCs w:val="24"/>
          <w:lang w:val="sl-SI" w:eastAsia="sr-Latn-CS"/>
        </w:rPr>
        <w:t>dječaka</w:t>
      </w:r>
      <w:r w:rsidR="00566722" w:rsidRPr="00566722">
        <w:rPr>
          <w:rFonts w:eastAsia="Times New Roman" w:cs="Arial"/>
          <w:sz w:val="24"/>
          <w:szCs w:val="24"/>
          <w:lang w:val="sl-SI" w:eastAsia="sr-Latn-CS"/>
        </w:rPr>
        <w:t xml:space="preserve">. </w:t>
      </w:r>
      <w:r w:rsidR="00947D63" w:rsidRPr="00947D63">
        <w:rPr>
          <w:rFonts w:eastAsia="Times New Roman" w:cs="Arial"/>
          <w:sz w:val="24"/>
          <w:szCs w:val="24"/>
          <w:lang w:val="sl-SI" w:eastAsia="sr-Latn-CS"/>
        </w:rPr>
        <w:t>Broj nosilaca</w:t>
      </w:r>
      <w:r w:rsidR="0099729B">
        <w:rPr>
          <w:rFonts w:eastAsia="Times New Roman" w:cs="Arial"/>
          <w:sz w:val="24"/>
          <w:szCs w:val="24"/>
          <w:lang w:val="sl-SI" w:eastAsia="sr-Latn-CS"/>
        </w:rPr>
        <w:t>/</w:t>
      </w:r>
      <w:r w:rsidR="000C2F0F">
        <w:rPr>
          <w:rFonts w:eastAsia="Times New Roman" w:cs="Arial"/>
          <w:sz w:val="24"/>
          <w:szCs w:val="24"/>
          <w:lang w:val="sl-SI" w:eastAsia="sr-Latn-CS"/>
        </w:rPr>
        <w:t>nosi</w:t>
      </w:r>
      <w:r w:rsidR="0099729B">
        <w:rPr>
          <w:rFonts w:eastAsia="Times New Roman" w:cs="Arial"/>
          <w:sz w:val="24"/>
          <w:szCs w:val="24"/>
          <w:lang w:val="sl-SI" w:eastAsia="sr-Latn-CS"/>
        </w:rPr>
        <w:t>teljki</w:t>
      </w:r>
      <w:r w:rsidR="00947D63" w:rsidRPr="00947D63">
        <w:rPr>
          <w:rFonts w:eastAsia="Times New Roman" w:cs="Arial"/>
          <w:sz w:val="24"/>
          <w:szCs w:val="24"/>
          <w:lang w:val="sl-SI" w:eastAsia="sr-Latn-CS"/>
        </w:rPr>
        <w:t xml:space="preserve"> prava dodatka za djecu do 18 godina</w:t>
      </w:r>
      <w:r w:rsidR="00947D63">
        <w:rPr>
          <w:rFonts w:eastAsia="Times New Roman" w:cs="Arial"/>
          <w:sz w:val="24"/>
          <w:szCs w:val="24"/>
          <w:lang w:val="sl-SI" w:eastAsia="sr-Latn-CS"/>
        </w:rPr>
        <w:t xml:space="preserve"> u decembru 2023.</w:t>
      </w:r>
      <w:r w:rsidR="00536AB2">
        <w:rPr>
          <w:rFonts w:eastAsia="Times New Roman" w:cs="Arial"/>
          <w:sz w:val="24"/>
          <w:szCs w:val="24"/>
          <w:lang w:val="sl-SI" w:eastAsia="sr-Latn-CS"/>
        </w:rPr>
        <w:t xml:space="preserve"> </w:t>
      </w:r>
      <w:r w:rsidR="00947D63">
        <w:rPr>
          <w:rFonts w:eastAsia="Times New Roman" w:cs="Arial"/>
          <w:sz w:val="24"/>
          <w:szCs w:val="24"/>
          <w:lang w:val="sl-SI" w:eastAsia="sr-Latn-CS"/>
        </w:rPr>
        <w:t>godine</w:t>
      </w:r>
      <w:r w:rsidR="00947D63" w:rsidRPr="00947D63">
        <w:rPr>
          <w:rFonts w:eastAsia="Times New Roman" w:cs="Arial"/>
          <w:sz w:val="24"/>
          <w:szCs w:val="24"/>
          <w:lang w:val="sl-SI" w:eastAsia="sr-Latn-CS"/>
        </w:rPr>
        <w:t xml:space="preserve"> bio je 66.853</w:t>
      </w:r>
      <w:r w:rsidR="000C2F0F">
        <w:rPr>
          <w:rFonts w:eastAsia="Times New Roman" w:cs="Arial"/>
          <w:sz w:val="24"/>
          <w:szCs w:val="24"/>
          <w:lang w:val="sl-SI" w:eastAsia="sr-Latn-CS"/>
        </w:rPr>
        <w:t>,</w:t>
      </w:r>
      <w:r w:rsidR="00947D63" w:rsidRPr="00947D63">
        <w:rPr>
          <w:rFonts w:eastAsia="Times New Roman" w:cs="Arial"/>
          <w:sz w:val="24"/>
          <w:szCs w:val="24"/>
          <w:lang w:val="sl-SI" w:eastAsia="sr-Latn-CS"/>
        </w:rPr>
        <w:t xml:space="preserve"> dok je 119.125 djece primalo ovaj dodatak, od čega 57.535 djevojčica</w:t>
      </w:r>
      <w:r w:rsidR="000C2F0F">
        <w:rPr>
          <w:rFonts w:eastAsia="Times New Roman" w:cs="Arial"/>
          <w:sz w:val="24"/>
          <w:szCs w:val="24"/>
          <w:lang w:val="sl-SI" w:eastAsia="sr-Latn-CS"/>
        </w:rPr>
        <w:t>,</w:t>
      </w:r>
      <w:r w:rsidR="00947D63" w:rsidRPr="00947D63">
        <w:rPr>
          <w:rFonts w:eastAsia="Times New Roman" w:cs="Arial"/>
          <w:sz w:val="24"/>
          <w:szCs w:val="24"/>
          <w:lang w:val="sl-SI" w:eastAsia="sr-Latn-CS"/>
        </w:rPr>
        <w:t xml:space="preserve"> dok je dječaka bilo 61.590.</w:t>
      </w:r>
    </w:p>
    <w:p w14:paraId="4963FA3E" w14:textId="77777777" w:rsidR="00566722" w:rsidRPr="007B472A" w:rsidRDefault="00566722" w:rsidP="00780738">
      <w:pPr>
        <w:autoSpaceDE w:val="0"/>
        <w:autoSpaceDN w:val="0"/>
        <w:adjustRightInd w:val="0"/>
        <w:jc w:val="both"/>
        <w:rPr>
          <w:rFonts w:eastAsia="Times New Roman" w:cs="Arial"/>
          <w:color w:val="FF0000"/>
          <w:sz w:val="24"/>
          <w:szCs w:val="24"/>
          <w:lang w:val="sr-Latn-ME" w:eastAsia="sr-Latn-CS"/>
        </w:rPr>
      </w:pPr>
    </w:p>
    <w:p w14:paraId="1B8401C1" w14:textId="77777777" w:rsidR="00133DF8" w:rsidRPr="00F96844"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 xml:space="preserve">Troškove ishrane u predškolskim ustanovama </w:t>
      </w:r>
      <w:r w:rsidRPr="00F96844">
        <w:rPr>
          <w:rFonts w:eastAsia="Times New Roman" w:cs="Arial"/>
          <w:sz w:val="24"/>
          <w:szCs w:val="24"/>
          <w:lang w:val="sr-Latn-ME" w:eastAsia="sr-Latn-CS"/>
        </w:rPr>
        <w:t>ostvaruju djeca u skladu sa zakonom kojim se uređuje predškolsko vaspitanje i obrazovanje</w:t>
      </w:r>
      <w:r w:rsidR="000B2A93">
        <w:rPr>
          <w:rFonts w:eastAsia="Times New Roman" w:cs="Arial"/>
          <w:sz w:val="24"/>
          <w:szCs w:val="24"/>
          <w:lang w:val="sr-Latn-ME" w:eastAsia="sr-Latn-CS"/>
        </w:rPr>
        <w:t>,</w:t>
      </w:r>
      <w:r w:rsidR="00F4252C">
        <w:rPr>
          <w:rFonts w:eastAsia="Times New Roman" w:cs="Arial"/>
          <w:sz w:val="24"/>
          <w:szCs w:val="24"/>
          <w:lang w:val="sr-Latn-ME" w:eastAsia="sr-Latn-CS"/>
        </w:rPr>
        <w:t xml:space="preserve"> kao i </w:t>
      </w:r>
      <w:r w:rsidR="004A788B">
        <w:rPr>
          <w:rFonts w:eastAsia="Times New Roman" w:cs="Arial"/>
          <w:sz w:val="24"/>
          <w:szCs w:val="24"/>
          <w:lang w:val="sr-Latn-ME" w:eastAsia="sr-Latn-CS"/>
        </w:rPr>
        <w:t xml:space="preserve">sa </w:t>
      </w:r>
      <w:r w:rsidR="00F4252C">
        <w:rPr>
          <w:rFonts w:eastAsia="Times New Roman" w:cs="Arial"/>
          <w:sz w:val="24"/>
          <w:szCs w:val="24"/>
          <w:lang w:val="sr-Latn-ME" w:eastAsia="sr-Latn-CS"/>
        </w:rPr>
        <w:t>Zakonom o SDZ</w:t>
      </w:r>
      <w:r w:rsidR="004A788B">
        <w:rPr>
          <w:rFonts w:eastAsia="Times New Roman" w:cs="Arial"/>
          <w:sz w:val="24"/>
          <w:szCs w:val="24"/>
          <w:lang w:val="sr-Latn-ME" w:eastAsia="sr-Latn-CS"/>
        </w:rPr>
        <w:t xml:space="preserve">. </w:t>
      </w:r>
      <w:r w:rsidRPr="00F96844">
        <w:rPr>
          <w:rFonts w:eastAsia="Times New Roman" w:cs="Arial"/>
          <w:sz w:val="24"/>
          <w:szCs w:val="24"/>
          <w:lang w:val="sr-Latn-ME" w:eastAsia="sr-Latn-CS"/>
        </w:rPr>
        <w:t>Ukupno u 2023.</w:t>
      </w:r>
      <w:r w:rsidR="00566722">
        <w:rPr>
          <w:rFonts w:eastAsia="Times New Roman" w:cs="Arial"/>
          <w:sz w:val="24"/>
          <w:szCs w:val="24"/>
          <w:lang w:val="sr-Latn-ME" w:eastAsia="sr-Latn-CS"/>
        </w:rPr>
        <w:t xml:space="preserve"> godini</w:t>
      </w:r>
      <w:r w:rsidRPr="00F96844">
        <w:rPr>
          <w:rFonts w:eastAsia="Times New Roman" w:cs="Arial"/>
          <w:sz w:val="24"/>
          <w:szCs w:val="24"/>
          <w:lang w:val="sr-Latn-ME" w:eastAsia="sr-Latn-CS"/>
        </w:rPr>
        <w:t xml:space="preserve"> isplaćeno je 243.283,00 </w:t>
      </w:r>
      <w:r w:rsidR="00566722">
        <w:rPr>
          <w:rFonts w:eastAsia="Times New Roman" w:cs="Arial"/>
          <w:sz w:val="24"/>
          <w:szCs w:val="24"/>
          <w:lang w:val="sr-Latn-ME" w:eastAsia="sr-Latn-CS"/>
        </w:rPr>
        <w:t>eura</w:t>
      </w:r>
      <w:r w:rsidRPr="00F96844">
        <w:rPr>
          <w:rFonts w:eastAsia="Times New Roman" w:cs="Arial"/>
          <w:sz w:val="24"/>
          <w:szCs w:val="24"/>
          <w:lang w:val="sr-Latn-ME" w:eastAsia="sr-Latn-CS"/>
        </w:rPr>
        <w:t xml:space="preserve">, a broj </w:t>
      </w:r>
      <w:r w:rsidR="00EB2F1D">
        <w:rPr>
          <w:rFonts w:eastAsia="Times New Roman" w:cs="Arial"/>
          <w:sz w:val="24"/>
          <w:szCs w:val="24"/>
          <w:lang w:val="sr-Latn-ME" w:eastAsia="sr-Latn-CS"/>
        </w:rPr>
        <w:t>korisnika/korisnica</w:t>
      </w:r>
      <w:r w:rsidRPr="00F96844">
        <w:rPr>
          <w:rFonts w:eastAsia="Times New Roman" w:cs="Arial"/>
          <w:sz w:val="24"/>
          <w:szCs w:val="24"/>
          <w:lang w:val="sr-Latn-ME" w:eastAsia="sr-Latn-CS"/>
        </w:rPr>
        <w:t xml:space="preserve"> prava u decembru je bio </w:t>
      </w:r>
      <w:r w:rsidR="00566722">
        <w:rPr>
          <w:rFonts w:eastAsia="Times New Roman" w:cs="Arial"/>
          <w:sz w:val="24"/>
          <w:szCs w:val="24"/>
          <w:lang w:val="sr-Latn-ME" w:eastAsia="sr-Latn-CS"/>
        </w:rPr>
        <w:t>873</w:t>
      </w:r>
      <w:r w:rsidRPr="00F96844">
        <w:rPr>
          <w:rFonts w:eastAsia="Times New Roman" w:cs="Arial"/>
          <w:sz w:val="24"/>
          <w:szCs w:val="24"/>
          <w:lang w:val="sr-Latn-ME" w:eastAsia="sr-Latn-CS"/>
        </w:rPr>
        <w:t>.</w:t>
      </w:r>
      <w:r w:rsidR="007B472A">
        <w:rPr>
          <w:rFonts w:eastAsia="Times New Roman" w:cs="Arial"/>
          <w:sz w:val="24"/>
          <w:szCs w:val="24"/>
          <w:lang w:val="sr-Latn-ME" w:eastAsia="sr-Latn-CS"/>
        </w:rPr>
        <w:t xml:space="preserve"> </w:t>
      </w:r>
    </w:p>
    <w:p w14:paraId="32440BCD" w14:textId="77777777" w:rsidR="00133DF8" w:rsidRPr="00F96844" w:rsidRDefault="00133DF8" w:rsidP="00780738">
      <w:pPr>
        <w:autoSpaceDE w:val="0"/>
        <w:autoSpaceDN w:val="0"/>
        <w:adjustRightInd w:val="0"/>
        <w:jc w:val="both"/>
        <w:rPr>
          <w:rFonts w:eastAsia="Times New Roman" w:cs="Arial"/>
          <w:i/>
          <w:color w:val="FF0000"/>
          <w:sz w:val="24"/>
          <w:szCs w:val="24"/>
          <w:u w:val="single"/>
          <w:lang w:val="sr-Latn-ME" w:eastAsia="sr-Latn-CS"/>
        </w:rPr>
      </w:pPr>
    </w:p>
    <w:p w14:paraId="77858445" w14:textId="77777777" w:rsidR="00133DF8"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Pomoć za vaspitanje i obrazovanje</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djece</w:t>
      </w:r>
      <w:r w:rsidR="004C5D23">
        <w:rPr>
          <w:rFonts w:eastAsia="Times New Roman" w:cs="Arial"/>
          <w:sz w:val="24"/>
          <w:szCs w:val="24"/>
          <w:lang w:val="sr-Latn-ME" w:eastAsia="sr-Latn-CS"/>
        </w:rPr>
        <w:t xml:space="preserve"> s p</w:t>
      </w:r>
      <w:r w:rsidRPr="00F96844">
        <w:rPr>
          <w:rFonts w:eastAsia="Times New Roman" w:cs="Arial"/>
          <w:sz w:val="24"/>
          <w:szCs w:val="24"/>
          <w:lang w:val="sr-Latn-ME" w:eastAsia="sr-Latn-CS"/>
        </w:rPr>
        <w:t>osebnim obrazovnim potrebama imaju djeca i mladi koji su ostvarili pravo na vaspitanje i obrazovanje,</w:t>
      </w:r>
      <w:r w:rsidR="006430F0">
        <w:rPr>
          <w:rFonts w:eastAsia="Times New Roman" w:cs="Arial"/>
          <w:sz w:val="24"/>
          <w:szCs w:val="24"/>
          <w:lang w:val="sr-Latn-ME" w:eastAsia="sr-Latn-CS"/>
        </w:rPr>
        <w:t xml:space="preserve"> </w:t>
      </w:r>
      <w:r w:rsidRPr="00F96844">
        <w:rPr>
          <w:rFonts w:eastAsia="Times New Roman" w:cs="Arial"/>
          <w:sz w:val="24"/>
          <w:szCs w:val="24"/>
          <w:lang w:val="sr-Latn-ME" w:eastAsia="sr-Latn-CS"/>
        </w:rPr>
        <w:t>u skladu</w:t>
      </w:r>
      <w:r w:rsidR="004C5D23">
        <w:rPr>
          <w:rFonts w:eastAsia="Times New Roman" w:cs="Arial"/>
          <w:sz w:val="24"/>
          <w:szCs w:val="24"/>
          <w:lang w:val="sr-Latn-ME" w:eastAsia="sr-Latn-CS"/>
        </w:rPr>
        <w:t xml:space="preserve"> s p</w:t>
      </w:r>
      <w:r w:rsidRPr="00F96844">
        <w:rPr>
          <w:rFonts w:eastAsia="Times New Roman" w:cs="Arial"/>
          <w:sz w:val="24"/>
          <w:szCs w:val="24"/>
          <w:lang w:val="sr-Latn-ME" w:eastAsia="sr-Latn-CS"/>
        </w:rPr>
        <w:t xml:space="preserve">osebnim zakonom. Pomoć obuhvata troškove </w:t>
      </w:r>
      <w:r w:rsidR="007B472A">
        <w:rPr>
          <w:rFonts w:eastAsia="Times New Roman" w:cs="Arial"/>
          <w:sz w:val="24"/>
          <w:szCs w:val="24"/>
          <w:lang w:val="sr-Latn-ME" w:eastAsia="sr-Latn-CS"/>
        </w:rPr>
        <w:t>s</w:t>
      </w:r>
      <w:r w:rsidRPr="00F96844">
        <w:rPr>
          <w:rFonts w:eastAsia="Times New Roman" w:cs="Arial"/>
          <w:sz w:val="24"/>
          <w:szCs w:val="24"/>
          <w:lang w:val="sr-Latn-ME" w:eastAsia="sr-Latn-CS"/>
        </w:rPr>
        <w:t xml:space="preserve">mještaja u ustanovu i troškove prevoza. Po osnovu prevoza </w:t>
      </w:r>
      <w:r w:rsidRPr="00F96844">
        <w:rPr>
          <w:rFonts w:eastAsia="Times New Roman" w:cs="Arial"/>
          <w:sz w:val="24"/>
          <w:szCs w:val="24"/>
          <w:lang w:val="sr-Latn-ME" w:eastAsia="sr-Latn-CS"/>
        </w:rPr>
        <w:lastRenderedPageBreak/>
        <w:t>djece i mladih ukupno u 2023.</w:t>
      </w:r>
      <w:r w:rsidR="006430F0">
        <w:rPr>
          <w:rFonts w:eastAsia="Times New Roman" w:cs="Arial"/>
          <w:sz w:val="24"/>
          <w:szCs w:val="24"/>
          <w:lang w:val="sr-Latn-ME" w:eastAsia="sr-Latn-CS"/>
        </w:rPr>
        <w:t xml:space="preserve"> godini</w:t>
      </w:r>
      <w:r w:rsidRPr="00F96844">
        <w:rPr>
          <w:rFonts w:eastAsia="Times New Roman" w:cs="Arial"/>
          <w:sz w:val="24"/>
          <w:szCs w:val="24"/>
          <w:lang w:val="sr-Latn-ME" w:eastAsia="sr-Latn-CS"/>
        </w:rPr>
        <w:t xml:space="preserve"> isplaćeno je </w:t>
      </w:r>
      <w:r w:rsidR="006430F0">
        <w:rPr>
          <w:rFonts w:eastAsia="Times New Roman" w:cs="Arial"/>
          <w:sz w:val="24"/>
          <w:szCs w:val="24"/>
          <w:lang w:val="sr-Latn-ME" w:eastAsia="sr-Latn-CS"/>
        </w:rPr>
        <w:t>523</w:t>
      </w:r>
      <w:r w:rsidRPr="00F96844">
        <w:rPr>
          <w:rFonts w:eastAsia="Times New Roman" w:cs="Arial"/>
          <w:sz w:val="24"/>
          <w:szCs w:val="24"/>
          <w:lang w:val="sr-Latn-ME" w:eastAsia="sr-Latn-CS"/>
        </w:rPr>
        <w:t>.</w:t>
      </w:r>
      <w:r w:rsidR="006430F0">
        <w:rPr>
          <w:rFonts w:eastAsia="Times New Roman" w:cs="Arial"/>
          <w:sz w:val="24"/>
          <w:szCs w:val="24"/>
          <w:lang w:val="sr-Latn-ME" w:eastAsia="sr-Latn-CS"/>
        </w:rPr>
        <w:t>613</w:t>
      </w:r>
      <w:r w:rsidRPr="00F96844">
        <w:rPr>
          <w:rFonts w:eastAsia="Times New Roman" w:cs="Arial"/>
          <w:sz w:val="24"/>
          <w:szCs w:val="24"/>
          <w:lang w:val="sr-Latn-ME" w:eastAsia="sr-Latn-CS"/>
        </w:rPr>
        <w:t>,</w:t>
      </w:r>
      <w:r w:rsidR="00CB5CB0">
        <w:rPr>
          <w:rFonts w:eastAsia="Times New Roman" w:cs="Arial"/>
          <w:sz w:val="24"/>
          <w:szCs w:val="24"/>
          <w:lang w:val="sr-Latn-ME" w:eastAsia="sr-Latn-CS"/>
        </w:rPr>
        <w:t>53</w:t>
      </w:r>
      <w:r w:rsidRPr="00F96844">
        <w:rPr>
          <w:rFonts w:eastAsia="Times New Roman" w:cs="Arial"/>
          <w:sz w:val="24"/>
          <w:szCs w:val="24"/>
          <w:lang w:val="sr-Latn-ME" w:eastAsia="sr-Latn-CS"/>
        </w:rPr>
        <w:t xml:space="preserve"> </w:t>
      </w:r>
      <w:r w:rsidR="006430F0">
        <w:rPr>
          <w:rFonts w:eastAsia="Times New Roman" w:cs="Arial"/>
          <w:sz w:val="24"/>
          <w:szCs w:val="24"/>
          <w:lang w:val="sr-Latn-ME" w:eastAsia="sr-Latn-CS"/>
        </w:rPr>
        <w:t>eura</w:t>
      </w:r>
      <w:r w:rsidRPr="00F96844">
        <w:rPr>
          <w:rFonts w:eastAsia="Times New Roman" w:cs="Arial"/>
          <w:sz w:val="24"/>
          <w:szCs w:val="24"/>
          <w:lang w:val="sr-Latn-ME" w:eastAsia="sr-Latn-CS"/>
        </w:rPr>
        <w:t xml:space="preserve">, broj </w:t>
      </w:r>
      <w:r w:rsidR="00EB2F1D">
        <w:rPr>
          <w:rFonts w:eastAsia="Times New Roman" w:cs="Arial"/>
          <w:sz w:val="24"/>
          <w:szCs w:val="24"/>
          <w:lang w:val="sr-Latn-ME" w:eastAsia="sr-Latn-CS"/>
        </w:rPr>
        <w:t>korisnika/korisnica</w:t>
      </w:r>
      <w:r w:rsidRPr="00F96844">
        <w:rPr>
          <w:rFonts w:eastAsia="Times New Roman" w:cs="Arial"/>
          <w:sz w:val="24"/>
          <w:szCs w:val="24"/>
          <w:lang w:val="sr-Latn-ME" w:eastAsia="sr-Latn-CS"/>
        </w:rPr>
        <w:t xml:space="preserve"> prava</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je bio </w:t>
      </w:r>
      <w:r w:rsidR="00CB5CB0">
        <w:rPr>
          <w:rFonts w:eastAsia="Times New Roman" w:cs="Arial"/>
          <w:sz w:val="24"/>
          <w:szCs w:val="24"/>
          <w:lang w:val="sr-Latn-ME" w:eastAsia="sr-Latn-CS"/>
        </w:rPr>
        <w:t>511</w:t>
      </w:r>
      <w:r w:rsidRPr="00F96844">
        <w:rPr>
          <w:rFonts w:eastAsia="Times New Roman" w:cs="Arial"/>
          <w:sz w:val="24"/>
          <w:szCs w:val="24"/>
          <w:lang w:val="sr-Latn-ME" w:eastAsia="sr-Latn-CS"/>
        </w:rPr>
        <w:t>.</w:t>
      </w:r>
    </w:p>
    <w:p w14:paraId="5830523C" w14:textId="77777777" w:rsidR="00154B0B" w:rsidRPr="00F96844" w:rsidRDefault="00154B0B" w:rsidP="00780738">
      <w:pPr>
        <w:autoSpaceDE w:val="0"/>
        <w:autoSpaceDN w:val="0"/>
        <w:adjustRightInd w:val="0"/>
        <w:jc w:val="both"/>
        <w:rPr>
          <w:rFonts w:eastAsia="Times New Roman" w:cs="Arial"/>
          <w:sz w:val="24"/>
          <w:szCs w:val="24"/>
          <w:lang w:val="sr-Latn-ME" w:eastAsia="sr-Latn-CS"/>
        </w:rPr>
      </w:pPr>
    </w:p>
    <w:p w14:paraId="50CFBBB6" w14:textId="77777777" w:rsidR="00154B0B" w:rsidRPr="00154B0B" w:rsidRDefault="00154B0B" w:rsidP="00780738">
      <w:pPr>
        <w:jc w:val="both"/>
        <w:rPr>
          <w:rFonts w:cs="Arial"/>
          <w:sz w:val="24"/>
          <w:szCs w:val="24"/>
          <w:lang w:val="sr-Latn-ME"/>
        </w:rPr>
      </w:pPr>
      <w:r w:rsidRPr="00154B0B">
        <w:rPr>
          <w:rFonts w:eastAsia="Times New Roman" w:cs="Arial"/>
          <w:i/>
          <w:sz w:val="24"/>
          <w:szCs w:val="24"/>
          <w:u w:val="single"/>
          <w:lang w:val="sl-SI" w:eastAsia="sr-Latn-CS"/>
        </w:rPr>
        <w:t>Refundaciju naknade zarade za porodiljsko, odnosno roditeljsko odsustvo</w:t>
      </w:r>
      <w:r w:rsidRPr="00154B0B">
        <w:rPr>
          <w:rFonts w:eastAsia="Times New Roman" w:cs="Arial"/>
          <w:sz w:val="24"/>
          <w:szCs w:val="24"/>
          <w:lang w:val="sl-SI" w:eastAsia="sr-Latn-CS"/>
        </w:rPr>
        <w:t xml:space="preserve"> ostvaruje poslodavac po osnovu isplate naknade zarade zaposlenom</w:t>
      </w:r>
      <w:r w:rsidR="0099729B">
        <w:rPr>
          <w:rFonts w:eastAsia="Times New Roman" w:cs="Arial"/>
          <w:sz w:val="24"/>
          <w:szCs w:val="24"/>
          <w:lang w:val="sl-SI" w:eastAsia="sr-Latn-CS"/>
        </w:rPr>
        <w:t>/</w:t>
      </w:r>
      <w:r w:rsidR="000C2F0F">
        <w:rPr>
          <w:rFonts w:eastAsia="Times New Roman" w:cs="Arial"/>
          <w:sz w:val="24"/>
          <w:szCs w:val="24"/>
          <w:lang w:val="sl-SI" w:eastAsia="sr-Latn-CS"/>
        </w:rPr>
        <w:t>zaposlen</w:t>
      </w:r>
      <w:r w:rsidR="0099729B">
        <w:rPr>
          <w:rFonts w:eastAsia="Times New Roman" w:cs="Arial"/>
          <w:sz w:val="24"/>
          <w:szCs w:val="24"/>
          <w:lang w:val="sl-SI" w:eastAsia="sr-Latn-CS"/>
        </w:rPr>
        <w:t>oj</w:t>
      </w:r>
      <w:r w:rsidRPr="00154B0B">
        <w:rPr>
          <w:rFonts w:eastAsia="Times New Roman" w:cs="Arial"/>
          <w:sz w:val="24"/>
          <w:szCs w:val="24"/>
          <w:lang w:val="sl-SI" w:eastAsia="sr-Latn-CS"/>
        </w:rPr>
        <w:t xml:space="preserve"> za porodiljsko,</w:t>
      </w:r>
      <w:r w:rsidR="000C2F0F">
        <w:rPr>
          <w:rFonts w:eastAsia="Times New Roman" w:cs="Arial"/>
          <w:sz w:val="24"/>
          <w:szCs w:val="24"/>
          <w:lang w:val="sl-SI" w:eastAsia="sr-Latn-CS"/>
        </w:rPr>
        <w:t xml:space="preserve"> </w:t>
      </w:r>
      <w:r w:rsidRPr="00154B0B">
        <w:rPr>
          <w:rFonts w:eastAsia="Times New Roman" w:cs="Arial"/>
          <w:sz w:val="24"/>
          <w:szCs w:val="24"/>
          <w:lang w:val="sl-SI" w:eastAsia="sr-Latn-CS"/>
        </w:rPr>
        <w:t>odnosno roditeljsko odsustvo. Ukupno u 2023.</w:t>
      </w:r>
      <w:r w:rsidR="004E712F">
        <w:rPr>
          <w:rFonts w:eastAsia="Times New Roman" w:cs="Arial"/>
          <w:sz w:val="24"/>
          <w:szCs w:val="24"/>
          <w:lang w:val="sl-SI" w:eastAsia="sr-Latn-CS"/>
        </w:rPr>
        <w:t xml:space="preserve"> godini</w:t>
      </w:r>
      <w:r w:rsidRPr="00154B0B">
        <w:rPr>
          <w:rFonts w:eastAsia="Times New Roman" w:cs="Arial"/>
          <w:sz w:val="24"/>
          <w:szCs w:val="24"/>
          <w:lang w:val="sl-SI" w:eastAsia="sr-Latn-CS"/>
        </w:rPr>
        <w:t xml:space="preserve"> isplaćeno je 19.125.054,25</w:t>
      </w:r>
      <w:r w:rsidR="004E712F">
        <w:rPr>
          <w:rFonts w:eastAsia="Times New Roman" w:cs="Arial"/>
          <w:sz w:val="24"/>
          <w:szCs w:val="24"/>
          <w:lang w:val="sl-SI" w:eastAsia="sr-Latn-CS"/>
        </w:rPr>
        <w:t xml:space="preserve"> eura</w:t>
      </w:r>
      <w:r w:rsidR="000C2F0F">
        <w:rPr>
          <w:rFonts w:eastAsia="Times New Roman" w:cs="Arial"/>
          <w:sz w:val="24"/>
          <w:szCs w:val="24"/>
          <w:lang w:val="sl-SI" w:eastAsia="sr-Latn-CS"/>
        </w:rPr>
        <w:t>,</w:t>
      </w:r>
      <w:r w:rsidR="002337DA">
        <w:rPr>
          <w:rFonts w:eastAsia="Times New Roman" w:cs="Arial"/>
          <w:sz w:val="24"/>
          <w:szCs w:val="24"/>
          <w:lang w:val="sl-SI" w:eastAsia="sr-Latn-CS"/>
        </w:rPr>
        <w:t xml:space="preserve"> a</w:t>
      </w:r>
      <w:r w:rsidRPr="00154B0B">
        <w:rPr>
          <w:rFonts w:eastAsia="Times New Roman" w:cs="Arial"/>
          <w:sz w:val="24"/>
          <w:szCs w:val="24"/>
          <w:lang w:val="sl-SI" w:eastAsia="sr-Latn-CS"/>
        </w:rPr>
        <w:t xml:space="preserve"> broj korisnika u decembru je bio 2.476.</w:t>
      </w:r>
      <w:r w:rsidRPr="00154B0B">
        <w:rPr>
          <w:rFonts w:cs="Arial"/>
          <w:sz w:val="24"/>
          <w:szCs w:val="24"/>
        </w:rPr>
        <w:t xml:space="preserve"> Razmotriti mogućnost da</w:t>
      </w:r>
      <w:r w:rsidR="000C2F0F">
        <w:rPr>
          <w:rFonts w:cs="Arial"/>
          <w:sz w:val="24"/>
          <w:szCs w:val="24"/>
        </w:rPr>
        <w:t xml:space="preserve"> se</w:t>
      </w:r>
      <w:r w:rsidRPr="00154B0B">
        <w:rPr>
          <w:rFonts w:cs="Arial"/>
          <w:sz w:val="24"/>
          <w:szCs w:val="24"/>
        </w:rPr>
        <w:t xml:space="preserve"> pravo na refundaciju i naknade za porodiljsko i roditeljsko odsustv</w:t>
      </w:r>
      <w:r w:rsidR="002337DA">
        <w:rPr>
          <w:rFonts w:cs="Arial"/>
          <w:sz w:val="24"/>
          <w:szCs w:val="24"/>
        </w:rPr>
        <w:t>o</w:t>
      </w:r>
      <w:r w:rsidRPr="00154B0B">
        <w:rPr>
          <w:rFonts w:cs="Arial"/>
          <w:sz w:val="24"/>
          <w:szCs w:val="24"/>
        </w:rPr>
        <w:t>, kao i za rad</w:t>
      </w:r>
      <w:r w:rsidR="004C5D23">
        <w:rPr>
          <w:rFonts w:cs="Arial"/>
          <w:sz w:val="24"/>
          <w:szCs w:val="24"/>
        </w:rPr>
        <w:t xml:space="preserve"> s p</w:t>
      </w:r>
      <w:r w:rsidRPr="00154B0B">
        <w:rPr>
          <w:rFonts w:cs="Arial"/>
          <w:sz w:val="24"/>
          <w:szCs w:val="24"/>
        </w:rPr>
        <w:t>olovinom radnog vremena izmjesti iz Zakona o socijalnoj i dječjoj zaštiti.</w:t>
      </w:r>
    </w:p>
    <w:p w14:paraId="4C610EE1" w14:textId="77777777" w:rsidR="00133DF8" w:rsidRPr="00F96844" w:rsidRDefault="00133DF8" w:rsidP="00780738">
      <w:pPr>
        <w:autoSpaceDE w:val="0"/>
        <w:autoSpaceDN w:val="0"/>
        <w:adjustRightInd w:val="0"/>
        <w:jc w:val="both"/>
        <w:rPr>
          <w:rFonts w:eastAsia="Times New Roman" w:cs="Arial"/>
          <w:sz w:val="24"/>
          <w:szCs w:val="24"/>
          <w:lang w:val="sr-Latn-ME" w:eastAsia="sr-Latn-CS"/>
        </w:rPr>
      </w:pPr>
    </w:p>
    <w:p w14:paraId="4284BECE" w14:textId="77777777" w:rsidR="00E03D3E" w:rsidRPr="00833127"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Naknadu po osnovu rođenja djeteta</w:t>
      </w:r>
      <w:r w:rsidRPr="00F96844">
        <w:rPr>
          <w:rFonts w:eastAsia="Times New Roman" w:cs="Arial"/>
          <w:sz w:val="24"/>
          <w:szCs w:val="24"/>
          <w:lang w:val="sr-Latn-ME" w:eastAsia="sr-Latn-CS"/>
        </w:rPr>
        <w:t xml:space="preserve"> može ostvariti </w:t>
      </w:r>
      <w:r w:rsidR="00434CEE">
        <w:rPr>
          <w:rFonts w:eastAsia="Times New Roman" w:cs="Arial"/>
          <w:sz w:val="24"/>
          <w:szCs w:val="24"/>
          <w:lang w:val="sr-Latn-ME" w:eastAsia="sr-Latn-CS"/>
        </w:rPr>
        <w:t xml:space="preserve">mjesečno </w:t>
      </w:r>
      <w:r w:rsidRPr="00F96844">
        <w:rPr>
          <w:rFonts w:eastAsia="Times New Roman" w:cs="Arial"/>
          <w:sz w:val="24"/>
          <w:szCs w:val="24"/>
          <w:lang w:val="sr-Latn-ME" w:eastAsia="sr-Latn-CS"/>
        </w:rPr>
        <w:t>jedan od roditelja koji je na evidenciji Zavoda za zapošljavanje i student</w:t>
      </w:r>
      <w:r w:rsidR="00434CEE">
        <w:rPr>
          <w:rFonts w:eastAsia="Times New Roman" w:cs="Arial"/>
          <w:sz w:val="24"/>
          <w:szCs w:val="24"/>
          <w:lang w:val="sr-Latn-ME" w:eastAsia="sr-Latn-CS"/>
        </w:rPr>
        <w:t>, do navršene jedne godine života djeteta.</w:t>
      </w:r>
      <w:r w:rsidRPr="00F96844">
        <w:rPr>
          <w:rFonts w:eastAsia="Times New Roman" w:cs="Arial"/>
          <w:sz w:val="24"/>
          <w:szCs w:val="24"/>
          <w:lang w:val="sr-Latn-ME" w:eastAsia="sr-Latn-CS"/>
        </w:rPr>
        <w:t xml:space="preserve"> </w:t>
      </w:r>
      <w:r w:rsidR="00E03D3E" w:rsidRPr="00E03D3E">
        <w:rPr>
          <w:rFonts w:eastAsia="Times New Roman" w:cs="Arial"/>
          <w:sz w:val="24"/>
          <w:szCs w:val="24"/>
          <w:lang w:val="sl-SI" w:eastAsia="sr-Latn-CS"/>
        </w:rPr>
        <w:t>Visina naknade u decembru 2023.</w:t>
      </w:r>
      <w:r w:rsidR="004E712F">
        <w:rPr>
          <w:rFonts w:eastAsia="Times New Roman" w:cs="Arial"/>
          <w:sz w:val="24"/>
          <w:szCs w:val="24"/>
          <w:lang w:val="sl-SI" w:eastAsia="sr-Latn-CS"/>
        </w:rPr>
        <w:t xml:space="preserve"> </w:t>
      </w:r>
      <w:r w:rsidR="00E03D3E" w:rsidRPr="00E03D3E">
        <w:rPr>
          <w:rFonts w:eastAsia="Times New Roman" w:cs="Arial"/>
          <w:sz w:val="24"/>
          <w:szCs w:val="24"/>
          <w:lang w:val="sl-SI" w:eastAsia="sr-Latn-CS"/>
        </w:rPr>
        <w:t>godini iznosila je 101,98 eura. U 2023.</w:t>
      </w:r>
      <w:r w:rsidR="004E712F">
        <w:rPr>
          <w:rFonts w:eastAsia="Times New Roman" w:cs="Arial"/>
          <w:sz w:val="24"/>
          <w:szCs w:val="24"/>
          <w:lang w:val="sl-SI" w:eastAsia="sr-Latn-CS"/>
        </w:rPr>
        <w:t xml:space="preserve"> godini </w:t>
      </w:r>
      <w:r w:rsidR="00E03D3E" w:rsidRPr="00E03D3E">
        <w:rPr>
          <w:rFonts w:eastAsia="Times New Roman" w:cs="Arial"/>
          <w:sz w:val="24"/>
          <w:szCs w:val="24"/>
          <w:lang w:val="sl-SI" w:eastAsia="sr-Latn-CS"/>
        </w:rPr>
        <w:t>isplaćeno je 2.727.788,00</w:t>
      </w:r>
      <w:r w:rsidR="004E712F">
        <w:rPr>
          <w:rFonts w:eastAsia="Times New Roman" w:cs="Arial"/>
          <w:sz w:val="24"/>
          <w:szCs w:val="24"/>
          <w:lang w:val="sl-SI" w:eastAsia="sr-Latn-CS"/>
        </w:rPr>
        <w:t xml:space="preserve"> eura</w:t>
      </w:r>
      <w:r w:rsidR="00E03D3E" w:rsidRPr="00E03D3E">
        <w:rPr>
          <w:rFonts w:eastAsia="Times New Roman" w:cs="Arial"/>
          <w:sz w:val="24"/>
          <w:szCs w:val="24"/>
          <w:lang w:val="sl-SI" w:eastAsia="sr-Latn-CS"/>
        </w:rPr>
        <w:t xml:space="preserve">, broj </w:t>
      </w:r>
      <w:r w:rsidR="00EB2F1D">
        <w:rPr>
          <w:rFonts w:eastAsia="Times New Roman" w:cs="Arial"/>
          <w:sz w:val="24"/>
          <w:szCs w:val="24"/>
          <w:lang w:val="sl-SI" w:eastAsia="sr-Latn-CS"/>
        </w:rPr>
        <w:t>korisnika/korisnica</w:t>
      </w:r>
      <w:r w:rsidR="00E03D3E" w:rsidRPr="00E03D3E">
        <w:rPr>
          <w:rFonts w:eastAsia="Times New Roman" w:cs="Arial"/>
          <w:sz w:val="24"/>
          <w:szCs w:val="24"/>
          <w:lang w:val="sl-SI" w:eastAsia="sr-Latn-CS"/>
        </w:rPr>
        <w:t xml:space="preserve"> prava u decembru  2023. godine je bio 2.131.</w:t>
      </w:r>
      <w:r w:rsidR="004E712F">
        <w:rPr>
          <w:rFonts w:eastAsia="Times New Roman" w:cs="Arial"/>
          <w:sz w:val="24"/>
          <w:szCs w:val="24"/>
          <w:lang w:val="sl-SI" w:eastAsia="sr-Latn-CS"/>
        </w:rPr>
        <w:t xml:space="preserve"> </w:t>
      </w:r>
      <w:r w:rsidR="00E03D3E" w:rsidRPr="00E03D3E">
        <w:rPr>
          <w:rFonts w:eastAsia="Times New Roman" w:cs="Arial"/>
          <w:sz w:val="24"/>
          <w:szCs w:val="24"/>
          <w:lang w:val="sl-SI" w:eastAsia="sr-Latn-CS"/>
        </w:rPr>
        <w:t>Potrebno je preispitati visinu naknada</w:t>
      </w:r>
      <w:r w:rsidR="000C2F0F">
        <w:rPr>
          <w:rFonts w:eastAsia="Times New Roman" w:cs="Arial"/>
          <w:sz w:val="24"/>
          <w:szCs w:val="24"/>
          <w:lang w:val="sl-SI" w:eastAsia="sr-Latn-CS"/>
        </w:rPr>
        <w:t>,</w:t>
      </w:r>
      <w:r w:rsidR="00E03D3E" w:rsidRPr="00E03D3E">
        <w:rPr>
          <w:rFonts w:eastAsia="Times New Roman" w:cs="Arial"/>
          <w:sz w:val="24"/>
          <w:szCs w:val="24"/>
          <w:lang w:val="sl-SI" w:eastAsia="sr-Latn-CS"/>
        </w:rPr>
        <w:t xml:space="preserve"> imajući u vidu aktuelna socijalno-ekonomska kretanja.</w:t>
      </w:r>
    </w:p>
    <w:p w14:paraId="7998C258" w14:textId="77777777" w:rsidR="00434CEE" w:rsidRDefault="00434CEE" w:rsidP="00780738">
      <w:pPr>
        <w:autoSpaceDE w:val="0"/>
        <w:autoSpaceDN w:val="0"/>
        <w:adjustRightInd w:val="0"/>
        <w:jc w:val="both"/>
        <w:rPr>
          <w:rFonts w:eastAsia="Times New Roman" w:cs="Arial"/>
          <w:sz w:val="24"/>
          <w:szCs w:val="24"/>
          <w:lang w:val="sr-Latn-ME" w:eastAsia="sr-Latn-CS"/>
        </w:rPr>
      </w:pPr>
    </w:p>
    <w:p w14:paraId="74649E2E" w14:textId="77777777" w:rsidR="00327848" w:rsidRDefault="00327848" w:rsidP="00780738">
      <w:pPr>
        <w:autoSpaceDE w:val="0"/>
        <w:autoSpaceDN w:val="0"/>
        <w:adjustRightInd w:val="0"/>
        <w:jc w:val="both"/>
        <w:rPr>
          <w:rFonts w:eastAsia="Times New Roman" w:cs="Arial"/>
          <w:sz w:val="24"/>
          <w:szCs w:val="24"/>
          <w:lang w:val="sr-Latn-ME" w:eastAsia="sr-Latn-CS"/>
        </w:rPr>
      </w:pPr>
      <w:r>
        <w:rPr>
          <w:rFonts w:eastAsia="Times New Roman" w:cs="Arial"/>
          <w:sz w:val="24"/>
          <w:szCs w:val="24"/>
          <w:lang w:val="sr-Latn-ME" w:eastAsia="sr-Latn-CS"/>
        </w:rPr>
        <w:t xml:space="preserve">U skladu sa </w:t>
      </w:r>
      <w:r w:rsidRPr="00327848">
        <w:rPr>
          <w:rFonts w:eastAsia="Times New Roman" w:cs="Arial"/>
          <w:i/>
          <w:iCs/>
          <w:sz w:val="24"/>
          <w:szCs w:val="24"/>
          <w:u w:val="single"/>
          <w:lang w:val="sr-Latn-ME" w:eastAsia="sr-Latn-CS"/>
        </w:rPr>
        <w:t xml:space="preserve">Zakonom o povlasticama na putovanje lica </w:t>
      </w:r>
      <w:r w:rsidR="00867803">
        <w:rPr>
          <w:rFonts w:eastAsia="Times New Roman" w:cs="Arial"/>
          <w:i/>
          <w:iCs/>
          <w:sz w:val="24"/>
          <w:szCs w:val="24"/>
          <w:u w:val="single"/>
          <w:lang w:val="sr-Latn-ME" w:eastAsia="sr-Latn-CS"/>
        </w:rPr>
        <w:t>sa</w:t>
      </w:r>
      <w:r w:rsidRPr="00327848">
        <w:rPr>
          <w:rFonts w:eastAsia="Times New Roman" w:cs="Arial"/>
          <w:i/>
          <w:iCs/>
          <w:sz w:val="24"/>
          <w:szCs w:val="24"/>
          <w:u w:val="single"/>
          <w:lang w:val="sr-Latn-ME" w:eastAsia="sr-Latn-CS"/>
        </w:rPr>
        <w:t xml:space="preserve"> invaliditetom</w:t>
      </w:r>
      <w:r w:rsidR="000C2F0F">
        <w:rPr>
          <w:rFonts w:eastAsia="Times New Roman" w:cs="Arial"/>
          <w:sz w:val="24"/>
          <w:szCs w:val="24"/>
          <w:lang w:val="sr-Latn-ME" w:eastAsia="sr-Latn-CS"/>
        </w:rPr>
        <w:t xml:space="preserve">, </w:t>
      </w:r>
      <w:r>
        <w:rPr>
          <w:rFonts w:eastAsia="Times New Roman" w:cs="Arial"/>
          <w:sz w:val="24"/>
          <w:szCs w:val="24"/>
          <w:lang w:val="sr-Latn-ME" w:eastAsia="sr-Latn-CS"/>
        </w:rPr>
        <w:t>lica</w:t>
      </w:r>
      <w:r w:rsidR="00867803">
        <w:rPr>
          <w:rFonts w:eastAsia="Times New Roman" w:cs="Arial"/>
          <w:sz w:val="24"/>
          <w:szCs w:val="24"/>
          <w:lang w:val="sr-Latn-ME" w:eastAsia="sr-Latn-CS"/>
        </w:rPr>
        <w:t xml:space="preserve"> s i</w:t>
      </w:r>
      <w:r w:rsidR="00912AE4">
        <w:rPr>
          <w:rFonts w:eastAsia="Times New Roman" w:cs="Arial"/>
          <w:sz w:val="24"/>
          <w:szCs w:val="24"/>
          <w:lang w:val="sr-Latn-ME" w:eastAsia="sr-Latn-CS"/>
        </w:rPr>
        <w:t xml:space="preserve">nvaliditetom </w:t>
      </w:r>
      <w:r w:rsidRPr="00327848">
        <w:rPr>
          <w:rFonts w:eastAsia="Times New Roman" w:cs="Arial"/>
          <w:sz w:val="24"/>
          <w:szCs w:val="24"/>
          <w:lang w:val="sr-Latn-ME" w:eastAsia="sr-Latn-CS"/>
        </w:rPr>
        <w:t>ima</w:t>
      </w:r>
      <w:r>
        <w:rPr>
          <w:rFonts w:eastAsia="Times New Roman" w:cs="Arial"/>
          <w:sz w:val="24"/>
          <w:szCs w:val="24"/>
          <w:lang w:val="sr-Latn-ME" w:eastAsia="sr-Latn-CS"/>
        </w:rPr>
        <w:t xml:space="preserve">ju </w:t>
      </w:r>
      <w:r w:rsidRPr="00327848">
        <w:rPr>
          <w:rFonts w:eastAsia="Times New Roman" w:cs="Arial"/>
          <w:sz w:val="24"/>
          <w:szCs w:val="24"/>
          <w:lang w:val="sr-Latn-ME" w:eastAsia="sr-Latn-CS"/>
        </w:rPr>
        <w:t>pravo na povlasticu na putovanje u drumskom i željezničkom saobraćaju na teritoriji Crne Gore</w:t>
      </w:r>
      <w:r>
        <w:rPr>
          <w:rFonts w:eastAsia="Times New Roman" w:cs="Arial"/>
          <w:sz w:val="24"/>
          <w:szCs w:val="24"/>
          <w:lang w:val="sr-Latn-ME" w:eastAsia="sr-Latn-CS"/>
        </w:rPr>
        <w:t xml:space="preserve">. </w:t>
      </w:r>
      <w:r w:rsidRPr="00327848">
        <w:rPr>
          <w:rFonts w:eastAsia="Times New Roman" w:cs="Arial"/>
          <w:sz w:val="24"/>
          <w:szCs w:val="24"/>
          <w:lang w:val="sr-Latn-ME" w:eastAsia="sr-Latn-CS"/>
        </w:rPr>
        <w:t>Pravo na povlasticu na putovanje ima k</w:t>
      </w:r>
      <w:r w:rsidR="00017587">
        <w:rPr>
          <w:rFonts w:eastAsia="Times New Roman" w:cs="Arial"/>
          <w:sz w:val="24"/>
          <w:szCs w:val="24"/>
          <w:lang w:val="sr-Latn-ME" w:eastAsia="sr-Latn-CS"/>
        </w:rPr>
        <w:t>orisnik/korisnica</w:t>
      </w:r>
      <w:r w:rsidRPr="00327848">
        <w:rPr>
          <w:rFonts w:eastAsia="Times New Roman" w:cs="Arial"/>
          <w:sz w:val="24"/>
          <w:szCs w:val="24"/>
          <w:lang w:val="sr-Latn-ME" w:eastAsia="sr-Latn-CS"/>
        </w:rPr>
        <w:t xml:space="preserve"> lične invalidnine, k</w:t>
      </w:r>
      <w:r w:rsidR="00017587">
        <w:rPr>
          <w:rFonts w:eastAsia="Times New Roman" w:cs="Arial"/>
          <w:sz w:val="24"/>
          <w:szCs w:val="24"/>
          <w:lang w:val="sr-Latn-ME" w:eastAsia="sr-Latn-CS"/>
        </w:rPr>
        <w:t>orisnik/korisnica</w:t>
      </w:r>
      <w:r w:rsidRPr="00327848">
        <w:rPr>
          <w:rFonts w:eastAsia="Times New Roman" w:cs="Arial"/>
          <w:sz w:val="24"/>
          <w:szCs w:val="24"/>
          <w:lang w:val="sr-Latn-ME" w:eastAsia="sr-Latn-CS"/>
        </w:rPr>
        <w:t xml:space="preserve"> dodatka za njegu i pomoć i djeca i mladi koji su ostvarili pravo na pomoć za vaspitanje i obrazovanje djece i mladih</w:t>
      </w:r>
      <w:r w:rsidR="004C5D23">
        <w:rPr>
          <w:rFonts w:eastAsia="Times New Roman" w:cs="Arial"/>
          <w:sz w:val="24"/>
          <w:szCs w:val="24"/>
          <w:lang w:val="sr-Latn-ME" w:eastAsia="sr-Latn-CS"/>
        </w:rPr>
        <w:t xml:space="preserve"> s p</w:t>
      </w:r>
      <w:r w:rsidRPr="00327848">
        <w:rPr>
          <w:rFonts w:eastAsia="Times New Roman" w:cs="Arial"/>
          <w:sz w:val="24"/>
          <w:szCs w:val="24"/>
          <w:lang w:val="sr-Latn-ME" w:eastAsia="sr-Latn-CS"/>
        </w:rPr>
        <w:t>osebnim obrazovnim potrebama, u skladu</w:t>
      </w:r>
      <w:r w:rsidR="004C5D23">
        <w:rPr>
          <w:rFonts w:eastAsia="Times New Roman" w:cs="Arial"/>
          <w:sz w:val="24"/>
          <w:szCs w:val="24"/>
          <w:lang w:val="sr-Latn-ME" w:eastAsia="sr-Latn-CS"/>
        </w:rPr>
        <w:t xml:space="preserve"> s p</w:t>
      </w:r>
      <w:r w:rsidRPr="00327848">
        <w:rPr>
          <w:rFonts w:eastAsia="Times New Roman" w:cs="Arial"/>
          <w:sz w:val="24"/>
          <w:szCs w:val="24"/>
          <w:lang w:val="sr-Latn-ME" w:eastAsia="sr-Latn-CS"/>
        </w:rPr>
        <w:t>ropisom iz oblasti socijalne i dječje zaštite i k</w:t>
      </w:r>
      <w:r w:rsidR="00017587">
        <w:rPr>
          <w:rFonts w:eastAsia="Times New Roman" w:cs="Arial"/>
          <w:sz w:val="24"/>
          <w:szCs w:val="24"/>
          <w:lang w:val="sr-Latn-ME" w:eastAsia="sr-Latn-CS"/>
        </w:rPr>
        <w:t>orisnik/korisnica</w:t>
      </w:r>
      <w:r w:rsidRPr="00327848">
        <w:rPr>
          <w:rFonts w:eastAsia="Times New Roman" w:cs="Arial"/>
          <w:sz w:val="24"/>
          <w:szCs w:val="24"/>
          <w:lang w:val="sr-Latn-ME" w:eastAsia="sr-Latn-CS"/>
        </w:rPr>
        <w:t xml:space="preserve"> njege i pomoći drugog lica, koji</w:t>
      </w:r>
      <w:r w:rsidR="0099729B">
        <w:rPr>
          <w:rFonts w:eastAsia="Times New Roman" w:cs="Arial"/>
          <w:sz w:val="24"/>
          <w:szCs w:val="24"/>
          <w:lang w:val="sr-Latn-ME" w:eastAsia="sr-Latn-CS"/>
        </w:rPr>
        <w:t>/</w:t>
      </w:r>
      <w:r w:rsidR="000C2F0F">
        <w:rPr>
          <w:rFonts w:eastAsia="Times New Roman" w:cs="Arial"/>
          <w:sz w:val="24"/>
          <w:szCs w:val="24"/>
          <w:lang w:val="sr-Latn-ME" w:eastAsia="sr-Latn-CS"/>
        </w:rPr>
        <w:t>koj</w:t>
      </w:r>
      <w:r w:rsidR="0099729B">
        <w:rPr>
          <w:rFonts w:eastAsia="Times New Roman" w:cs="Arial"/>
          <w:sz w:val="24"/>
          <w:szCs w:val="24"/>
          <w:lang w:val="sr-Latn-ME" w:eastAsia="sr-Latn-CS"/>
        </w:rPr>
        <w:t>a</w:t>
      </w:r>
      <w:r w:rsidRPr="00327848">
        <w:rPr>
          <w:rFonts w:eastAsia="Times New Roman" w:cs="Arial"/>
          <w:sz w:val="24"/>
          <w:szCs w:val="24"/>
          <w:lang w:val="sr-Latn-ME" w:eastAsia="sr-Latn-CS"/>
        </w:rPr>
        <w:t xml:space="preserve"> je to pravo ostvario</w:t>
      </w:r>
      <w:r w:rsidR="0099729B">
        <w:rPr>
          <w:rFonts w:eastAsia="Times New Roman" w:cs="Arial"/>
          <w:sz w:val="24"/>
          <w:szCs w:val="24"/>
          <w:lang w:val="sr-Latn-ME" w:eastAsia="sr-Latn-CS"/>
        </w:rPr>
        <w:t>/</w:t>
      </w:r>
      <w:r w:rsidR="000C2F0F">
        <w:rPr>
          <w:rFonts w:eastAsia="Times New Roman" w:cs="Arial"/>
          <w:sz w:val="24"/>
          <w:szCs w:val="24"/>
          <w:lang w:val="sr-Latn-ME" w:eastAsia="sr-Latn-CS"/>
        </w:rPr>
        <w:t>ostvari</w:t>
      </w:r>
      <w:r w:rsidR="0099729B">
        <w:rPr>
          <w:rFonts w:eastAsia="Times New Roman" w:cs="Arial"/>
          <w:sz w:val="24"/>
          <w:szCs w:val="24"/>
          <w:lang w:val="sr-Latn-ME" w:eastAsia="sr-Latn-CS"/>
        </w:rPr>
        <w:t>la</w:t>
      </w:r>
      <w:r w:rsidRPr="00327848">
        <w:rPr>
          <w:rFonts w:eastAsia="Times New Roman" w:cs="Arial"/>
          <w:sz w:val="24"/>
          <w:szCs w:val="24"/>
          <w:lang w:val="sr-Latn-ME" w:eastAsia="sr-Latn-CS"/>
        </w:rPr>
        <w:t xml:space="preserve"> u skladu</w:t>
      </w:r>
      <w:r w:rsidR="004C5D23">
        <w:rPr>
          <w:rFonts w:eastAsia="Times New Roman" w:cs="Arial"/>
          <w:sz w:val="24"/>
          <w:szCs w:val="24"/>
          <w:lang w:val="sr-Latn-ME" w:eastAsia="sr-Latn-CS"/>
        </w:rPr>
        <w:t xml:space="preserve"> s p</w:t>
      </w:r>
      <w:r w:rsidRPr="00327848">
        <w:rPr>
          <w:rFonts w:eastAsia="Times New Roman" w:cs="Arial"/>
          <w:sz w:val="24"/>
          <w:szCs w:val="24"/>
          <w:lang w:val="sr-Latn-ME" w:eastAsia="sr-Latn-CS"/>
        </w:rPr>
        <w:t>ropisom iz oblasti penzijskog i invalidskog osiguranja</w:t>
      </w:r>
      <w:r>
        <w:rPr>
          <w:rFonts w:eastAsia="Times New Roman" w:cs="Arial"/>
          <w:sz w:val="24"/>
          <w:szCs w:val="24"/>
          <w:lang w:val="sr-Latn-ME" w:eastAsia="sr-Latn-CS"/>
        </w:rPr>
        <w:t xml:space="preserve">. </w:t>
      </w:r>
      <w:r w:rsidRPr="00B71C67">
        <w:rPr>
          <w:rFonts w:eastAsia="Times New Roman" w:cs="Arial"/>
          <w:sz w:val="24"/>
          <w:szCs w:val="24"/>
          <w:lang w:val="sr-Latn-ME" w:eastAsia="sr-Latn-CS"/>
        </w:rPr>
        <w:t>U toku 2023. godine</w:t>
      </w:r>
      <w:r w:rsidR="000C2F0F">
        <w:rPr>
          <w:rFonts w:eastAsia="Times New Roman" w:cs="Arial"/>
          <w:sz w:val="24"/>
          <w:szCs w:val="24"/>
          <w:lang w:val="sr-Latn-ME" w:eastAsia="sr-Latn-CS"/>
        </w:rPr>
        <w:t>,</w:t>
      </w:r>
      <w:r w:rsidRPr="00B71C67">
        <w:rPr>
          <w:rFonts w:eastAsia="Times New Roman" w:cs="Arial"/>
          <w:sz w:val="24"/>
          <w:szCs w:val="24"/>
          <w:lang w:val="sr-Latn-ME" w:eastAsia="sr-Latn-CS"/>
        </w:rPr>
        <w:t xml:space="preserve"> ovo pravo je ostvarilo </w:t>
      </w:r>
      <w:r w:rsidR="00B71C67" w:rsidRPr="00B71C67">
        <w:rPr>
          <w:rFonts w:eastAsia="Times New Roman" w:cs="Arial"/>
          <w:sz w:val="24"/>
          <w:szCs w:val="24"/>
          <w:lang w:val="sr-Latn-ME" w:eastAsia="sr-Latn-CS"/>
        </w:rPr>
        <w:t xml:space="preserve">2.551 </w:t>
      </w:r>
      <w:r w:rsidR="00EB2F1D">
        <w:rPr>
          <w:rFonts w:eastAsia="Times New Roman" w:cs="Arial"/>
          <w:sz w:val="24"/>
          <w:szCs w:val="24"/>
          <w:lang w:val="sr-Latn-ME" w:eastAsia="sr-Latn-CS"/>
        </w:rPr>
        <w:t>korisnika/korisnica</w:t>
      </w:r>
      <w:r w:rsidR="00B71C67" w:rsidRPr="00B71C67">
        <w:rPr>
          <w:rFonts w:eastAsia="Times New Roman" w:cs="Arial"/>
          <w:sz w:val="24"/>
          <w:szCs w:val="24"/>
          <w:lang w:val="sr-Latn-ME" w:eastAsia="sr-Latn-CS"/>
        </w:rPr>
        <w:t xml:space="preserve">, </w:t>
      </w:r>
      <w:r w:rsidRPr="00B71C67">
        <w:rPr>
          <w:rFonts w:eastAsia="Times New Roman" w:cs="Arial"/>
          <w:sz w:val="24"/>
          <w:szCs w:val="24"/>
          <w:lang w:val="sr-Latn-ME" w:eastAsia="sr-Latn-CS"/>
        </w:rPr>
        <w:t xml:space="preserve">za šta je izdvojeno iz budžeta Crne Gore </w:t>
      </w:r>
      <w:r w:rsidR="00B71C67" w:rsidRPr="00B71C67">
        <w:rPr>
          <w:rFonts w:eastAsia="Times New Roman" w:cs="Arial"/>
          <w:sz w:val="24"/>
          <w:szCs w:val="24"/>
          <w:lang w:val="sr-Latn-ME" w:eastAsia="sr-Latn-CS"/>
        </w:rPr>
        <w:t>7.030.817,54 eura.</w:t>
      </w:r>
    </w:p>
    <w:p w14:paraId="5315406C" w14:textId="77777777" w:rsidR="00912AE4" w:rsidRDefault="00912AE4" w:rsidP="00780738">
      <w:pPr>
        <w:autoSpaceDE w:val="0"/>
        <w:autoSpaceDN w:val="0"/>
        <w:adjustRightInd w:val="0"/>
        <w:jc w:val="both"/>
        <w:rPr>
          <w:rFonts w:eastAsia="Times New Roman" w:cs="Arial"/>
          <w:sz w:val="24"/>
          <w:szCs w:val="24"/>
          <w:lang w:val="sr-Latn-ME" w:eastAsia="sr-Latn-CS"/>
        </w:rPr>
      </w:pPr>
    </w:p>
    <w:p w14:paraId="715556DC" w14:textId="77777777" w:rsidR="00912AE4" w:rsidRDefault="00912AE4" w:rsidP="00780738">
      <w:pPr>
        <w:autoSpaceDE w:val="0"/>
        <w:autoSpaceDN w:val="0"/>
        <w:adjustRightInd w:val="0"/>
        <w:jc w:val="both"/>
        <w:rPr>
          <w:rFonts w:eastAsia="Times New Roman" w:cs="Arial"/>
          <w:sz w:val="24"/>
          <w:szCs w:val="24"/>
          <w:lang w:val="sr-Latn-ME" w:eastAsia="sr-Latn-CS"/>
        </w:rPr>
      </w:pPr>
      <w:r>
        <w:rPr>
          <w:rFonts w:eastAsia="Times New Roman" w:cs="Arial"/>
          <w:sz w:val="24"/>
          <w:szCs w:val="24"/>
          <w:lang w:val="sr-Latn-ME" w:eastAsia="sr-Latn-CS"/>
        </w:rPr>
        <w:t>U skladu sa Z</w:t>
      </w:r>
      <w:r w:rsidRPr="00912AE4">
        <w:rPr>
          <w:rFonts w:eastAsia="Times New Roman" w:cs="Arial"/>
          <w:sz w:val="24"/>
          <w:szCs w:val="24"/>
          <w:lang w:val="sr-Latn-ME" w:eastAsia="sr-Latn-CS"/>
        </w:rPr>
        <w:t>akon</w:t>
      </w:r>
      <w:r>
        <w:rPr>
          <w:rFonts w:eastAsia="Times New Roman" w:cs="Arial"/>
          <w:sz w:val="24"/>
          <w:szCs w:val="24"/>
          <w:lang w:val="sr-Latn-ME" w:eastAsia="sr-Latn-CS"/>
        </w:rPr>
        <w:t xml:space="preserve">om </w:t>
      </w:r>
      <w:r w:rsidRPr="00912AE4">
        <w:rPr>
          <w:rFonts w:eastAsia="Times New Roman" w:cs="Arial"/>
          <w:sz w:val="24"/>
          <w:szCs w:val="24"/>
          <w:lang w:val="sr-Latn-ME" w:eastAsia="sr-Latn-CS"/>
        </w:rPr>
        <w:t>o obeštećenju bivših korisnica naknada po osnovu rođenja</w:t>
      </w:r>
      <w:r>
        <w:rPr>
          <w:rFonts w:eastAsia="Times New Roman" w:cs="Arial"/>
          <w:sz w:val="24"/>
          <w:szCs w:val="24"/>
          <w:lang w:val="sr-Latn-ME" w:eastAsia="sr-Latn-CS"/>
        </w:rPr>
        <w:t xml:space="preserve"> </w:t>
      </w:r>
      <w:r w:rsidRPr="00912AE4">
        <w:rPr>
          <w:rFonts w:eastAsia="Times New Roman" w:cs="Arial"/>
          <w:sz w:val="24"/>
          <w:szCs w:val="24"/>
          <w:lang w:val="sr-Latn-ME" w:eastAsia="sr-Latn-CS"/>
        </w:rPr>
        <w:t>troje ili više djece</w:t>
      </w:r>
      <w:r w:rsidR="000C2F0F">
        <w:rPr>
          <w:rFonts w:eastAsia="Times New Roman" w:cs="Arial"/>
          <w:sz w:val="24"/>
          <w:szCs w:val="24"/>
          <w:lang w:val="sr-Latn-ME" w:eastAsia="sr-Latn-CS"/>
        </w:rPr>
        <w:t>,</w:t>
      </w:r>
      <w:r>
        <w:rPr>
          <w:rFonts w:eastAsia="Times New Roman" w:cs="Arial"/>
          <w:sz w:val="24"/>
          <w:szCs w:val="24"/>
          <w:lang w:val="sr-Latn-ME" w:eastAsia="sr-Latn-CS"/>
        </w:rPr>
        <w:t xml:space="preserve"> prema podacima </w:t>
      </w:r>
      <w:r w:rsidRPr="0068329C">
        <w:rPr>
          <w:rFonts w:eastAsia="Times New Roman" w:cs="Arial"/>
          <w:sz w:val="24"/>
          <w:szCs w:val="24"/>
          <w:lang w:val="sr-Latn-ME" w:eastAsia="sr-Latn-CS"/>
        </w:rPr>
        <w:t>iz decembra 2023. godine</w:t>
      </w:r>
      <w:r w:rsidR="000C2F0F">
        <w:rPr>
          <w:rFonts w:eastAsia="Times New Roman" w:cs="Arial"/>
          <w:sz w:val="24"/>
          <w:szCs w:val="24"/>
          <w:lang w:val="sr-Latn-ME" w:eastAsia="sr-Latn-CS"/>
        </w:rPr>
        <w:t>,</w:t>
      </w:r>
      <w:r w:rsidRPr="0068329C">
        <w:rPr>
          <w:rFonts w:eastAsia="Times New Roman" w:cs="Arial"/>
          <w:sz w:val="24"/>
          <w:szCs w:val="24"/>
          <w:lang w:val="sr-Latn-ME" w:eastAsia="sr-Latn-CS"/>
        </w:rPr>
        <w:t xml:space="preserve"> naknadu je ostvari</w:t>
      </w:r>
      <w:r w:rsidR="00B71C67" w:rsidRPr="0068329C">
        <w:rPr>
          <w:rFonts w:eastAsia="Times New Roman" w:cs="Arial"/>
          <w:sz w:val="24"/>
          <w:szCs w:val="24"/>
          <w:lang w:val="sr-Latn-ME" w:eastAsia="sr-Latn-CS"/>
        </w:rPr>
        <w:t>lo 15.050</w:t>
      </w:r>
      <w:r w:rsidR="0068329C" w:rsidRPr="0068329C">
        <w:rPr>
          <w:rFonts w:eastAsia="Times New Roman" w:cs="Arial"/>
          <w:sz w:val="24"/>
          <w:szCs w:val="24"/>
          <w:lang w:val="sr-Latn-ME" w:eastAsia="sr-Latn-CS"/>
        </w:rPr>
        <w:t xml:space="preserve"> korisnica, </w:t>
      </w:r>
      <w:r w:rsidRPr="0068329C">
        <w:rPr>
          <w:rFonts w:eastAsia="Times New Roman" w:cs="Arial"/>
          <w:sz w:val="24"/>
          <w:szCs w:val="24"/>
          <w:lang w:val="sr-Latn-ME" w:eastAsia="sr-Latn-CS"/>
        </w:rPr>
        <w:t xml:space="preserve">za šta je izdvojeno iz budžeta Crne Gore </w:t>
      </w:r>
      <w:r w:rsidR="0068329C">
        <w:rPr>
          <w:rFonts w:eastAsia="Times New Roman" w:cs="Arial"/>
          <w:sz w:val="24"/>
          <w:szCs w:val="24"/>
          <w:lang w:val="sr-Latn-ME" w:eastAsia="sr-Latn-CS"/>
        </w:rPr>
        <w:t>45.068.761,6 eura.</w:t>
      </w:r>
    </w:p>
    <w:p w14:paraId="71F217C7" w14:textId="77777777" w:rsidR="00912AE4" w:rsidRPr="00E03D3E" w:rsidRDefault="00912AE4" w:rsidP="00912AE4">
      <w:pPr>
        <w:autoSpaceDE w:val="0"/>
        <w:autoSpaceDN w:val="0"/>
        <w:adjustRightInd w:val="0"/>
        <w:spacing w:line="276" w:lineRule="auto"/>
        <w:jc w:val="both"/>
        <w:rPr>
          <w:rFonts w:eastAsia="Times New Roman" w:cs="Arial"/>
          <w:sz w:val="24"/>
          <w:szCs w:val="24"/>
          <w:lang w:val="sr-Latn-ME" w:eastAsia="sr-Latn-CS"/>
        </w:rPr>
      </w:pPr>
    </w:p>
    <w:p w14:paraId="6F870FD2" w14:textId="77777777" w:rsidR="0082171B" w:rsidRDefault="00E14BD8" w:rsidP="00780738">
      <w:pPr>
        <w:jc w:val="both"/>
        <w:rPr>
          <w:rFonts w:eastAsia="Times New Roman" w:cs="Arial"/>
          <w:sz w:val="24"/>
          <w:szCs w:val="24"/>
          <w:lang w:val="sr-Latn-ME"/>
        </w:rPr>
      </w:pPr>
      <w:r w:rsidRPr="00F96844">
        <w:rPr>
          <w:rFonts w:eastAsia="Times New Roman" w:cs="Arial"/>
          <w:sz w:val="24"/>
          <w:szCs w:val="24"/>
          <w:lang w:val="sr-Latn-ME"/>
        </w:rPr>
        <w:t xml:space="preserve">Ukupna utrošena sredstva za oblast socijalne i dječje zaštite u odnosu na budžet Crne Gore </w:t>
      </w:r>
      <w:r w:rsidR="0003105B" w:rsidRPr="00F96844">
        <w:rPr>
          <w:rFonts w:eastAsia="Times New Roman" w:cs="Arial"/>
          <w:sz w:val="24"/>
          <w:szCs w:val="24"/>
          <w:lang w:val="sr-Latn-ME"/>
        </w:rPr>
        <w:t>z</w:t>
      </w:r>
      <w:r w:rsidRPr="00F96844">
        <w:rPr>
          <w:rFonts w:eastAsia="Times New Roman" w:cs="Arial"/>
          <w:sz w:val="24"/>
          <w:szCs w:val="24"/>
          <w:lang w:val="sr-Latn-ME"/>
        </w:rPr>
        <w:t>а 2023.</w:t>
      </w:r>
      <w:r w:rsidR="0003105B" w:rsidRPr="00F96844">
        <w:rPr>
          <w:rFonts w:eastAsia="Times New Roman" w:cs="Arial"/>
          <w:sz w:val="24"/>
          <w:szCs w:val="24"/>
          <w:lang w:val="sr-Latn-ME"/>
        </w:rPr>
        <w:t xml:space="preserve"> </w:t>
      </w:r>
      <w:r w:rsidRPr="00F96844">
        <w:rPr>
          <w:rFonts w:eastAsia="Times New Roman" w:cs="Arial"/>
          <w:sz w:val="24"/>
          <w:szCs w:val="24"/>
          <w:lang w:val="sr-Latn-ME"/>
        </w:rPr>
        <w:t xml:space="preserve">godinu je 7,06%, dok je procenat učešća osnovnih materijalnih davanja u odnosu na ukupan budžet za socijalnu </w:t>
      </w:r>
      <w:r w:rsidR="0003105B" w:rsidRPr="00F96844">
        <w:rPr>
          <w:rFonts w:eastAsia="Times New Roman" w:cs="Arial"/>
          <w:sz w:val="24"/>
          <w:szCs w:val="24"/>
          <w:lang w:val="sr-Latn-ME"/>
        </w:rPr>
        <w:t xml:space="preserve">i dječju </w:t>
      </w:r>
      <w:r w:rsidRPr="00F96844">
        <w:rPr>
          <w:rFonts w:eastAsia="Times New Roman" w:cs="Arial"/>
          <w:sz w:val="24"/>
          <w:szCs w:val="24"/>
          <w:lang w:val="sr-Latn-ME"/>
        </w:rPr>
        <w:t>zaštitu za 2023.</w:t>
      </w:r>
      <w:r w:rsidR="0003105B" w:rsidRPr="00F96844">
        <w:rPr>
          <w:rFonts w:eastAsia="Times New Roman" w:cs="Arial"/>
          <w:sz w:val="24"/>
          <w:szCs w:val="24"/>
          <w:lang w:val="sr-Latn-ME"/>
        </w:rPr>
        <w:t xml:space="preserve"> </w:t>
      </w:r>
      <w:r w:rsidRPr="00F96844">
        <w:rPr>
          <w:rFonts w:eastAsia="Times New Roman" w:cs="Arial"/>
          <w:sz w:val="24"/>
          <w:szCs w:val="24"/>
          <w:lang w:val="sr-Latn-ME"/>
        </w:rPr>
        <w:t xml:space="preserve">godinu bio </w:t>
      </w:r>
      <w:r w:rsidR="00F4673F">
        <w:rPr>
          <w:rFonts w:eastAsia="Times New Roman" w:cs="Arial"/>
          <w:sz w:val="24"/>
          <w:szCs w:val="24"/>
          <w:lang w:val="sr-Latn-ME"/>
        </w:rPr>
        <w:t>97</w:t>
      </w:r>
      <w:r w:rsidRPr="00F96844">
        <w:rPr>
          <w:rFonts w:eastAsia="Times New Roman" w:cs="Arial"/>
          <w:sz w:val="24"/>
          <w:szCs w:val="24"/>
          <w:lang w:val="sr-Latn-ME"/>
        </w:rPr>
        <w:t>,3</w:t>
      </w:r>
      <w:r w:rsidR="00F4673F">
        <w:rPr>
          <w:rFonts w:eastAsia="Times New Roman" w:cs="Arial"/>
          <w:sz w:val="24"/>
          <w:szCs w:val="24"/>
          <w:lang w:val="sr-Latn-ME"/>
        </w:rPr>
        <w:t>3</w:t>
      </w:r>
      <w:r w:rsidRPr="00F96844">
        <w:rPr>
          <w:rFonts w:eastAsia="Times New Roman" w:cs="Arial"/>
          <w:sz w:val="24"/>
          <w:szCs w:val="24"/>
          <w:lang w:val="sr-Latn-ME"/>
        </w:rPr>
        <w:t>%.</w:t>
      </w:r>
      <w:r w:rsidR="0003105B" w:rsidRPr="00F96844">
        <w:rPr>
          <w:rFonts w:eastAsia="Times New Roman" w:cs="Arial"/>
          <w:sz w:val="24"/>
          <w:szCs w:val="24"/>
          <w:lang w:val="sr-Latn-ME"/>
        </w:rPr>
        <w:t xml:space="preserve"> </w:t>
      </w:r>
      <w:r w:rsidRPr="00F96844">
        <w:rPr>
          <w:rFonts w:eastAsia="Times New Roman" w:cs="Arial"/>
          <w:sz w:val="24"/>
          <w:szCs w:val="24"/>
          <w:lang w:val="sr-Latn-ME"/>
        </w:rPr>
        <w:t>Procenat učešća МО u odnosu na ukupan budžet za osnovna materijalna davanja iz socijalne i dječje zaštite u 2023.</w:t>
      </w:r>
      <w:r w:rsidR="0003105B" w:rsidRPr="00F96844">
        <w:rPr>
          <w:rFonts w:eastAsia="Times New Roman" w:cs="Arial"/>
          <w:sz w:val="24"/>
          <w:szCs w:val="24"/>
          <w:lang w:val="sr-Latn-ME"/>
        </w:rPr>
        <w:t xml:space="preserve"> </w:t>
      </w:r>
      <w:r w:rsidRPr="00F96844">
        <w:rPr>
          <w:rFonts w:eastAsia="Times New Roman" w:cs="Arial"/>
          <w:sz w:val="24"/>
          <w:szCs w:val="24"/>
          <w:lang w:val="sr-Latn-ME"/>
        </w:rPr>
        <w:t>godini je 4,2</w:t>
      </w:r>
      <w:r w:rsidR="00F4673F">
        <w:rPr>
          <w:rFonts w:eastAsia="Times New Roman" w:cs="Arial"/>
          <w:sz w:val="24"/>
          <w:szCs w:val="24"/>
          <w:lang w:val="sr-Latn-ME"/>
        </w:rPr>
        <w:t>7</w:t>
      </w:r>
      <w:r w:rsidRPr="00F96844">
        <w:rPr>
          <w:rFonts w:eastAsia="Times New Roman" w:cs="Arial"/>
          <w:sz w:val="24"/>
          <w:szCs w:val="24"/>
          <w:lang w:val="sr-Latn-ME"/>
        </w:rPr>
        <w:t>%</w:t>
      </w:r>
      <w:r w:rsidR="0082171B">
        <w:rPr>
          <w:rFonts w:eastAsia="Times New Roman" w:cs="Arial"/>
          <w:sz w:val="24"/>
          <w:szCs w:val="24"/>
          <w:lang w:val="sr-Latn-ME"/>
        </w:rPr>
        <w:t xml:space="preserve">, iako MO predstavlja ključni instrument borbe protiv siromaštva i socijalne isključenosti. Stopa rizika </w:t>
      </w:r>
      <w:r w:rsidR="00183312">
        <w:rPr>
          <w:rFonts w:eastAsia="Times New Roman" w:cs="Arial"/>
          <w:sz w:val="24"/>
          <w:szCs w:val="24"/>
          <w:lang w:val="sr-Latn-ME"/>
        </w:rPr>
        <w:t xml:space="preserve"> </w:t>
      </w:r>
      <w:r w:rsidR="0082171B">
        <w:rPr>
          <w:rFonts w:eastAsia="Times New Roman" w:cs="Arial"/>
          <w:sz w:val="24"/>
          <w:szCs w:val="24"/>
          <w:lang w:val="sr-Latn-ME"/>
        </w:rPr>
        <w:t>od siromaštva za 2022.</w:t>
      </w:r>
      <w:r w:rsidR="00536AB2">
        <w:rPr>
          <w:rFonts w:eastAsia="Times New Roman" w:cs="Arial"/>
          <w:sz w:val="24"/>
          <w:szCs w:val="24"/>
          <w:lang w:val="sr-Latn-ME"/>
        </w:rPr>
        <w:t xml:space="preserve"> </w:t>
      </w:r>
      <w:r w:rsidR="0082171B">
        <w:rPr>
          <w:rFonts w:eastAsia="Times New Roman" w:cs="Arial"/>
          <w:sz w:val="24"/>
          <w:szCs w:val="24"/>
          <w:lang w:val="sr-Latn-ME"/>
        </w:rPr>
        <w:t>godinu iznosi 20,3% stanovništva, dok je udio članova</w:t>
      </w:r>
      <w:r w:rsidR="00610E8D">
        <w:rPr>
          <w:rFonts w:eastAsia="Times New Roman" w:cs="Arial"/>
          <w:sz w:val="24"/>
          <w:szCs w:val="24"/>
          <w:lang w:val="sr-Latn-ME"/>
        </w:rPr>
        <w:t>/</w:t>
      </w:r>
      <w:r w:rsidR="000C2F0F">
        <w:rPr>
          <w:rFonts w:eastAsia="Times New Roman" w:cs="Arial"/>
          <w:sz w:val="24"/>
          <w:szCs w:val="24"/>
          <w:lang w:val="sr-Latn-ME"/>
        </w:rPr>
        <w:t>član</w:t>
      </w:r>
      <w:r w:rsidR="00610E8D">
        <w:rPr>
          <w:rFonts w:eastAsia="Times New Roman" w:cs="Arial"/>
          <w:sz w:val="24"/>
          <w:szCs w:val="24"/>
          <w:lang w:val="sr-Latn-ME"/>
        </w:rPr>
        <w:t>ica</w:t>
      </w:r>
      <w:r w:rsidR="0082171B">
        <w:rPr>
          <w:rFonts w:eastAsia="Times New Roman" w:cs="Arial"/>
          <w:sz w:val="24"/>
          <w:szCs w:val="24"/>
          <w:lang w:val="sr-Latn-ME"/>
        </w:rPr>
        <w:t xml:space="preserve"> porodica</w:t>
      </w:r>
      <w:r w:rsidR="004C5D23">
        <w:rPr>
          <w:rFonts w:eastAsia="Times New Roman" w:cs="Arial"/>
          <w:sz w:val="24"/>
          <w:szCs w:val="24"/>
          <w:lang w:val="sr-Latn-ME"/>
        </w:rPr>
        <w:t xml:space="preserve"> s p</w:t>
      </w:r>
      <w:r w:rsidR="0082171B">
        <w:rPr>
          <w:rFonts w:eastAsia="Times New Roman" w:cs="Arial"/>
          <w:sz w:val="24"/>
          <w:szCs w:val="24"/>
          <w:lang w:val="sr-Latn-ME"/>
        </w:rPr>
        <w:t>ravom na MO u istoj godini bio oko 3% od ukupnog stanovništva.</w:t>
      </w:r>
    </w:p>
    <w:p w14:paraId="2B76E619" w14:textId="77777777" w:rsidR="004248A4" w:rsidRPr="00F96844" w:rsidRDefault="004248A4" w:rsidP="0003105B">
      <w:pPr>
        <w:spacing w:line="276" w:lineRule="auto"/>
        <w:jc w:val="both"/>
        <w:rPr>
          <w:rFonts w:eastAsia="Times New Roman" w:cs="Arial"/>
          <w:sz w:val="24"/>
          <w:szCs w:val="24"/>
          <w:lang w:val="sr-Latn-ME"/>
        </w:rPr>
      </w:pPr>
    </w:p>
    <w:tbl>
      <w:tblPr>
        <w:tblStyle w:val="GridTable4-Accent6"/>
        <w:tblW w:w="10440" w:type="dxa"/>
        <w:tblInd w:w="-5" w:type="dxa"/>
        <w:tblLayout w:type="fixed"/>
        <w:tblLook w:val="04A0" w:firstRow="1" w:lastRow="0" w:firstColumn="1" w:lastColumn="0" w:noHBand="0" w:noVBand="1"/>
      </w:tblPr>
      <w:tblGrid>
        <w:gridCol w:w="2175"/>
        <w:gridCol w:w="3060"/>
        <w:gridCol w:w="2940"/>
        <w:gridCol w:w="2265"/>
      </w:tblGrid>
      <w:tr w:rsidR="004248A4" w:rsidRPr="00F96844" w14:paraId="1924205B" w14:textId="77777777" w:rsidTr="003C5DC6">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75" w:type="dxa"/>
            <w:hideMark/>
          </w:tcPr>
          <w:p w14:paraId="0B661BD6" w14:textId="77777777" w:rsidR="004248A4" w:rsidRPr="00F96844" w:rsidRDefault="004248A4" w:rsidP="004248A4">
            <w:pPr>
              <w:ind w:left="3"/>
              <w:rPr>
                <w:rFonts w:ascii="Calibri" w:eastAsia="Calibri" w:hAnsi="Calibri" w:cs="Calibri"/>
                <w:b w:val="0"/>
                <w:sz w:val="24"/>
                <w:szCs w:val="24"/>
                <w:lang w:val="sr-Latn-ME"/>
              </w:rPr>
            </w:pPr>
            <w:r w:rsidRPr="00F96844">
              <w:rPr>
                <w:rFonts w:ascii="Calibri" w:eastAsia="Arial" w:hAnsi="Calibri" w:cs="Calibri"/>
                <w:b w:val="0"/>
                <w:sz w:val="24"/>
                <w:szCs w:val="24"/>
                <w:lang w:val="sr-Latn-ME"/>
              </w:rPr>
              <w:t xml:space="preserve">Operativni cilj 1: </w:t>
            </w:r>
          </w:p>
        </w:tc>
        <w:tc>
          <w:tcPr>
            <w:tcW w:w="8265" w:type="dxa"/>
            <w:gridSpan w:val="3"/>
          </w:tcPr>
          <w:p w14:paraId="6746908B" w14:textId="77777777" w:rsidR="004248A4" w:rsidRPr="00F96844" w:rsidRDefault="004248A4" w:rsidP="004248A4">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Calibri" w:eastAsia="Calibri" w:hAnsi="Calibri" w:cs="Calibri"/>
                <w:b w:val="0"/>
                <w:sz w:val="24"/>
                <w:szCs w:val="24"/>
                <w:lang w:val="sr-Latn-ME"/>
              </w:rPr>
              <w:t xml:space="preserve"> </w:t>
            </w:r>
            <w:bookmarkStart w:id="81" w:name="_Hlk167831565"/>
            <w:r w:rsidR="0082171B" w:rsidRPr="0082171B">
              <w:rPr>
                <w:rFonts w:ascii="Calibri" w:eastAsia="Calibri" w:hAnsi="Calibri" w:cs="Calibri"/>
                <w:sz w:val="24"/>
                <w:szCs w:val="24"/>
                <w:lang w:val="sr-Latn-RS"/>
              </w:rPr>
              <w:t xml:space="preserve">Unapređenje materijalnih davanja za dostojanstven i aktivan život </w:t>
            </w:r>
            <w:bookmarkEnd w:id="81"/>
          </w:p>
        </w:tc>
      </w:tr>
      <w:tr w:rsidR="004248A4" w:rsidRPr="00F96844" w14:paraId="16DB4E27" w14:textId="77777777" w:rsidTr="003C5DC6">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2175" w:type="dxa"/>
          </w:tcPr>
          <w:p w14:paraId="19FA0034" w14:textId="77777777" w:rsidR="004248A4" w:rsidRPr="008046B8" w:rsidRDefault="004248A4" w:rsidP="004248A4">
            <w:pPr>
              <w:rPr>
                <w:rFonts w:asciiTheme="minorHAnsi" w:eastAsia="Calibri" w:hAnsiTheme="minorHAnsi" w:cstheme="minorHAnsi"/>
                <w:b w:val="0"/>
                <w:bCs w:val="0"/>
                <w:sz w:val="24"/>
                <w:szCs w:val="24"/>
                <w:lang w:val="sr-Latn-ME"/>
              </w:rPr>
            </w:pPr>
            <w:r w:rsidRPr="008046B8">
              <w:rPr>
                <w:rFonts w:asciiTheme="minorHAnsi" w:eastAsia="Calibri" w:hAnsiTheme="minorHAnsi" w:cstheme="minorHAnsi"/>
                <w:b w:val="0"/>
                <w:bCs w:val="0"/>
                <w:sz w:val="24"/>
                <w:szCs w:val="24"/>
                <w:lang w:val="sr-Latn-ME"/>
              </w:rPr>
              <w:lastRenderedPageBreak/>
              <w:t>Indikator učinka 1:</w:t>
            </w:r>
          </w:p>
          <w:p w14:paraId="26E686C3" w14:textId="77777777" w:rsidR="004248A4" w:rsidRPr="008046B8" w:rsidRDefault="0082171B" w:rsidP="004248A4">
            <w:pPr>
              <w:ind w:left="3"/>
              <w:rPr>
                <w:rFonts w:asciiTheme="minorHAnsi" w:eastAsia="Calibri" w:hAnsiTheme="minorHAnsi" w:cstheme="minorHAnsi"/>
                <w:bCs w:val="0"/>
                <w:sz w:val="24"/>
                <w:szCs w:val="24"/>
              </w:rPr>
            </w:pPr>
            <w:r w:rsidRPr="008046B8">
              <w:rPr>
                <w:rFonts w:asciiTheme="minorHAnsi" w:eastAsia="Calibri" w:hAnsiTheme="minorHAnsi" w:cstheme="minorHAnsi"/>
                <w:sz w:val="24"/>
                <w:szCs w:val="24"/>
              </w:rPr>
              <w:t xml:space="preserve">Broj radno sposobnih </w:t>
            </w:r>
            <w:r w:rsidR="00EB2F1D">
              <w:rPr>
                <w:rFonts w:asciiTheme="minorHAnsi" w:eastAsia="Calibri" w:hAnsiTheme="minorHAnsi" w:cstheme="minorHAnsi"/>
                <w:sz w:val="24"/>
                <w:szCs w:val="24"/>
              </w:rPr>
              <w:t>korisnika/korisnica</w:t>
            </w:r>
            <w:r w:rsidRPr="008046B8">
              <w:rPr>
                <w:rFonts w:asciiTheme="minorHAnsi" w:eastAsia="Calibri" w:hAnsiTheme="minorHAnsi" w:cstheme="minorHAnsi"/>
                <w:sz w:val="24"/>
                <w:szCs w:val="24"/>
              </w:rPr>
              <w:t xml:space="preserve"> MO</w:t>
            </w:r>
            <w:r w:rsidR="00867803">
              <w:rPr>
                <w:rFonts w:asciiTheme="minorHAnsi" w:eastAsia="Calibri" w:hAnsiTheme="minorHAnsi" w:cstheme="minorHAnsi"/>
                <w:sz w:val="24"/>
                <w:szCs w:val="24"/>
              </w:rPr>
              <w:t xml:space="preserve"> s i</w:t>
            </w:r>
            <w:r w:rsidRPr="008046B8">
              <w:rPr>
                <w:rFonts w:asciiTheme="minorHAnsi" w:eastAsia="Calibri" w:hAnsiTheme="minorHAnsi" w:cstheme="minorHAnsi"/>
                <w:sz w:val="24"/>
                <w:szCs w:val="24"/>
              </w:rPr>
              <w:t xml:space="preserve">zrađenim </w:t>
            </w:r>
            <w:r w:rsidR="00590570" w:rsidRPr="008046B8">
              <w:rPr>
                <w:rFonts w:asciiTheme="minorHAnsi" w:eastAsia="Calibri" w:hAnsiTheme="minorHAnsi" w:cstheme="minorHAnsi"/>
                <w:sz w:val="24"/>
                <w:szCs w:val="24"/>
              </w:rPr>
              <w:t xml:space="preserve">revidiranim </w:t>
            </w:r>
            <w:r w:rsidRPr="008046B8">
              <w:rPr>
                <w:rFonts w:asciiTheme="minorHAnsi" w:eastAsia="Calibri" w:hAnsiTheme="minorHAnsi" w:cstheme="minorHAnsi"/>
                <w:sz w:val="24"/>
                <w:szCs w:val="24"/>
              </w:rPr>
              <w:t>Individualnim planom aktivacije</w:t>
            </w:r>
          </w:p>
          <w:p w14:paraId="74CC9F55" w14:textId="77777777" w:rsidR="0035584F" w:rsidRPr="008046B8" w:rsidRDefault="0035584F" w:rsidP="004248A4">
            <w:pPr>
              <w:ind w:left="3"/>
              <w:rPr>
                <w:rFonts w:asciiTheme="minorHAnsi" w:eastAsia="Calibri" w:hAnsiTheme="minorHAnsi" w:cstheme="minorHAnsi"/>
                <w:b w:val="0"/>
                <w:sz w:val="24"/>
                <w:szCs w:val="24"/>
                <w:lang w:val="sr-Latn-ME"/>
              </w:rPr>
            </w:pPr>
          </w:p>
        </w:tc>
        <w:tc>
          <w:tcPr>
            <w:tcW w:w="3060" w:type="dxa"/>
          </w:tcPr>
          <w:p w14:paraId="69097E6E" w14:textId="73316FEB" w:rsidR="004248A4" w:rsidRPr="008046B8"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8046B8">
              <w:rPr>
                <w:rFonts w:asciiTheme="minorHAnsi" w:eastAsia="Calibri" w:hAnsiTheme="minorHAnsi" w:cstheme="minorHAnsi"/>
                <w:sz w:val="24"/>
                <w:szCs w:val="24"/>
                <w:lang w:val="sr-Latn-ME"/>
              </w:rPr>
              <w:t>202</w:t>
            </w:r>
            <w:r w:rsidR="0063199C">
              <w:rPr>
                <w:rFonts w:asciiTheme="minorHAnsi" w:eastAsia="Calibri" w:hAnsiTheme="minorHAnsi" w:cstheme="minorHAnsi"/>
                <w:sz w:val="24"/>
                <w:szCs w:val="24"/>
                <w:lang w:val="sr-Latn-ME"/>
              </w:rPr>
              <w:t>4</w:t>
            </w:r>
            <w:r w:rsidR="00CA36C9">
              <w:rPr>
                <w:rFonts w:asciiTheme="minorHAnsi" w:eastAsia="Calibri" w:hAnsiTheme="minorHAnsi" w:cstheme="minorHAnsi"/>
                <w:sz w:val="24"/>
                <w:szCs w:val="24"/>
                <w:lang w:val="sr-Latn-ME"/>
              </w:rPr>
              <w:t>.</w:t>
            </w:r>
          </w:p>
          <w:p w14:paraId="2C443A39" w14:textId="77777777" w:rsidR="004248A4" w:rsidRPr="008046B8" w:rsidRDefault="004248A4" w:rsidP="004248A4">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507A64A3" w14:textId="77777777" w:rsidR="004248A4" w:rsidRPr="008046B8" w:rsidRDefault="004248A4" w:rsidP="004248A4">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0273A972" w14:textId="77777777" w:rsidR="00CA36C9" w:rsidRDefault="0035325B" w:rsidP="00CA36C9">
            <w:pPr>
              <w:tabs>
                <w:tab w:val="left" w:pos="3132"/>
              </w:tabs>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Revidiranih Individualnih planova aktivacije</w:t>
            </w:r>
            <w:r w:rsidR="00CA36C9">
              <w:rPr>
                <w:rFonts w:asciiTheme="minorHAnsi" w:eastAsia="Calibri" w:hAnsiTheme="minorHAnsi" w:cstheme="minorHAnsi"/>
                <w:sz w:val="24"/>
                <w:szCs w:val="24"/>
                <w:lang w:val="sr-Latn-ME"/>
              </w:rPr>
              <w:t xml:space="preserve">: </w:t>
            </w:r>
            <w:r w:rsidR="00CA36C9" w:rsidRPr="008046B8">
              <w:rPr>
                <w:rFonts w:asciiTheme="minorHAnsi" w:eastAsia="Calibri" w:hAnsiTheme="minorHAnsi" w:cstheme="minorHAnsi"/>
                <w:sz w:val="24"/>
                <w:szCs w:val="24"/>
                <w:lang w:val="sr-Latn-ME"/>
              </w:rPr>
              <w:t>0</w:t>
            </w:r>
          </w:p>
          <w:p w14:paraId="2A3820EE" w14:textId="77777777" w:rsidR="0035325B" w:rsidRPr="008046B8" w:rsidRDefault="0035325B" w:rsidP="004248A4">
            <w:pPr>
              <w:tabs>
                <w:tab w:val="left" w:pos="3132"/>
              </w:tabs>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tc>
        <w:tc>
          <w:tcPr>
            <w:tcW w:w="2940" w:type="dxa"/>
          </w:tcPr>
          <w:p w14:paraId="46540BE0" w14:textId="6B86D570" w:rsidR="004248A4" w:rsidRPr="0035325B"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202</w:t>
            </w:r>
            <w:r w:rsidR="0063199C">
              <w:rPr>
                <w:rFonts w:asciiTheme="minorHAnsi" w:eastAsia="Calibri" w:hAnsiTheme="minorHAnsi" w:cstheme="minorHAnsi"/>
                <w:sz w:val="24"/>
                <w:szCs w:val="24"/>
                <w:lang w:val="sr-Latn-ME"/>
              </w:rPr>
              <w:t>6</w:t>
            </w:r>
            <w:r w:rsidR="00CA36C9">
              <w:rPr>
                <w:rFonts w:asciiTheme="minorHAnsi" w:eastAsia="Calibri" w:hAnsiTheme="minorHAnsi" w:cstheme="minorHAnsi"/>
                <w:sz w:val="24"/>
                <w:szCs w:val="24"/>
                <w:lang w:val="sr-Latn-ME"/>
              </w:rPr>
              <w:t>.</w:t>
            </w:r>
          </w:p>
          <w:p w14:paraId="215870CF" w14:textId="77777777" w:rsidR="004248A4" w:rsidRPr="0035325B" w:rsidRDefault="004248A4" w:rsidP="008046B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58EC8645" w14:textId="77777777" w:rsidR="004248A4" w:rsidRPr="0035325B" w:rsidRDefault="00857437"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rPr>
              <w:t>Revidiran Individualni plan aktivacije</w:t>
            </w:r>
            <w:r w:rsidRPr="0035325B">
              <w:rPr>
                <w:rFonts w:asciiTheme="minorHAnsi" w:eastAsia="Calibri" w:hAnsiTheme="minorHAnsi" w:cstheme="minorHAnsi"/>
                <w:sz w:val="24"/>
                <w:szCs w:val="24"/>
                <w:lang w:val="sr-Latn-ME"/>
              </w:rPr>
              <w:t xml:space="preserve"> za </w:t>
            </w:r>
            <w:r w:rsidR="004248A4" w:rsidRPr="0035325B">
              <w:rPr>
                <w:rFonts w:asciiTheme="minorHAnsi" w:eastAsia="Calibri" w:hAnsiTheme="minorHAnsi" w:cstheme="minorHAnsi"/>
                <w:sz w:val="24"/>
                <w:szCs w:val="24"/>
                <w:lang w:val="sr-Latn-ME"/>
              </w:rPr>
              <w:t xml:space="preserve">1000 </w:t>
            </w:r>
            <w:r w:rsidR="00590570" w:rsidRPr="0035325B">
              <w:rPr>
                <w:rFonts w:asciiTheme="minorHAnsi" w:eastAsia="Calibri" w:hAnsiTheme="minorHAnsi" w:cstheme="minorHAnsi"/>
                <w:sz w:val="24"/>
                <w:szCs w:val="24"/>
                <w:lang w:val="sr-Latn-ME"/>
              </w:rPr>
              <w:t xml:space="preserve">radno sposobnih </w:t>
            </w:r>
            <w:r w:rsidR="00EB2F1D">
              <w:rPr>
                <w:rFonts w:asciiTheme="minorHAnsi" w:eastAsia="Calibri" w:hAnsiTheme="minorHAnsi" w:cstheme="minorHAnsi"/>
                <w:sz w:val="24"/>
                <w:szCs w:val="24"/>
                <w:lang w:val="sr-Latn-ME"/>
              </w:rPr>
              <w:t>korisnika/korisnica</w:t>
            </w:r>
            <w:r w:rsidR="004248A4" w:rsidRPr="0035325B">
              <w:rPr>
                <w:rFonts w:asciiTheme="minorHAnsi" w:eastAsia="Calibri" w:hAnsiTheme="minorHAnsi" w:cstheme="minorHAnsi"/>
                <w:sz w:val="24"/>
                <w:szCs w:val="24"/>
                <w:lang w:val="sr-Latn-ME"/>
              </w:rPr>
              <w:t xml:space="preserve"> materijalnog obezbjeđenja</w:t>
            </w:r>
          </w:p>
          <w:p w14:paraId="04E7F371" w14:textId="77777777" w:rsidR="0035325B" w:rsidRPr="0035325B" w:rsidRDefault="0035325B"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(vodiće se računa o ravnomjernoj zastupljenosti žena i muškaraca prilikom revizije individualnih planova)</w:t>
            </w:r>
          </w:p>
        </w:tc>
        <w:tc>
          <w:tcPr>
            <w:tcW w:w="2265" w:type="dxa"/>
          </w:tcPr>
          <w:p w14:paraId="5172D884" w14:textId="427BC264" w:rsidR="004248A4" w:rsidRPr="0035325B"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202</w:t>
            </w:r>
            <w:r w:rsidR="0063199C">
              <w:rPr>
                <w:rFonts w:asciiTheme="minorHAnsi" w:eastAsia="Calibri" w:hAnsiTheme="minorHAnsi" w:cstheme="minorHAnsi"/>
                <w:sz w:val="24"/>
                <w:szCs w:val="24"/>
                <w:lang w:val="sr-Latn-ME"/>
              </w:rPr>
              <w:t>8</w:t>
            </w:r>
            <w:r w:rsidR="00CA36C9">
              <w:rPr>
                <w:rFonts w:asciiTheme="minorHAnsi" w:eastAsia="Calibri" w:hAnsiTheme="minorHAnsi" w:cstheme="minorHAnsi"/>
                <w:sz w:val="24"/>
                <w:szCs w:val="24"/>
                <w:lang w:val="sr-Latn-ME"/>
              </w:rPr>
              <w:t>.</w:t>
            </w:r>
          </w:p>
          <w:p w14:paraId="3DE92F12" w14:textId="77777777" w:rsidR="004248A4" w:rsidRPr="0035325B" w:rsidRDefault="004248A4" w:rsidP="008046B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35BFADB1" w14:textId="77777777" w:rsidR="004248A4" w:rsidRPr="0035325B" w:rsidRDefault="00857437"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rPr>
              <w:t>Revidiran Individualni plan aktivacije</w:t>
            </w:r>
            <w:r w:rsidRPr="0035325B">
              <w:rPr>
                <w:rFonts w:asciiTheme="minorHAnsi" w:eastAsia="Calibri" w:hAnsiTheme="minorHAnsi" w:cstheme="minorHAnsi"/>
                <w:sz w:val="24"/>
                <w:szCs w:val="24"/>
                <w:lang w:val="sr-Latn-ME"/>
              </w:rPr>
              <w:t xml:space="preserve"> za </w:t>
            </w:r>
            <w:r w:rsidR="004248A4" w:rsidRPr="0035325B">
              <w:rPr>
                <w:rFonts w:asciiTheme="minorHAnsi" w:eastAsia="Calibri" w:hAnsiTheme="minorHAnsi" w:cstheme="minorHAnsi"/>
                <w:sz w:val="24"/>
                <w:szCs w:val="24"/>
                <w:lang w:val="sr-Latn-ME"/>
              </w:rPr>
              <w:t xml:space="preserve">1200 </w:t>
            </w:r>
            <w:r w:rsidR="00590570" w:rsidRPr="0035325B">
              <w:rPr>
                <w:rFonts w:asciiTheme="minorHAnsi" w:eastAsia="Calibri" w:hAnsiTheme="minorHAnsi" w:cstheme="minorHAnsi"/>
                <w:sz w:val="24"/>
                <w:szCs w:val="24"/>
                <w:lang w:val="sr-Latn-ME"/>
              </w:rPr>
              <w:t xml:space="preserve">radno sposobnih </w:t>
            </w:r>
            <w:r w:rsidR="00EB2F1D">
              <w:rPr>
                <w:rFonts w:asciiTheme="minorHAnsi" w:eastAsia="Calibri" w:hAnsiTheme="minorHAnsi" w:cstheme="minorHAnsi"/>
                <w:sz w:val="24"/>
                <w:szCs w:val="24"/>
                <w:lang w:val="sr-Latn-ME"/>
              </w:rPr>
              <w:t>korisnika/korisnica</w:t>
            </w:r>
            <w:r w:rsidR="004248A4" w:rsidRPr="0035325B">
              <w:rPr>
                <w:rFonts w:asciiTheme="minorHAnsi" w:eastAsia="Calibri" w:hAnsiTheme="minorHAnsi" w:cstheme="minorHAnsi"/>
                <w:sz w:val="24"/>
                <w:szCs w:val="24"/>
                <w:lang w:val="sr-Latn-ME"/>
              </w:rPr>
              <w:t xml:space="preserve"> materijalnog obezbjeđenja</w:t>
            </w:r>
          </w:p>
          <w:p w14:paraId="15772536" w14:textId="77777777" w:rsidR="0035325B" w:rsidRPr="0035325B" w:rsidRDefault="0035325B"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(vodiće se računa o ravnomjernoj zastupljenosti žena i muškaraca prilikom revizije individualnih planova)</w:t>
            </w:r>
          </w:p>
        </w:tc>
      </w:tr>
      <w:tr w:rsidR="0035584F" w:rsidRPr="00F96844" w14:paraId="2A559CC0" w14:textId="77777777" w:rsidTr="003C5DC6">
        <w:trPr>
          <w:trHeight w:val="1848"/>
        </w:trPr>
        <w:tc>
          <w:tcPr>
            <w:cnfStyle w:val="001000000000" w:firstRow="0" w:lastRow="0" w:firstColumn="1" w:lastColumn="0" w:oddVBand="0" w:evenVBand="0" w:oddHBand="0" w:evenHBand="0" w:firstRowFirstColumn="0" w:firstRowLastColumn="0" w:lastRowFirstColumn="0" w:lastRowLastColumn="0"/>
            <w:tcW w:w="2175" w:type="dxa"/>
          </w:tcPr>
          <w:p w14:paraId="7651F738" w14:textId="77777777" w:rsidR="0035584F" w:rsidRDefault="0035584F" w:rsidP="0035584F">
            <w:pPr>
              <w:rPr>
                <w:rFonts w:asciiTheme="minorHAnsi" w:eastAsia="Calibri" w:hAnsiTheme="minorHAnsi" w:cstheme="minorHAnsi"/>
                <w:sz w:val="24"/>
                <w:szCs w:val="24"/>
                <w:lang w:val="sr-Latn-ME"/>
              </w:rPr>
            </w:pPr>
            <w:r>
              <w:rPr>
                <w:rFonts w:asciiTheme="minorHAnsi" w:eastAsia="Calibri" w:hAnsiTheme="minorHAnsi" w:cstheme="minorHAnsi"/>
                <w:b w:val="0"/>
                <w:bCs w:val="0"/>
                <w:sz w:val="24"/>
                <w:szCs w:val="24"/>
                <w:lang w:val="sr-Latn-ME"/>
              </w:rPr>
              <w:t>Indikator učinka 2:</w:t>
            </w:r>
          </w:p>
          <w:p w14:paraId="4186235E" w14:textId="77777777" w:rsidR="0035584F" w:rsidRPr="008046B8" w:rsidRDefault="0035584F" w:rsidP="0035584F">
            <w:pPr>
              <w:rPr>
                <w:rFonts w:asciiTheme="minorHAnsi" w:eastAsia="Calibri" w:hAnsiTheme="minorHAnsi" w:cstheme="minorHAnsi"/>
                <w:sz w:val="24"/>
                <w:szCs w:val="24"/>
                <w:lang w:val="sr-Latn-ME"/>
              </w:rPr>
            </w:pPr>
            <w:r w:rsidRPr="008046B8">
              <w:rPr>
                <w:rFonts w:asciiTheme="minorHAnsi" w:eastAsia="Calibri" w:hAnsiTheme="minorHAnsi" w:cstheme="minorHAnsi"/>
                <w:bCs w:val="0"/>
                <w:sz w:val="24"/>
                <w:szCs w:val="24"/>
                <w:lang w:val="sr-Latn-ME"/>
              </w:rPr>
              <w:t>Broj razvijenih programa aktivacije i novih zajedničkih metoda rada CSR i ZZZCG</w:t>
            </w:r>
          </w:p>
        </w:tc>
        <w:tc>
          <w:tcPr>
            <w:tcW w:w="3060" w:type="dxa"/>
          </w:tcPr>
          <w:p w14:paraId="5207A916" w14:textId="77777777" w:rsidR="00CA36C9" w:rsidRDefault="00CA36C9" w:rsidP="00CA36C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Pr>
                <w:rFonts w:asciiTheme="minorHAnsi" w:eastAsia="Calibri" w:hAnsiTheme="minorHAnsi" w:cstheme="minorHAnsi"/>
                <w:sz w:val="24"/>
                <w:szCs w:val="24"/>
                <w:lang w:val="sr-Latn-ME"/>
              </w:rPr>
              <w:t>P</w:t>
            </w:r>
            <w:r w:rsidR="0035325B" w:rsidRPr="0035325B">
              <w:rPr>
                <w:rFonts w:asciiTheme="minorHAnsi" w:eastAsia="Calibri" w:hAnsiTheme="minorHAnsi" w:cstheme="minorHAnsi"/>
                <w:sz w:val="24"/>
                <w:szCs w:val="24"/>
                <w:lang w:val="sr-Latn-ME"/>
              </w:rPr>
              <w:t>rograma aktivacije i novih zajedničkih metoda</w:t>
            </w:r>
            <w:r>
              <w:rPr>
                <w:rFonts w:asciiTheme="minorHAnsi" w:eastAsia="Calibri" w:hAnsiTheme="minorHAnsi" w:cstheme="minorHAnsi"/>
                <w:sz w:val="24"/>
                <w:szCs w:val="24"/>
                <w:lang w:val="sr-Latn-ME"/>
              </w:rPr>
              <w:t>: 0</w:t>
            </w:r>
          </w:p>
          <w:p w14:paraId="0AEE85F7" w14:textId="77777777" w:rsidR="0035325B" w:rsidRPr="00F96844" w:rsidRDefault="0035325B" w:rsidP="004248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p>
        </w:tc>
        <w:tc>
          <w:tcPr>
            <w:tcW w:w="2940" w:type="dxa"/>
          </w:tcPr>
          <w:p w14:paraId="7B960774" w14:textId="77777777" w:rsidR="0035325B" w:rsidRPr="0035325B" w:rsidRDefault="00CA36C9"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Pr>
                <w:rFonts w:asciiTheme="minorHAnsi" w:eastAsia="Calibri" w:hAnsiTheme="minorHAnsi" w:cstheme="minorHAnsi"/>
                <w:sz w:val="24"/>
                <w:szCs w:val="24"/>
                <w:lang w:val="sr-Latn-ME"/>
              </w:rPr>
              <w:t>P</w:t>
            </w:r>
            <w:r w:rsidR="0035325B" w:rsidRPr="0035325B">
              <w:rPr>
                <w:rFonts w:asciiTheme="minorHAnsi" w:eastAsia="Calibri" w:hAnsiTheme="minorHAnsi" w:cstheme="minorHAnsi"/>
                <w:sz w:val="24"/>
                <w:szCs w:val="24"/>
                <w:lang w:val="sr-Latn-ME"/>
              </w:rPr>
              <w:t xml:space="preserve">rograma aktivacije i novih zajedničkih metoda </w:t>
            </w:r>
          </w:p>
          <w:p w14:paraId="45A8EC38" w14:textId="77777777" w:rsidR="00CA36C9" w:rsidRDefault="0035325B" w:rsidP="00CA36C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(jedan program koji je namijenjen ženama)</w:t>
            </w:r>
            <w:r w:rsidR="00CA36C9">
              <w:rPr>
                <w:rFonts w:asciiTheme="minorHAnsi" w:eastAsia="Calibri" w:hAnsiTheme="minorHAnsi" w:cstheme="minorHAnsi"/>
                <w:sz w:val="24"/>
                <w:szCs w:val="24"/>
                <w:lang w:val="sr-Latn-ME"/>
              </w:rPr>
              <w:t>: 2</w:t>
            </w:r>
          </w:p>
          <w:p w14:paraId="7C7AFC94" w14:textId="77777777" w:rsidR="0035325B" w:rsidRPr="00F96844"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p>
        </w:tc>
        <w:tc>
          <w:tcPr>
            <w:tcW w:w="2265" w:type="dxa"/>
          </w:tcPr>
          <w:p w14:paraId="1538AA9C" w14:textId="77777777" w:rsidR="0035325B" w:rsidRPr="0035325B" w:rsidRDefault="00CA36C9"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Pr>
                <w:rFonts w:asciiTheme="minorHAnsi" w:eastAsia="Calibri" w:hAnsiTheme="minorHAnsi" w:cstheme="minorHAnsi"/>
                <w:sz w:val="24"/>
                <w:szCs w:val="24"/>
                <w:lang w:val="sr-Latn-ME"/>
              </w:rPr>
              <w:t>P</w:t>
            </w:r>
            <w:r w:rsidR="0035325B" w:rsidRPr="0035325B">
              <w:rPr>
                <w:rFonts w:asciiTheme="minorHAnsi" w:eastAsia="Calibri" w:hAnsiTheme="minorHAnsi" w:cstheme="minorHAnsi"/>
                <w:sz w:val="24"/>
                <w:szCs w:val="24"/>
                <w:lang w:val="sr-Latn-ME"/>
              </w:rPr>
              <w:t xml:space="preserve">rograma aktivacije i novih zajedničkih metoda </w:t>
            </w:r>
          </w:p>
          <w:p w14:paraId="39F5EB6E" w14:textId="77777777" w:rsidR="0035325B" w:rsidRPr="00F96844"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(minimum dva programa koji su namijenjeni ženama)</w:t>
            </w:r>
            <w:r w:rsidR="00CA36C9">
              <w:rPr>
                <w:rFonts w:asciiTheme="minorHAnsi" w:eastAsia="Calibri" w:hAnsiTheme="minorHAnsi" w:cstheme="minorHAnsi"/>
                <w:sz w:val="24"/>
                <w:szCs w:val="24"/>
                <w:lang w:val="sr-Latn-ME"/>
              </w:rPr>
              <w:t>: 4</w:t>
            </w:r>
          </w:p>
        </w:tc>
      </w:tr>
      <w:tr w:rsidR="004248A4" w:rsidRPr="00F96844" w14:paraId="06E8239F" w14:textId="77777777" w:rsidTr="003C5DC6">
        <w:trPr>
          <w:cnfStyle w:val="000000100000" w:firstRow="0" w:lastRow="0" w:firstColumn="0" w:lastColumn="0" w:oddVBand="0" w:evenVBand="0" w:oddHBand="1"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175" w:type="dxa"/>
          </w:tcPr>
          <w:p w14:paraId="316B37A9" w14:textId="77777777" w:rsidR="004248A4" w:rsidRPr="00F96844" w:rsidRDefault="004248A4" w:rsidP="004248A4">
            <w:pPr>
              <w:ind w:left="3"/>
              <w:rPr>
                <w:rFonts w:asciiTheme="minorHAnsi" w:eastAsia="Times New Roman" w:hAnsiTheme="minorHAnsi" w:cstheme="minorHAnsi"/>
                <w:b w:val="0"/>
                <w:bCs w:val="0"/>
                <w:sz w:val="24"/>
                <w:szCs w:val="24"/>
                <w:lang w:val="sr-Latn-ME"/>
              </w:rPr>
            </w:pPr>
            <w:r w:rsidRPr="00F96844">
              <w:rPr>
                <w:rFonts w:asciiTheme="minorHAnsi" w:eastAsia="Times New Roman" w:hAnsiTheme="minorHAnsi" w:cstheme="minorHAnsi"/>
                <w:b w:val="0"/>
                <w:bCs w:val="0"/>
                <w:sz w:val="24"/>
                <w:szCs w:val="24"/>
                <w:lang w:val="sr-Latn-ME"/>
              </w:rPr>
              <w:t xml:space="preserve">Indikator učinka </w:t>
            </w:r>
            <w:r w:rsidR="007D4DA3">
              <w:rPr>
                <w:rFonts w:asciiTheme="minorHAnsi" w:eastAsia="Times New Roman" w:hAnsiTheme="minorHAnsi" w:cstheme="minorHAnsi"/>
                <w:b w:val="0"/>
                <w:bCs w:val="0"/>
                <w:sz w:val="24"/>
                <w:szCs w:val="24"/>
                <w:lang w:val="sr-Latn-ME"/>
              </w:rPr>
              <w:t>4</w:t>
            </w:r>
            <w:r w:rsidRPr="00F96844">
              <w:rPr>
                <w:rFonts w:asciiTheme="minorHAnsi" w:eastAsia="Times New Roman" w:hAnsiTheme="minorHAnsi" w:cstheme="minorHAnsi"/>
                <w:b w:val="0"/>
                <w:bCs w:val="0"/>
                <w:sz w:val="24"/>
                <w:szCs w:val="24"/>
                <w:lang w:val="sr-Latn-ME"/>
              </w:rPr>
              <w:t>:</w:t>
            </w:r>
          </w:p>
          <w:p w14:paraId="794313ED" w14:textId="77777777" w:rsidR="004248A4" w:rsidRPr="00F96844" w:rsidRDefault="004248A4" w:rsidP="004248A4">
            <w:pPr>
              <w:ind w:left="3"/>
              <w:rPr>
                <w:rFonts w:asciiTheme="minorHAnsi" w:eastAsia="Calibri" w:hAnsiTheme="minorHAnsi" w:cstheme="minorHAnsi"/>
                <w:b w:val="0"/>
                <w:bCs w:val="0"/>
                <w:sz w:val="24"/>
                <w:szCs w:val="24"/>
                <w:lang w:val="sr-Latn-ME"/>
              </w:rPr>
            </w:pPr>
            <w:r w:rsidRPr="00F96844">
              <w:rPr>
                <w:rFonts w:asciiTheme="minorHAnsi" w:eastAsia="Times New Roman" w:hAnsiTheme="minorHAnsi" w:cstheme="minorHAnsi"/>
                <w:sz w:val="24"/>
                <w:szCs w:val="24"/>
                <w:lang w:val="sr-Latn-ME"/>
              </w:rPr>
              <w:t xml:space="preserve">Uvođenje </w:t>
            </w:r>
            <w:r w:rsidR="0035584F">
              <w:rPr>
                <w:rFonts w:asciiTheme="minorHAnsi" w:eastAsia="Times New Roman" w:hAnsiTheme="minorHAnsi" w:cstheme="minorHAnsi"/>
                <w:sz w:val="24"/>
                <w:szCs w:val="24"/>
                <w:lang w:val="sr-Latn-ME"/>
              </w:rPr>
              <w:t>inkluzivnog</w:t>
            </w:r>
            <w:r w:rsidRPr="00F96844">
              <w:rPr>
                <w:rFonts w:asciiTheme="minorHAnsi" w:eastAsia="Times New Roman" w:hAnsiTheme="minorHAnsi" w:cstheme="minorHAnsi"/>
                <w:sz w:val="24"/>
                <w:szCs w:val="24"/>
                <w:lang w:val="sr-Latn-ME"/>
              </w:rPr>
              <w:t xml:space="preserve"> dodatka za lica</w:t>
            </w:r>
            <w:r w:rsidR="00867803">
              <w:rPr>
                <w:rFonts w:asciiTheme="minorHAnsi" w:eastAsia="Times New Roman" w:hAnsiTheme="minorHAnsi" w:cstheme="minorHAnsi"/>
                <w:sz w:val="24"/>
                <w:szCs w:val="24"/>
                <w:lang w:val="sr-Latn-ME"/>
              </w:rPr>
              <w:t xml:space="preserve"> s i</w:t>
            </w:r>
            <w:r w:rsidRPr="00F96844">
              <w:rPr>
                <w:rFonts w:asciiTheme="minorHAnsi" w:eastAsia="Times New Roman" w:hAnsiTheme="minorHAnsi" w:cstheme="minorHAnsi"/>
                <w:sz w:val="24"/>
                <w:szCs w:val="24"/>
                <w:lang w:val="sr-Latn-ME"/>
              </w:rPr>
              <w:t>nvaliditetom zasnovanog na modelu ljudskih prava</w:t>
            </w:r>
          </w:p>
        </w:tc>
        <w:tc>
          <w:tcPr>
            <w:tcW w:w="3060" w:type="dxa"/>
          </w:tcPr>
          <w:p w14:paraId="1D605A85" w14:textId="77777777"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147D57B1" w14:textId="77777777"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F96844">
              <w:rPr>
                <w:rFonts w:asciiTheme="minorHAnsi" w:eastAsia="Calibri" w:hAnsiTheme="minorHAnsi" w:cstheme="minorHAnsi"/>
                <w:sz w:val="24"/>
                <w:szCs w:val="24"/>
                <w:lang w:val="sr-Latn-ME"/>
              </w:rPr>
              <w:t xml:space="preserve">Ne postoji </w:t>
            </w:r>
            <w:r w:rsidR="00CB3BB5">
              <w:rPr>
                <w:rFonts w:asciiTheme="minorHAnsi" w:eastAsia="Calibri" w:hAnsiTheme="minorHAnsi" w:cstheme="minorHAnsi"/>
                <w:sz w:val="24"/>
                <w:szCs w:val="24"/>
                <w:lang w:val="sr-Latn-ME"/>
              </w:rPr>
              <w:t>inkluzivni</w:t>
            </w:r>
            <w:r w:rsidRPr="00F96844">
              <w:rPr>
                <w:rFonts w:asciiTheme="minorHAnsi" w:eastAsia="Calibri" w:hAnsiTheme="minorHAnsi" w:cstheme="minorHAnsi"/>
                <w:sz w:val="24"/>
                <w:szCs w:val="24"/>
                <w:lang w:val="sr-Latn-ME"/>
              </w:rPr>
              <w:t xml:space="preserve"> dodatak za lica s invaliditetom</w:t>
            </w:r>
          </w:p>
          <w:p w14:paraId="2799DDB2" w14:textId="77777777"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F96844">
              <w:rPr>
                <w:rFonts w:asciiTheme="minorHAnsi" w:eastAsia="Calibri" w:hAnsiTheme="minorHAnsi" w:cstheme="minorHAnsi"/>
                <w:sz w:val="24"/>
                <w:szCs w:val="24"/>
                <w:lang w:val="sr-Latn-ME"/>
              </w:rPr>
              <w:tab/>
            </w:r>
          </w:p>
        </w:tc>
        <w:tc>
          <w:tcPr>
            <w:tcW w:w="2940" w:type="dxa"/>
          </w:tcPr>
          <w:p w14:paraId="54DAB893" w14:textId="77777777"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F96844">
              <w:rPr>
                <w:rFonts w:asciiTheme="minorHAnsi" w:eastAsia="Calibri" w:hAnsiTheme="minorHAnsi" w:cstheme="minorHAnsi"/>
                <w:sz w:val="24"/>
                <w:szCs w:val="24"/>
                <w:lang w:val="sr-Latn-ME"/>
              </w:rPr>
              <w:t>Usvojen Zakon o jedinstvenom vještačenju i osnovan Zavod za vještačenje invaliditeta</w:t>
            </w:r>
            <w:r w:rsidR="00CA36C9">
              <w:rPr>
                <w:rFonts w:asciiTheme="minorHAnsi" w:eastAsia="Calibri" w:hAnsiTheme="minorHAnsi" w:cstheme="minorHAnsi"/>
                <w:sz w:val="24"/>
                <w:szCs w:val="24"/>
                <w:lang w:val="sr-Latn-ME"/>
              </w:rPr>
              <w:t xml:space="preserve">, </w:t>
            </w:r>
            <w:r w:rsidRPr="00F96844">
              <w:rPr>
                <w:rFonts w:asciiTheme="minorHAnsi" w:eastAsia="Calibri" w:hAnsiTheme="minorHAnsi" w:cstheme="minorHAnsi"/>
                <w:sz w:val="24"/>
                <w:szCs w:val="24"/>
                <w:lang w:val="sr-Latn-ME"/>
              </w:rPr>
              <w:t xml:space="preserve">čime su ostvareni preduslovi za uvođenje </w:t>
            </w:r>
            <w:r w:rsidR="00CB3BB5">
              <w:rPr>
                <w:rFonts w:asciiTheme="minorHAnsi" w:eastAsia="Calibri" w:hAnsiTheme="minorHAnsi" w:cstheme="minorHAnsi"/>
                <w:sz w:val="24"/>
                <w:szCs w:val="24"/>
                <w:lang w:val="sr-Latn-ME"/>
              </w:rPr>
              <w:t>inkluzivnog</w:t>
            </w:r>
            <w:r w:rsidRPr="00F96844">
              <w:rPr>
                <w:rFonts w:asciiTheme="minorHAnsi" w:eastAsia="Calibri" w:hAnsiTheme="minorHAnsi" w:cstheme="minorHAnsi"/>
                <w:sz w:val="24"/>
                <w:szCs w:val="24"/>
                <w:lang w:val="sr-Latn-ME"/>
              </w:rPr>
              <w:t xml:space="preserve"> dodatka</w:t>
            </w:r>
          </w:p>
        </w:tc>
        <w:tc>
          <w:tcPr>
            <w:tcW w:w="2265" w:type="dxa"/>
          </w:tcPr>
          <w:p w14:paraId="65E7C11B" w14:textId="77777777" w:rsidR="004248A4" w:rsidRPr="00F96844" w:rsidRDefault="006D4537"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144ECF">
              <w:rPr>
                <w:rFonts w:asciiTheme="minorHAnsi" w:eastAsia="Calibri" w:hAnsiTheme="minorHAnsi" w:cstheme="minorHAnsi"/>
                <w:sz w:val="24"/>
                <w:szCs w:val="24"/>
                <w:lang w:val="sr-Latn-ME"/>
              </w:rPr>
              <w:t xml:space="preserve">Minimum 1500 korisnica i 1500 korisnika </w:t>
            </w:r>
            <w:r>
              <w:rPr>
                <w:rFonts w:asciiTheme="minorHAnsi" w:eastAsia="Calibri" w:hAnsiTheme="minorHAnsi" w:cstheme="minorHAnsi"/>
                <w:sz w:val="24"/>
                <w:szCs w:val="24"/>
                <w:lang w:val="sr-Latn-ME"/>
              </w:rPr>
              <w:t>inkluzivnog</w:t>
            </w:r>
            <w:r w:rsidRPr="00F96844">
              <w:rPr>
                <w:rFonts w:asciiTheme="minorHAnsi" w:eastAsia="Calibri" w:hAnsiTheme="minorHAnsi" w:cstheme="minorHAnsi"/>
                <w:sz w:val="24"/>
                <w:szCs w:val="24"/>
                <w:lang w:val="sr-Latn-ME"/>
              </w:rPr>
              <w:t xml:space="preserve"> dodatka kojima je utvrđen invaliditet u skladu sa modelom ljudskih prava</w:t>
            </w:r>
          </w:p>
        </w:tc>
      </w:tr>
    </w:tbl>
    <w:p w14:paraId="12AB3314" w14:textId="77777777" w:rsidR="004248A4" w:rsidRPr="00F96844" w:rsidRDefault="004248A4" w:rsidP="0003105B">
      <w:pPr>
        <w:spacing w:line="276" w:lineRule="auto"/>
        <w:jc w:val="both"/>
        <w:rPr>
          <w:rFonts w:eastAsia="Times New Roman" w:cs="Arial"/>
          <w:sz w:val="24"/>
          <w:szCs w:val="24"/>
          <w:lang w:val="sr-Latn-ME"/>
        </w:rPr>
      </w:pPr>
    </w:p>
    <w:p w14:paraId="4CD32F1A" w14:textId="77777777" w:rsidR="008B2F62" w:rsidRPr="00F96844" w:rsidRDefault="008B2F62" w:rsidP="00780738">
      <w:pPr>
        <w:pStyle w:val="Heading2"/>
        <w:rPr>
          <w:szCs w:val="24"/>
          <w:lang w:val="sr-Latn-ME" w:bidi="en-US"/>
        </w:rPr>
      </w:pPr>
      <w:bookmarkStart w:id="82" w:name="_Toc172541308"/>
      <w:r w:rsidRPr="00F96844">
        <w:rPr>
          <w:szCs w:val="24"/>
          <w:lang w:val="sr-Latn-ME" w:bidi="en-US"/>
        </w:rPr>
        <w:t>Usluge socijalne i dječje zaštite</w:t>
      </w:r>
      <w:bookmarkEnd w:id="82"/>
    </w:p>
    <w:p w14:paraId="5CC2D20F" w14:textId="77777777" w:rsidR="00E53258" w:rsidRPr="00F96844" w:rsidRDefault="00E53258" w:rsidP="00780738">
      <w:pPr>
        <w:jc w:val="both"/>
        <w:rPr>
          <w:rFonts w:cs="Arial"/>
          <w:b/>
          <w:bCs/>
          <w:sz w:val="24"/>
          <w:szCs w:val="24"/>
          <w:lang w:val="sr-Latn-ME" w:bidi="en-US"/>
        </w:rPr>
      </w:pPr>
    </w:p>
    <w:p w14:paraId="39016C95" w14:textId="77777777" w:rsidR="00E53258" w:rsidRDefault="008B2F62" w:rsidP="00780738">
      <w:pPr>
        <w:jc w:val="both"/>
        <w:rPr>
          <w:rFonts w:cs="Arial"/>
          <w:sz w:val="24"/>
          <w:szCs w:val="24"/>
          <w:lang w:val="sr-Latn-ME"/>
        </w:rPr>
      </w:pPr>
      <w:r w:rsidRPr="00F96844">
        <w:rPr>
          <w:rFonts w:cs="Arial"/>
          <w:sz w:val="24"/>
          <w:szCs w:val="24"/>
          <w:lang w:val="sr-Latn-ME"/>
        </w:rPr>
        <w:t>Usluge socijalne i dječje zaštite su razvrstane u četiri grupe: podrška za život u zajednici (dnevni boravak, pomoć u kući, stanovanje uz podršku, svratište, personalna asistencija, tumačenje i prevođenje na znakovni jezik i druge usluge podrške za život u zajednici); savjetodavno-terapijske i socijalno-edukativne usluge (savjetovanje, terapija, medijacija, SOS telefon i druge usluge s ciljem prevazilaženja kriznih situacija i unapređivanja porodičnih odnosa); smještaj (porodični smještaj</w:t>
      </w:r>
      <w:r w:rsidR="00CA36C9">
        <w:rPr>
          <w:rFonts w:cs="Arial"/>
          <w:sz w:val="24"/>
          <w:szCs w:val="24"/>
          <w:lang w:val="sr-Latn-ME"/>
        </w:rPr>
        <w:t>‒</w:t>
      </w:r>
      <w:r w:rsidRPr="00F96844">
        <w:rPr>
          <w:rFonts w:cs="Arial"/>
          <w:sz w:val="24"/>
          <w:szCs w:val="24"/>
          <w:lang w:val="sr-Latn-ME"/>
        </w:rPr>
        <w:t>hraniteljstvo, porodični smještaj, u</w:t>
      </w:r>
      <w:r w:rsidR="00E25B9C" w:rsidRPr="00F96844">
        <w:rPr>
          <w:rFonts w:cs="Arial"/>
          <w:sz w:val="24"/>
          <w:szCs w:val="24"/>
          <w:lang w:val="sr-Latn-ME"/>
        </w:rPr>
        <w:t xml:space="preserve"> </w:t>
      </w:r>
      <w:r w:rsidRPr="00F96844">
        <w:rPr>
          <w:rFonts w:cs="Arial"/>
          <w:sz w:val="24"/>
          <w:szCs w:val="24"/>
          <w:lang w:val="sr-Latn-ME"/>
        </w:rPr>
        <w:t>ustanovi, u prihvatilištu</w:t>
      </w:r>
      <w:r w:rsidR="00B53B8D">
        <w:rPr>
          <w:rFonts w:cs="Arial"/>
          <w:sz w:val="24"/>
          <w:szCs w:val="24"/>
          <w:lang w:val="sr-Latn-ME"/>
        </w:rPr>
        <w:t>‒</w:t>
      </w:r>
      <w:r w:rsidRPr="00F96844">
        <w:rPr>
          <w:rFonts w:cs="Arial"/>
          <w:sz w:val="24"/>
          <w:szCs w:val="24"/>
          <w:lang w:val="sr-Latn-ME"/>
        </w:rPr>
        <w:t>skloništu i u drugim vrstama smještaja; neodložne intervencije.</w:t>
      </w:r>
      <w:r w:rsidRPr="00F96844">
        <w:rPr>
          <w:rFonts w:cs="Arial"/>
          <w:sz w:val="24"/>
          <w:szCs w:val="24"/>
          <w:vertAlign w:val="superscript"/>
          <w:lang w:val="sr-Latn-ME"/>
        </w:rPr>
        <w:footnoteReference w:id="76"/>
      </w:r>
    </w:p>
    <w:p w14:paraId="06AF4F86" w14:textId="77777777" w:rsidR="00FB300E" w:rsidRPr="00F96844" w:rsidRDefault="00FB300E" w:rsidP="00780738">
      <w:pPr>
        <w:jc w:val="both"/>
        <w:rPr>
          <w:rFonts w:cs="Arial"/>
          <w:sz w:val="24"/>
          <w:szCs w:val="24"/>
          <w:lang w:val="sr-Latn-ME"/>
        </w:rPr>
      </w:pPr>
    </w:p>
    <w:p w14:paraId="0E8A6E6C" w14:textId="77777777" w:rsidR="008B2F62" w:rsidRPr="00F96844" w:rsidRDefault="008B2F62" w:rsidP="00780738">
      <w:pPr>
        <w:jc w:val="both"/>
        <w:rPr>
          <w:rFonts w:cs="Arial"/>
          <w:bCs/>
          <w:iCs/>
          <w:sz w:val="24"/>
          <w:szCs w:val="24"/>
          <w:lang w:val="sr-Latn-ME"/>
        </w:rPr>
      </w:pPr>
      <w:r w:rsidRPr="00F96844">
        <w:rPr>
          <w:rFonts w:cs="Arial"/>
          <w:bCs/>
          <w:iCs/>
          <w:sz w:val="24"/>
          <w:szCs w:val="24"/>
          <w:lang w:val="sr-Latn-ME"/>
        </w:rPr>
        <w:t>Broj licenciranih pružalaca</w:t>
      </w:r>
      <w:r w:rsidR="00610E8D">
        <w:rPr>
          <w:rFonts w:cs="Arial"/>
          <w:bCs/>
          <w:iCs/>
          <w:sz w:val="24"/>
          <w:szCs w:val="24"/>
          <w:lang w:val="sr-Latn-ME"/>
        </w:rPr>
        <w:t>/</w:t>
      </w:r>
      <w:r w:rsidR="00B53B8D">
        <w:rPr>
          <w:rFonts w:cs="Arial"/>
          <w:bCs/>
          <w:iCs/>
          <w:sz w:val="24"/>
          <w:szCs w:val="24"/>
          <w:lang w:val="sr-Latn-ME"/>
        </w:rPr>
        <w:t>pruža</w:t>
      </w:r>
      <w:r w:rsidR="00610E8D">
        <w:rPr>
          <w:rFonts w:cs="Arial"/>
          <w:bCs/>
          <w:iCs/>
          <w:sz w:val="24"/>
          <w:szCs w:val="24"/>
          <w:lang w:val="sr-Latn-ME"/>
        </w:rPr>
        <w:t>teljki</w:t>
      </w:r>
      <w:r w:rsidRPr="00F96844">
        <w:rPr>
          <w:rFonts w:cs="Arial"/>
          <w:bCs/>
          <w:iCs/>
          <w:sz w:val="24"/>
          <w:szCs w:val="24"/>
          <w:lang w:val="sr-Latn-ME"/>
        </w:rPr>
        <w:t xml:space="preserve"> usluga raste. Krajem 2023. godine </w:t>
      </w:r>
      <w:r w:rsidRPr="00FB300E">
        <w:rPr>
          <w:rFonts w:cs="Arial"/>
          <w:bCs/>
          <w:iCs/>
          <w:sz w:val="24"/>
          <w:szCs w:val="24"/>
          <w:lang w:val="sr-Latn-ME"/>
        </w:rPr>
        <w:t xml:space="preserve">bilo je </w:t>
      </w:r>
      <w:r w:rsidR="00FB300E" w:rsidRPr="00FB300E">
        <w:rPr>
          <w:rFonts w:cs="Arial"/>
          <w:bCs/>
          <w:iCs/>
          <w:sz w:val="24"/>
          <w:szCs w:val="24"/>
          <w:lang w:val="sr-Latn-ME"/>
        </w:rPr>
        <w:t>532</w:t>
      </w:r>
      <w:r w:rsidRPr="00F96844">
        <w:rPr>
          <w:rFonts w:cs="Arial"/>
          <w:bCs/>
          <w:iCs/>
          <w:sz w:val="24"/>
          <w:szCs w:val="24"/>
          <w:lang w:val="sr-Latn-ME"/>
        </w:rPr>
        <w:t xml:space="preserve"> pruža</w:t>
      </w:r>
      <w:r w:rsidR="00B53B8D">
        <w:rPr>
          <w:rFonts w:cs="Arial"/>
          <w:bCs/>
          <w:iCs/>
          <w:sz w:val="24"/>
          <w:szCs w:val="24"/>
          <w:lang w:val="sr-Latn-ME"/>
        </w:rPr>
        <w:t>la</w:t>
      </w:r>
      <w:r w:rsidRPr="00F96844">
        <w:rPr>
          <w:rFonts w:cs="Arial"/>
          <w:bCs/>
          <w:iCs/>
          <w:sz w:val="24"/>
          <w:szCs w:val="24"/>
          <w:lang w:val="sr-Latn-ME"/>
        </w:rPr>
        <w:t>ca</w:t>
      </w:r>
      <w:r w:rsidR="00610E8D">
        <w:rPr>
          <w:rFonts w:cs="Arial"/>
          <w:bCs/>
          <w:iCs/>
          <w:sz w:val="24"/>
          <w:szCs w:val="24"/>
          <w:lang w:val="sr-Latn-ME"/>
        </w:rPr>
        <w:t>/</w:t>
      </w:r>
      <w:r w:rsidR="00B53B8D">
        <w:rPr>
          <w:rFonts w:cs="Arial"/>
          <w:bCs/>
          <w:iCs/>
          <w:sz w:val="24"/>
          <w:szCs w:val="24"/>
          <w:lang w:val="sr-Latn-ME"/>
        </w:rPr>
        <w:t>pruža</w:t>
      </w:r>
      <w:r w:rsidR="00610E8D">
        <w:rPr>
          <w:rFonts w:cs="Arial"/>
          <w:bCs/>
          <w:iCs/>
          <w:sz w:val="24"/>
          <w:szCs w:val="24"/>
          <w:lang w:val="sr-Latn-ME"/>
        </w:rPr>
        <w:t>teljki</w:t>
      </w:r>
      <w:r w:rsidRPr="00F96844">
        <w:rPr>
          <w:rFonts w:cs="Arial"/>
          <w:bCs/>
          <w:iCs/>
          <w:sz w:val="24"/>
          <w:szCs w:val="24"/>
          <w:lang w:val="sr-Latn-ME"/>
        </w:rPr>
        <w:t xml:space="preserve"> usluga koji su pružali </w:t>
      </w:r>
      <w:r w:rsidR="00C05D67">
        <w:rPr>
          <w:rFonts w:cs="Arial"/>
          <w:bCs/>
          <w:iCs/>
          <w:sz w:val="24"/>
          <w:szCs w:val="24"/>
          <w:lang w:val="sr-Latn-ME"/>
        </w:rPr>
        <w:t xml:space="preserve">usluge: dnevni boravak, pomoć u kući, </w:t>
      </w:r>
      <w:r w:rsidR="00C05D67">
        <w:rPr>
          <w:rFonts w:cs="Arial"/>
          <w:bCs/>
          <w:iCs/>
          <w:sz w:val="24"/>
          <w:szCs w:val="24"/>
          <w:lang w:val="sr-Latn-ME"/>
        </w:rPr>
        <w:lastRenderedPageBreak/>
        <w:t>svratište, savjetovanje, SOS telefon, terapiju, smještaj u prihvatilište–sklonište, smještaj u ustanovu, porodični smještaj–hraniteljstvo i porodični smještaj.</w:t>
      </w:r>
    </w:p>
    <w:p w14:paraId="6FBAD530" w14:textId="77777777" w:rsidR="00B54FCF" w:rsidRDefault="00B54FCF" w:rsidP="005114FD">
      <w:pPr>
        <w:jc w:val="both"/>
        <w:rPr>
          <w:rFonts w:cs="Arial"/>
          <w:bCs/>
          <w:iCs/>
          <w:sz w:val="24"/>
          <w:szCs w:val="24"/>
          <w:lang w:val="sr-Latn-ME"/>
        </w:rPr>
      </w:pPr>
    </w:p>
    <w:p w14:paraId="6D9175DD" w14:textId="77777777" w:rsidR="00254CEE" w:rsidRPr="00F96844" w:rsidRDefault="00254CEE" w:rsidP="005114FD">
      <w:pPr>
        <w:jc w:val="both"/>
        <w:rPr>
          <w:rFonts w:cs="Arial"/>
          <w:b/>
          <w:iCs/>
          <w:sz w:val="24"/>
          <w:szCs w:val="24"/>
          <w:lang w:val="sr-Latn-ME"/>
        </w:rPr>
      </w:pPr>
    </w:p>
    <w:p w14:paraId="0063A0FE" w14:textId="77777777" w:rsidR="008B2F62" w:rsidRDefault="008B2F62" w:rsidP="005114FD">
      <w:pPr>
        <w:jc w:val="both"/>
        <w:rPr>
          <w:rFonts w:cs="Arial"/>
          <w:b/>
          <w:sz w:val="24"/>
          <w:szCs w:val="24"/>
          <w:lang w:val="sr-Latn-ME"/>
        </w:rPr>
      </w:pPr>
    </w:p>
    <w:p w14:paraId="0923CD93" w14:textId="77777777" w:rsidR="00F87030" w:rsidRPr="00F96844" w:rsidRDefault="00F87030" w:rsidP="005114FD">
      <w:pPr>
        <w:jc w:val="both"/>
        <w:rPr>
          <w:rFonts w:cs="Arial"/>
          <w:b/>
          <w:sz w:val="24"/>
          <w:szCs w:val="24"/>
          <w:lang w:val="sr-Latn-ME"/>
        </w:rPr>
      </w:pPr>
    </w:p>
    <w:p w14:paraId="3D9234B4" w14:textId="77777777" w:rsidR="008B2F62" w:rsidRPr="00F96844" w:rsidRDefault="008B2F62" w:rsidP="005114FD">
      <w:pPr>
        <w:jc w:val="both"/>
        <w:rPr>
          <w:rFonts w:cs="Arial"/>
          <w:sz w:val="24"/>
          <w:szCs w:val="24"/>
          <w:lang w:val="sr-Latn-ME"/>
        </w:rPr>
      </w:pPr>
      <w:r w:rsidRPr="00F96844">
        <w:rPr>
          <w:rFonts w:cs="Arial"/>
          <w:b/>
          <w:sz w:val="24"/>
          <w:szCs w:val="24"/>
          <w:lang w:val="sr-Latn-ME"/>
        </w:rPr>
        <w:t>Usluge podrške za život u zajednici</w:t>
      </w:r>
      <w:r w:rsidRPr="00F96844">
        <w:rPr>
          <w:rFonts w:cs="Arial"/>
          <w:sz w:val="24"/>
          <w:szCs w:val="24"/>
          <w:lang w:val="sr-Latn-ME"/>
        </w:rPr>
        <w:t xml:space="preserve"> obuhvataju aktivnosti koje podržavaju boravak </w:t>
      </w:r>
      <w:r w:rsidR="00EB2F1D">
        <w:rPr>
          <w:rFonts w:cs="Arial"/>
          <w:sz w:val="24"/>
          <w:szCs w:val="24"/>
          <w:lang w:val="sr-Latn-ME"/>
        </w:rPr>
        <w:t>korisnika/korisnica</w:t>
      </w:r>
      <w:r w:rsidRPr="00F96844">
        <w:rPr>
          <w:rFonts w:cs="Arial"/>
          <w:sz w:val="24"/>
          <w:szCs w:val="24"/>
          <w:lang w:val="sr-Latn-ME"/>
        </w:rPr>
        <w:t xml:space="preserve"> u porodici ili neposrednom okruženju. U Crnoj Gori u pre</w:t>
      </w:r>
      <w:r w:rsidR="00B53B8D">
        <w:rPr>
          <w:rFonts w:cs="Arial"/>
          <w:sz w:val="24"/>
          <w:szCs w:val="24"/>
          <w:lang w:val="sr-Latn-ME"/>
        </w:rPr>
        <w:t>t</w:t>
      </w:r>
      <w:r w:rsidRPr="00F96844">
        <w:rPr>
          <w:rFonts w:cs="Arial"/>
          <w:sz w:val="24"/>
          <w:szCs w:val="24"/>
          <w:lang w:val="sr-Latn-ME"/>
        </w:rPr>
        <w:t xml:space="preserve">hodnom periodu su najviše razvijene usluge dnevnih boravaka i pomoći u kući, dok usluge stanovanja uz podršku i prevođenja na znakovni jezik ne postoje. </w:t>
      </w:r>
    </w:p>
    <w:p w14:paraId="2CFCBD5E" w14:textId="77777777" w:rsidR="008B2F62" w:rsidRPr="00F96844" w:rsidRDefault="00E16213" w:rsidP="005114FD">
      <w:pPr>
        <w:jc w:val="both"/>
        <w:rPr>
          <w:rFonts w:cs="Arial"/>
          <w:sz w:val="24"/>
          <w:szCs w:val="24"/>
          <w:lang w:val="sr-Latn-ME"/>
        </w:rPr>
      </w:pPr>
      <w:r w:rsidRPr="00F96844">
        <w:rPr>
          <w:rFonts w:cs="Arial"/>
          <w:noProof/>
          <w:sz w:val="24"/>
          <w:szCs w:val="24"/>
          <w:lang w:val="sr-Latn-ME" w:eastAsia="sr-Latn-ME"/>
        </w:rPr>
        <w:drawing>
          <wp:inline distT="0" distB="0" distL="0" distR="0" wp14:anchorId="5D2C3CD3" wp14:editId="05265667">
            <wp:extent cx="6391275" cy="29622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6F97D7C" w14:textId="77777777" w:rsidR="008B2F62" w:rsidRPr="00F96844" w:rsidRDefault="008B2F62" w:rsidP="005114FD">
      <w:pPr>
        <w:jc w:val="both"/>
        <w:rPr>
          <w:rFonts w:cs="Arial"/>
          <w:sz w:val="24"/>
          <w:szCs w:val="24"/>
          <w:lang w:val="sr-Latn-ME"/>
        </w:rPr>
      </w:pPr>
    </w:p>
    <w:p w14:paraId="5C50030B" w14:textId="77777777" w:rsidR="008B2F62" w:rsidRPr="00F96844" w:rsidRDefault="008B2F62" w:rsidP="005114FD">
      <w:pPr>
        <w:jc w:val="both"/>
        <w:rPr>
          <w:rFonts w:cs="Arial"/>
          <w:sz w:val="24"/>
          <w:szCs w:val="24"/>
          <w:lang w:val="sr-Latn-ME"/>
        </w:rPr>
      </w:pPr>
    </w:p>
    <w:p w14:paraId="0491A6B9" w14:textId="5969ABC1" w:rsidR="008B2F62" w:rsidRPr="00F96844" w:rsidRDefault="008B2F62" w:rsidP="00780738">
      <w:pPr>
        <w:jc w:val="both"/>
        <w:rPr>
          <w:rFonts w:cs="Arial"/>
          <w:sz w:val="24"/>
          <w:szCs w:val="24"/>
          <w:lang w:val="sr-Latn-ME"/>
        </w:rPr>
      </w:pPr>
      <w:r w:rsidRPr="00F96844">
        <w:rPr>
          <w:rFonts w:cs="Arial"/>
          <w:sz w:val="24"/>
          <w:szCs w:val="24"/>
          <w:lang w:val="sr-Latn-ME"/>
        </w:rPr>
        <w:t>U Crnoj Gori je licencirano 1</w:t>
      </w:r>
      <w:r w:rsidR="00C05D67">
        <w:rPr>
          <w:rFonts w:cs="Arial"/>
          <w:sz w:val="24"/>
          <w:szCs w:val="24"/>
          <w:lang w:val="sr-Latn-ME"/>
        </w:rPr>
        <w:t>7</w:t>
      </w:r>
      <w:r w:rsidRPr="00F96844">
        <w:rPr>
          <w:rFonts w:cs="Arial"/>
          <w:sz w:val="24"/>
          <w:szCs w:val="24"/>
          <w:lang w:val="sr-Latn-ME"/>
        </w:rPr>
        <w:t xml:space="preserve"> pružalaca usluge </w:t>
      </w:r>
      <w:r w:rsidRPr="00F96844">
        <w:rPr>
          <w:rFonts w:cs="Arial"/>
          <w:b/>
          <w:sz w:val="24"/>
          <w:szCs w:val="24"/>
          <w:lang w:val="sr-Latn-ME"/>
        </w:rPr>
        <w:t>dnevnog boravka za djecu i mlade sa smetnjama i teškoćama</w:t>
      </w:r>
      <w:r w:rsidRPr="00F96844">
        <w:rPr>
          <w:rFonts w:cs="Arial"/>
          <w:sz w:val="24"/>
          <w:szCs w:val="24"/>
          <w:lang w:val="sr-Latn-ME"/>
        </w:rPr>
        <w:t xml:space="preserve"> u razvoju u 16 opština (1</w:t>
      </w:r>
      <w:r w:rsidR="00C05D67">
        <w:rPr>
          <w:rFonts w:cs="Arial"/>
          <w:sz w:val="24"/>
          <w:szCs w:val="24"/>
          <w:lang w:val="sr-Latn-ME"/>
        </w:rPr>
        <w:t>6</w:t>
      </w:r>
      <w:r w:rsidRPr="00F96844">
        <w:rPr>
          <w:rFonts w:cs="Arial"/>
          <w:sz w:val="24"/>
          <w:szCs w:val="24"/>
          <w:lang w:val="sr-Latn-ME"/>
        </w:rPr>
        <w:t xml:space="preserve"> su javne ustanove uključujući i dnevne boravke u sklopu JU Dječji dom „Mladost” u Bijeloj</w:t>
      </w:r>
      <w:r w:rsidR="00C05D67">
        <w:rPr>
          <w:rFonts w:cs="Arial"/>
          <w:sz w:val="24"/>
          <w:szCs w:val="24"/>
          <w:lang w:val="sr-Latn-ME"/>
        </w:rPr>
        <w:t>), a navedenu uslugu pruža i</w:t>
      </w:r>
      <w:r w:rsidRPr="00F96844">
        <w:rPr>
          <w:rFonts w:cs="Arial"/>
          <w:sz w:val="24"/>
          <w:szCs w:val="24"/>
          <w:lang w:val="sr-Latn-ME"/>
        </w:rPr>
        <w:t xml:space="preserve"> JU Resursni centar za sluh i govor </w:t>
      </w:r>
      <w:r w:rsidR="00B53B8D" w:rsidRPr="00B53B8D">
        <w:rPr>
          <w:rFonts w:cs="Arial"/>
          <w:sz w:val="24"/>
          <w:szCs w:val="24"/>
          <w:lang w:val="sr-Latn-ME"/>
        </w:rPr>
        <w:t>„</w:t>
      </w:r>
      <w:r w:rsidR="00B53B8D">
        <w:rPr>
          <w:rFonts w:cs="Arial"/>
          <w:sz w:val="24"/>
          <w:szCs w:val="24"/>
          <w:lang w:val="sr-Latn-ME"/>
        </w:rPr>
        <w:t>D</w:t>
      </w:r>
      <w:r w:rsidRPr="00F96844">
        <w:rPr>
          <w:rFonts w:cs="Arial"/>
          <w:sz w:val="24"/>
          <w:szCs w:val="24"/>
          <w:lang w:val="sr-Latn-ME"/>
        </w:rPr>
        <w:t>r Peruta Ivanović”</w:t>
      </w:r>
      <w:r w:rsidR="00B53B8D">
        <w:rPr>
          <w:rFonts w:cs="Arial"/>
          <w:sz w:val="24"/>
          <w:szCs w:val="24"/>
          <w:lang w:val="sr-Latn-ME"/>
        </w:rPr>
        <w:t xml:space="preserve"> ‒</w:t>
      </w:r>
      <w:r w:rsidRPr="00F96844">
        <w:rPr>
          <w:rFonts w:cs="Arial"/>
          <w:sz w:val="24"/>
          <w:szCs w:val="24"/>
          <w:lang w:val="sr-Latn-ME"/>
        </w:rPr>
        <w:t xml:space="preserve"> Kotor</w:t>
      </w:r>
      <w:r w:rsidR="00B53B8D">
        <w:rPr>
          <w:rFonts w:cs="Arial"/>
          <w:sz w:val="24"/>
          <w:szCs w:val="24"/>
          <w:lang w:val="sr-Latn-ME"/>
        </w:rPr>
        <w:t>,</w:t>
      </w:r>
      <w:r w:rsidR="00C05D67">
        <w:rPr>
          <w:rFonts w:cs="Arial"/>
          <w:sz w:val="24"/>
          <w:szCs w:val="24"/>
          <w:lang w:val="sr-Latn-ME"/>
        </w:rPr>
        <w:t xml:space="preserve"> koji nije licenciran</w:t>
      </w:r>
      <w:r w:rsidRPr="00F96844">
        <w:rPr>
          <w:rFonts w:cs="Arial"/>
          <w:sz w:val="24"/>
          <w:szCs w:val="24"/>
          <w:lang w:val="sr-Latn-ME"/>
        </w:rPr>
        <w:t xml:space="preserve">. </w:t>
      </w:r>
      <w:r w:rsidRPr="005B7D8D">
        <w:rPr>
          <w:rFonts w:cs="Arial"/>
          <w:sz w:val="24"/>
          <w:szCs w:val="24"/>
          <w:lang w:val="sr-Latn-ME"/>
        </w:rPr>
        <w:t xml:space="preserve">Ministarstvo </w:t>
      </w:r>
      <w:r w:rsidR="00422BC1" w:rsidRPr="005B7D8D">
        <w:rPr>
          <w:rFonts w:cs="Arial"/>
          <w:sz w:val="24"/>
          <w:szCs w:val="24"/>
          <w:lang w:val="sr-Latn-ME"/>
        </w:rPr>
        <w:t>s</w:t>
      </w:r>
      <w:r w:rsidR="00D14334" w:rsidRPr="005B7D8D">
        <w:rPr>
          <w:rFonts w:cs="Arial"/>
          <w:sz w:val="24"/>
          <w:szCs w:val="24"/>
          <w:lang w:val="sr-Latn-ME"/>
        </w:rPr>
        <w:t>ocijalnog staranja, brige o porodici i demografije</w:t>
      </w:r>
      <w:r w:rsidR="00422BC1" w:rsidRPr="005B7D8D">
        <w:rPr>
          <w:rFonts w:cs="Arial"/>
          <w:sz w:val="24"/>
          <w:szCs w:val="24"/>
          <w:lang w:val="sr-Latn-ME"/>
        </w:rPr>
        <w:t xml:space="preserve"> </w:t>
      </w:r>
      <w:r w:rsidRPr="005B7D8D">
        <w:rPr>
          <w:rFonts w:cs="Arial"/>
          <w:sz w:val="24"/>
          <w:szCs w:val="24"/>
          <w:lang w:val="sr-Latn-ME"/>
        </w:rPr>
        <w:t xml:space="preserve">finansijski participira u ovoj usluzi na način što plaća troškove </w:t>
      </w:r>
      <w:r w:rsidR="00EB2F1D" w:rsidRPr="005B7D8D">
        <w:rPr>
          <w:rFonts w:cs="Arial"/>
          <w:sz w:val="24"/>
          <w:szCs w:val="24"/>
          <w:lang w:val="sr-Latn-ME"/>
        </w:rPr>
        <w:t>korisnika/korisnica</w:t>
      </w:r>
      <w:r w:rsidRPr="005B7D8D">
        <w:rPr>
          <w:rFonts w:cs="Arial"/>
          <w:sz w:val="24"/>
          <w:szCs w:val="24"/>
          <w:lang w:val="sr-Latn-ME"/>
        </w:rPr>
        <w:t xml:space="preserve">, a jedinice lokalnih samouprava obezbjeđuju zarade i snose druge troškove, osim za dnevni boravak pri JU Dječji </w:t>
      </w:r>
      <w:r w:rsidR="00B53B8D" w:rsidRPr="005B7D8D">
        <w:rPr>
          <w:rFonts w:cs="Arial"/>
          <w:sz w:val="24"/>
          <w:szCs w:val="24"/>
          <w:lang w:val="sr-Latn-ME"/>
        </w:rPr>
        <w:t>d</w:t>
      </w:r>
      <w:r w:rsidRPr="005B7D8D">
        <w:rPr>
          <w:rFonts w:cs="Arial"/>
          <w:sz w:val="24"/>
          <w:szCs w:val="24"/>
          <w:lang w:val="sr-Latn-ME"/>
        </w:rPr>
        <w:t xml:space="preserve">om </w:t>
      </w:r>
      <w:r w:rsidR="00B53B8D" w:rsidRPr="005B7D8D">
        <w:rPr>
          <w:rFonts w:cs="Arial"/>
          <w:sz w:val="24"/>
          <w:szCs w:val="24"/>
          <w:lang w:val="sr-Latn-ME"/>
        </w:rPr>
        <w:t>„</w:t>
      </w:r>
      <w:r w:rsidRPr="005B7D8D">
        <w:rPr>
          <w:rFonts w:cs="Arial"/>
          <w:sz w:val="24"/>
          <w:szCs w:val="24"/>
          <w:lang w:val="sr-Latn-ME"/>
        </w:rPr>
        <w:t>Mladost</w:t>
      </w:r>
      <w:r w:rsidR="00B53B8D" w:rsidRPr="005B7D8D">
        <w:rPr>
          <w:rFonts w:cs="Arial"/>
          <w:sz w:val="24"/>
          <w:szCs w:val="24"/>
          <w:lang w:val="sr-Latn-ME"/>
        </w:rPr>
        <w:t>”,</w:t>
      </w:r>
      <w:r w:rsidRPr="005B7D8D">
        <w:rPr>
          <w:rFonts w:cs="Arial"/>
          <w:sz w:val="24"/>
          <w:szCs w:val="24"/>
          <w:lang w:val="sr-Latn-ME"/>
        </w:rPr>
        <w:t xml:space="preserve"> gdje sve troškove pokriva MSS</w:t>
      </w:r>
      <w:r w:rsidR="00F13713" w:rsidRPr="005B7D8D">
        <w:rPr>
          <w:rFonts w:cs="Arial"/>
          <w:sz w:val="24"/>
          <w:szCs w:val="24"/>
          <w:lang w:val="sr-Latn-ME"/>
        </w:rPr>
        <w:t>D</w:t>
      </w:r>
      <w:r w:rsidRPr="005B7D8D">
        <w:rPr>
          <w:rFonts w:cs="Arial"/>
          <w:sz w:val="24"/>
          <w:szCs w:val="24"/>
          <w:lang w:val="sr-Latn-ME"/>
        </w:rPr>
        <w:t>. U Podgorici i jedna NVO pruža uslugu dnevnog boravka za djecu i mlade sa smetnjama i teškoćama u razvoju.</w:t>
      </w:r>
      <w:r w:rsidRPr="005B7D8D">
        <w:rPr>
          <w:rFonts w:cs="Arial"/>
          <w:b/>
          <w:sz w:val="24"/>
          <w:szCs w:val="24"/>
          <w:lang w:val="sr-Latn-ME"/>
        </w:rPr>
        <w:t xml:space="preserve"> </w:t>
      </w:r>
      <w:r w:rsidRPr="005B7D8D">
        <w:rPr>
          <w:rFonts w:cs="Arial"/>
          <w:sz w:val="24"/>
          <w:szCs w:val="24"/>
          <w:lang w:val="sr-Latn-ME"/>
        </w:rPr>
        <w:t>Usluge dnevnog boravka u 17 dnevnih centara</w:t>
      </w:r>
      <w:r w:rsidRPr="00F96844">
        <w:rPr>
          <w:rFonts w:cs="Arial"/>
          <w:sz w:val="24"/>
          <w:szCs w:val="24"/>
          <w:lang w:val="sr-Latn-ME"/>
        </w:rPr>
        <w:t xml:space="preserve"> u decembru 2023. godini koristilo je 350 korisnika.</w:t>
      </w:r>
    </w:p>
    <w:p w14:paraId="62B5C5FF" w14:textId="77777777" w:rsidR="00E53258" w:rsidRPr="00F96844" w:rsidRDefault="00E53258" w:rsidP="00780738">
      <w:pPr>
        <w:jc w:val="both"/>
        <w:rPr>
          <w:rFonts w:cs="Arial"/>
          <w:sz w:val="24"/>
          <w:szCs w:val="24"/>
          <w:lang w:val="sr-Latn-ME"/>
        </w:rPr>
      </w:pPr>
    </w:p>
    <w:p w14:paraId="7279A9B7" w14:textId="15A9E3E3" w:rsidR="008B2F62" w:rsidRPr="00F96844" w:rsidRDefault="008B2F62" w:rsidP="00780738">
      <w:pPr>
        <w:jc w:val="both"/>
        <w:rPr>
          <w:rFonts w:cs="Arial"/>
          <w:color w:val="000000" w:themeColor="text1"/>
          <w:sz w:val="24"/>
          <w:szCs w:val="24"/>
          <w:lang w:val="sr-Latn-ME"/>
        </w:rPr>
      </w:pPr>
      <w:r w:rsidRPr="00F96844">
        <w:rPr>
          <w:rFonts w:cs="Arial"/>
          <w:sz w:val="24"/>
          <w:szCs w:val="24"/>
          <w:lang w:val="sr-Latn-ME"/>
        </w:rPr>
        <w:t xml:space="preserve">U Crnoj Gori funkcioniše </w:t>
      </w:r>
      <w:r w:rsidRPr="00584FD3">
        <w:rPr>
          <w:rFonts w:cs="Arial"/>
          <w:b/>
          <w:sz w:val="24"/>
          <w:szCs w:val="24"/>
          <w:lang w:val="sr-Latn-ME"/>
        </w:rPr>
        <w:t>2</w:t>
      </w:r>
      <w:r w:rsidR="008C3555">
        <w:rPr>
          <w:rFonts w:cs="Arial"/>
          <w:b/>
          <w:sz w:val="24"/>
          <w:szCs w:val="24"/>
          <w:lang w:val="sr-Latn-ME"/>
        </w:rPr>
        <w:t>0</w:t>
      </w:r>
      <w:r w:rsidRPr="00584FD3">
        <w:rPr>
          <w:rFonts w:cs="Arial"/>
          <w:b/>
          <w:sz w:val="24"/>
          <w:szCs w:val="24"/>
          <w:lang w:val="sr-Latn-ME"/>
        </w:rPr>
        <w:t xml:space="preserve"> dnevni boravak za odrasla i stara</w:t>
      </w:r>
      <w:r w:rsidRPr="00F96844">
        <w:rPr>
          <w:rFonts w:cs="Arial"/>
          <w:sz w:val="24"/>
          <w:szCs w:val="24"/>
          <w:lang w:val="sr-Latn-ME"/>
        </w:rPr>
        <w:t xml:space="preserve"> lica</w:t>
      </w:r>
      <w:r w:rsidR="00867803">
        <w:rPr>
          <w:rFonts w:cs="Arial"/>
          <w:sz w:val="24"/>
          <w:szCs w:val="24"/>
          <w:lang w:val="sr-Latn-ME"/>
        </w:rPr>
        <w:t xml:space="preserve"> s i</w:t>
      </w:r>
      <w:r w:rsidRPr="00F96844">
        <w:rPr>
          <w:rFonts w:cs="Arial"/>
          <w:sz w:val="24"/>
          <w:szCs w:val="24"/>
          <w:lang w:val="sr-Latn-ME"/>
        </w:rPr>
        <w:t>nvaliditetom i odrasla i stara lica kojima je u</w:t>
      </w:r>
      <w:r w:rsidR="009F661D">
        <w:rPr>
          <w:rFonts w:cs="Arial"/>
          <w:sz w:val="24"/>
          <w:szCs w:val="24"/>
          <w:lang w:val="sr-Latn-ME"/>
        </w:rPr>
        <w:t>sljed</w:t>
      </w:r>
      <w:r w:rsidRPr="00F96844">
        <w:rPr>
          <w:rFonts w:cs="Arial"/>
          <w:sz w:val="24"/>
          <w:szCs w:val="24"/>
          <w:lang w:val="sr-Latn-ME"/>
        </w:rPr>
        <w:t xml:space="preserve"> posebnih okolnosti i socijalnog rizika potreban odgovarajući oblik socijalne zaštite. Tri dnevna boravka funkcionišu u okviru dnevnih centara, dva pružaju NVO, a ostale usluge dnevnih boravaka pružaju </w:t>
      </w:r>
      <w:r w:rsidR="00CE1CD2">
        <w:rPr>
          <w:rFonts w:cs="Arial"/>
          <w:sz w:val="24"/>
          <w:szCs w:val="24"/>
          <w:lang w:val="sr-Latn-ME"/>
        </w:rPr>
        <w:t>d</w:t>
      </w:r>
      <w:r w:rsidRPr="00F96844">
        <w:rPr>
          <w:rFonts w:cs="Arial"/>
          <w:sz w:val="24"/>
          <w:szCs w:val="24"/>
          <w:lang w:val="sr-Latn-ME"/>
        </w:rPr>
        <w:t>omovi starih. Za pružanje usluge dnevnog boravka za odrasla i stara</w:t>
      </w:r>
      <w:r w:rsidR="00CE1CD2">
        <w:rPr>
          <w:rFonts w:cs="Arial"/>
          <w:sz w:val="24"/>
          <w:szCs w:val="24"/>
          <w:lang w:val="sr-Latn-ME"/>
        </w:rPr>
        <w:t xml:space="preserve"> lica, </w:t>
      </w:r>
      <w:r w:rsidRPr="00F96844">
        <w:rPr>
          <w:rFonts w:cs="Arial"/>
          <w:sz w:val="24"/>
          <w:szCs w:val="24"/>
          <w:lang w:val="sr-Latn-ME"/>
        </w:rPr>
        <w:t>lica</w:t>
      </w:r>
      <w:r w:rsidR="00867803">
        <w:rPr>
          <w:rFonts w:cs="Arial"/>
          <w:sz w:val="24"/>
          <w:szCs w:val="24"/>
          <w:lang w:val="sr-Latn-ME"/>
        </w:rPr>
        <w:t xml:space="preserve"> s i</w:t>
      </w:r>
      <w:r w:rsidRPr="00F96844">
        <w:rPr>
          <w:rFonts w:cs="Arial"/>
          <w:sz w:val="24"/>
          <w:szCs w:val="24"/>
          <w:lang w:val="sr-Latn-ME"/>
        </w:rPr>
        <w:t>nvaliditetom</w:t>
      </w:r>
      <w:r w:rsidR="00B53B8D">
        <w:rPr>
          <w:rFonts w:cs="Arial"/>
          <w:sz w:val="24"/>
          <w:szCs w:val="24"/>
          <w:lang w:val="sr-Latn-ME"/>
        </w:rPr>
        <w:t>,</w:t>
      </w:r>
      <w:r w:rsidRPr="00F96844">
        <w:rPr>
          <w:rFonts w:cs="Arial"/>
          <w:sz w:val="24"/>
          <w:szCs w:val="24"/>
          <w:lang w:val="sr-Latn-ME"/>
        </w:rPr>
        <w:t xml:space="preserve"> licencirana </w:t>
      </w:r>
      <w:r w:rsidR="00B53B8D" w:rsidRPr="00F96844">
        <w:rPr>
          <w:rFonts w:cs="Arial"/>
          <w:sz w:val="24"/>
          <w:szCs w:val="24"/>
          <w:lang w:val="sr-Latn-ME"/>
        </w:rPr>
        <w:t xml:space="preserve">su </w:t>
      </w:r>
      <w:r w:rsidRPr="00F96844">
        <w:rPr>
          <w:rFonts w:cs="Arial"/>
          <w:sz w:val="24"/>
          <w:szCs w:val="24"/>
          <w:lang w:val="sr-Latn-ME"/>
        </w:rPr>
        <w:t xml:space="preserve">četiri od pet </w:t>
      </w:r>
      <w:r w:rsidR="00B53B8D">
        <w:rPr>
          <w:rFonts w:cs="Arial"/>
          <w:sz w:val="24"/>
          <w:szCs w:val="24"/>
          <w:lang w:val="sr-Latn-ME"/>
        </w:rPr>
        <w:t>d</w:t>
      </w:r>
      <w:r w:rsidRPr="00F96844">
        <w:rPr>
          <w:rFonts w:cs="Arial"/>
          <w:sz w:val="24"/>
          <w:szCs w:val="24"/>
          <w:lang w:val="sr-Latn-ME"/>
        </w:rPr>
        <w:t xml:space="preserve">omova starih. Preko projekta koje sprovodi </w:t>
      </w:r>
      <w:r w:rsidRPr="005B7D8D">
        <w:rPr>
          <w:rFonts w:cs="Arial"/>
          <w:sz w:val="24"/>
          <w:szCs w:val="24"/>
          <w:lang w:val="sr-Latn-ME"/>
        </w:rPr>
        <w:t>MSS</w:t>
      </w:r>
      <w:r w:rsidR="00F13713" w:rsidRPr="005B7D8D">
        <w:rPr>
          <w:rFonts w:cs="Arial"/>
          <w:sz w:val="24"/>
          <w:szCs w:val="24"/>
          <w:lang w:val="sr-Latn-ME"/>
        </w:rPr>
        <w:t>D</w:t>
      </w:r>
      <w:r w:rsidRPr="005B7D8D">
        <w:rPr>
          <w:rFonts w:cs="Arial"/>
          <w:sz w:val="24"/>
          <w:szCs w:val="24"/>
          <w:lang w:val="sr-Latn-ME"/>
        </w:rPr>
        <w:t xml:space="preserve"> u</w:t>
      </w:r>
      <w:r w:rsidRPr="00F96844">
        <w:rPr>
          <w:rFonts w:cs="Arial"/>
          <w:sz w:val="24"/>
          <w:szCs w:val="24"/>
          <w:lang w:val="sr-Latn-ME"/>
        </w:rPr>
        <w:t xml:space="preserve">z podršku UNDP-a </w:t>
      </w:r>
      <w:r w:rsidRPr="00F96844">
        <w:rPr>
          <w:rFonts w:cs="Arial"/>
          <w:sz w:val="24"/>
          <w:szCs w:val="24"/>
          <w:lang w:val="sr-Latn-ME"/>
        </w:rPr>
        <w:lastRenderedPageBreak/>
        <w:t>funkci</w:t>
      </w:r>
      <w:r w:rsidR="006E685A">
        <w:rPr>
          <w:rFonts w:cs="Arial"/>
          <w:sz w:val="24"/>
          <w:szCs w:val="24"/>
          <w:lang w:val="sr-Latn-ME"/>
        </w:rPr>
        <w:t>oni</w:t>
      </w:r>
      <w:r w:rsidRPr="00F96844">
        <w:rPr>
          <w:rFonts w:cs="Arial"/>
          <w:sz w:val="24"/>
          <w:szCs w:val="24"/>
          <w:lang w:val="sr-Latn-ME"/>
        </w:rPr>
        <w:t xml:space="preserve">še </w:t>
      </w:r>
      <w:r w:rsidR="006E685A">
        <w:rPr>
          <w:rFonts w:cs="Arial"/>
          <w:sz w:val="24"/>
          <w:szCs w:val="24"/>
          <w:lang w:val="sr-Latn-ME"/>
        </w:rPr>
        <w:t xml:space="preserve">12 </w:t>
      </w:r>
      <w:r w:rsidRPr="00F96844">
        <w:rPr>
          <w:rFonts w:cs="Arial"/>
          <w:sz w:val="24"/>
          <w:szCs w:val="24"/>
          <w:lang w:val="sr-Latn-ME"/>
        </w:rPr>
        <w:t>dnevnih boravaka za</w:t>
      </w:r>
      <w:r w:rsidR="00CE1CD2">
        <w:rPr>
          <w:rFonts w:cs="Arial"/>
          <w:sz w:val="24"/>
          <w:szCs w:val="24"/>
          <w:lang w:val="sr-Latn-ME"/>
        </w:rPr>
        <w:t xml:space="preserve"> odrasla</w:t>
      </w:r>
      <w:r w:rsidRPr="00F96844">
        <w:rPr>
          <w:rFonts w:cs="Arial"/>
          <w:sz w:val="24"/>
          <w:szCs w:val="24"/>
          <w:lang w:val="sr-Latn-ME"/>
        </w:rPr>
        <w:t xml:space="preserve"> i stara</w:t>
      </w:r>
      <w:r w:rsidR="00CE1CD2">
        <w:rPr>
          <w:rFonts w:cs="Arial"/>
          <w:sz w:val="24"/>
          <w:szCs w:val="24"/>
          <w:lang w:val="sr-Latn-ME"/>
        </w:rPr>
        <w:t xml:space="preserve"> lica i</w:t>
      </w:r>
      <w:r w:rsidRPr="00F96844">
        <w:rPr>
          <w:rFonts w:cs="Arial"/>
          <w:sz w:val="24"/>
          <w:szCs w:val="24"/>
          <w:lang w:val="sr-Latn-ME"/>
        </w:rPr>
        <w:t xml:space="preserve"> lica</w:t>
      </w:r>
      <w:r w:rsidR="00867803">
        <w:rPr>
          <w:rFonts w:cs="Arial"/>
          <w:sz w:val="24"/>
          <w:szCs w:val="24"/>
          <w:lang w:val="sr-Latn-ME"/>
        </w:rPr>
        <w:t xml:space="preserve"> s i</w:t>
      </w:r>
      <w:r w:rsidRPr="00F96844">
        <w:rPr>
          <w:rFonts w:cs="Arial"/>
          <w:sz w:val="24"/>
          <w:szCs w:val="24"/>
          <w:lang w:val="sr-Latn-ME"/>
        </w:rPr>
        <w:t xml:space="preserve">nvaliditetom. Usluge dnevnih boravaka je u decembru 2023. godine koristilo </w:t>
      </w:r>
      <w:r w:rsidRPr="00F96844">
        <w:rPr>
          <w:rFonts w:cs="Arial"/>
          <w:color w:val="000000" w:themeColor="text1"/>
          <w:sz w:val="24"/>
          <w:szCs w:val="24"/>
          <w:lang w:val="sr-Latn-ME"/>
        </w:rPr>
        <w:t xml:space="preserve">oko </w:t>
      </w:r>
      <w:r w:rsidR="005F1519" w:rsidRPr="00F96844">
        <w:rPr>
          <w:rFonts w:cs="Arial"/>
          <w:color w:val="000000" w:themeColor="text1"/>
          <w:sz w:val="24"/>
          <w:szCs w:val="24"/>
          <w:lang w:val="sr-Latn-ME"/>
        </w:rPr>
        <w:t>1</w:t>
      </w:r>
      <w:r w:rsidRPr="00F96844">
        <w:rPr>
          <w:rFonts w:cs="Arial"/>
          <w:color w:val="000000" w:themeColor="text1"/>
          <w:sz w:val="24"/>
          <w:szCs w:val="24"/>
          <w:lang w:val="sr-Latn-ME"/>
        </w:rPr>
        <w:t xml:space="preserve">00 </w:t>
      </w:r>
      <w:r w:rsidR="00EB2F1D">
        <w:rPr>
          <w:rFonts w:cs="Arial"/>
          <w:color w:val="000000" w:themeColor="text1"/>
          <w:sz w:val="24"/>
          <w:szCs w:val="24"/>
          <w:lang w:val="sr-Latn-ME"/>
        </w:rPr>
        <w:t>korisnika/korisnica</w:t>
      </w:r>
      <w:r w:rsidRPr="00F96844">
        <w:rPr>
          <w:rFonts w:cs="Arial"/>
          <w:color w:val="000000" w:themeColor="text1"/>
          <w:sz w:val="24"/>
          <w:szCs w:val="24"/>
          <w:lang w:val="sr-Latn-ME"/>
        </w:rPr>
        <w:t xml:space="preserve">. </w:t>
      </w:r>
    </w:p>
    <w:p w14:paraId="4070C8C4" w14:textId="77777777" w:rsidR="00E53258" w:rsidRPr="00F96844" w:rsidRDefault="00E53258" w:rsidP="00780738">
      <w:pPr>
        <w:jc w:val="both"/>
        <w:rPr>
          <w:rFonts w:cs="Arial"/>
          <w:iCs/>
          <w:sz w:val="24"/>
          <w:szCs w:val="24"/>
          <w:lang w:val="sr-Latn-ME"/>
        </w:rPr>
      </w:pPr>
    </w:p>
    <w:p w14:paraId="41D2E7A3" w14:textId="77777777" w:rsidR="008B2F62" w:rsidRPr="00F96844" w:rsidRDefault="008B2F62" w:rsidP="00780738">
      <w:pPr>
        <w:jc w:val="both"/>
        <w:rPr>
          <w:rFonts w:cs="Arial"/>
          <w:iCs/>
          <w:sz w:val="24"/>
          <w:szCs w:val="24"/>
          <w:lang w:val="sr-Latn-ME"/>
        </w:rPr>
      </w:pPr>
      <w:r w:rsidRPr="00F96844">
        <w:rPr>
          <w:rFonts w:cs="Arial"/>
          <w:iCs/>
          <w:sz w:val="24"/>
          <w:szCs w:val="24"/>
          <w:lang w:val="sr-Latn-ME"/>
        </w:rPr>
        <w:t>Godišnji rashodi</w:t>
      </w:r>
      <w:r w:rsidR="00867803">
        <w:rPr>
          <w:rFonts w:cs="Arial"/>
          <w:iCs/>
          <w:sz w:val="24"/>
          <w:szCs w:val="24"/>
          <w:lang w:val="sr-Latn-ME"/>
        </w:rPr>
        <w:t xml:space="preserve"> s n</w:t>
      </w:r>
      <w:r w:rsidRPr="00F96844">
        <w:rPr>
          <w:rFonts w:cs="Arial"/>
          <w:iCs/>
          <w:sz w:val="24"/>
          <w:szCs w:val="24"/>
          <w:lang w:val="sr-Latn-ME"/>
        </w:rPr>
        <w:t xml:space="preserve">acionalnog nivoa za javne ustanove dnevne centre za boravak djece i mladih sa smetnjama i teškoćama u razvoju odraslih </w:t>
      </w:r>
      <w:r w:rsidR="009D0797">
        <w:rPr>
          <w:rFonts w:cs="Arial"/>
          <w:iCs/>
          <w:sz w:val="24"/>
          <w:szCs w:val="24"/>
          <w:lang w:val="sr-Latn-ME"/>
        </w:rPr>
        <w:t xml:space="preserve">i starih lica </w:t>
      </w:r>
      <w:r w:rsidR="00CB2880">
        <w:rPr>
          <w:rFonts w:cs="Arial"/>
          <w:iCs/>
          <w:sz w:val="24"/>
          <w:szCs w:val="24"/>
          <w:lang w:val="sr-Latn-ME"/>
        </w:rPr>
        <w:t xml:space="preserve">i </w:t>
      </w:r>
      <w:r w:rsidRPr="00F96844">
        <w:rPr>
          <w:rFonts w:cs="Arial"/>
          <w:iCs/>
          <w:sz w:val="24"/>
          <w:szCs w:val="24"/>
          <w:lang w:val="sr-Latn-ME"/>
        </w:rPr>
        <w:t>OSI iznosili su u 2023. godini oko 873</w:t>
      </w:r>
      <w:r w:rsidR="009D0797">
        <w:rPr>
          <w:rFonts w:cs="Arial"/>
          <w:iCs/>
          <w:sz w:val="24"/>
          <w:szCs w:val="24"/>
          <w:lang w:val="sr-Latn-ME"/>
        </w:rPr>
        <w:t>.000</w:t>
      </w:r>
      <w:r w:rsidRPr="00F96844">
        <w:rPr>
          <w:rFonts w:cs="Arial"/>
          <w:iCs/>
          <w:sz w:val="24"/>
          <w:szCs w:val="24"/>
          <w:lang w:val="sr-Latn-ME"/>
        </w:rPr>
        <w:t xml:space="preserve"> </w:t>
      </w:r>
      <w:r w:rsidR="009D0797">
        <w:rPr>
          <w:rFonts w:cs="Arial"/>
          <w:iCs/>
          <w:sz w:val="24"/>
          <w:szCs w:val="24"/>
          <w:lang w:val="sr-Latn-ME"/>
        </w:rPr>
        <w:t>e</w:t>
      </w:r>
      <w:r w:rsidRPr="00F96844">
        <w:rPr>
          <w:rFonts w:cs="Arial"/>
          <w:iCs/>
          <w:sz w:val="24"/>
          <w:szCs w:val="24"/>
          <w:lang w:val="sr-Latn-ME"/>
        </w:rPr>
        <w:t>ura, a za dnevne boravke za  odrasla i stara lica</w:t>
      </w:r>
      <w:r w:rsidR="00A50080">
        <w:rPr>
          <w:rFonts w:cs="Arial"/>
          <w:iCs/>
          <w:sz w:val="24"/>
          <w:szCs w:val="24"/>
          <w:lang w:val="sr-Latn-ME"/>
        </w:rPr>
        <w:t>, lica</w:t>
      </w:r>
      <w:r w:rsidR="00867803">
        <w:rPr>
          <w:rFonts w:cs="Arial"/>
          <w:iCs/>
          <w:sz w:val="24"/>
          <w:szCs w:val="24"/>
          <w:lang w:val="sr-Latn-ME"/>
        </w:rPr>
        <w:t xml:space="preserve"> s i</w:t>
      </w:r>
      <w:r w:rsidRPr="00F96844">
        <w:rPr>
          <w:rFonts w:cs="Arial"/>
          <w:iCs/>
          <w:sz w:val="24"/>
          <w:szCs w:val="24"/>
          <w:lang w:val="sr-Latn-ME"/>
        </w:rPr>
        <w:t>nvaliditetom koji funkcionišu u saradnji s UNDP u 2023. godini rashodi su iznosili oko 264</w:t>
      </w:r>
      <w:r w:rsidR="0028142A">
        <w:rPr>
          <w:rFonts w:cs="Arial"/>
          <w:iCs/>
          <w:sz w:val="24"/>
          <w:szCs w:val="24"/>
          <w:lang w:val="sr-Latn-ME"/>
        </w:rPr>
        <w:t>.000</w:t>
      </w:r>
      <w:r w:rsidRPr="00F96844">
        <w:rPr>
          <w:rFonts w:cs="Arial"/>
          <w:iCs/>
          <w:sz w:val="24"/>
          <w:szCs w:val="24"/>
          <w:lang w:val="sr-Latn-ME"/>
        </w:rPr>
        <w:t xml:space="preserve"> </w:t>
      </w:r>
      <w:r w:rsidR="0028142A">
        <w:rPr>
          <w:rFonts w:cs="Arial"/>
          <w:iCs/>
          <w:sz w:val="24"/>
          <w:szCs w:val="24"/>
          <w:lang w:val="sr-Latn-ME"/>
        </w:rPr>
        <w:t>e</w:t>
      </w:r>
      <w:r w:rsidRPr="00F96844">
        <w:rPr>
          <w:rFonts w:cs="Arial"/>
          <w:iCs/>
          <w:sz w:val="24"/>
          <w:szCs w:val="24"/>
          <w:lang w:val="sr-Latn-ME"/>
        </w:rPr>
        <w:t xml:space="preserve">ura. </w:t>
      </w:r>
    </w:p>
    <w:p w14:paraId="530D2949" w14:textId="77777777" w:rsidR="00E53258" w:rsidRPr="00F96844" w:rsidRDefault="00E53258" w:rsidP="00780738">
      <w:pPr>
        <w:jc w:val="both"/>
        <w:rPr>
          <w:rFonts w:cs="Arial"/>
          <w:i/>
          <w:sz w:val="24"/>
          <w:szCs w:val="24"/>
          <w:lang w:val="sr-Latn-ME"/>
        </w:rPr>
      </w:pPr>
    </w:p>
    <w:p w14:paraId="3AF5C3E4" w14:textId="77777777" w:rsidR="00042853" w:rsidRDefault="009A6E36" w:rsidP="00780738">
      <w:pPr>
        <w:jc w:val="both"/>
        <w:rPr>
          <w:rFonts w:cs="Arial"/>
          <w:iCs/>
          <w:sz w:val="24"/>
          <w:szCs w:val="24"/>
          <w:lang w:val="sr-Latn-ME"/>
        </w:rPr>
      </w:pPr>
      <w:r w:rsidRPr="00F96844">
        <w:rPr>
          <w:rFonts w:cs="Arial"/>
          <w:b/>
          <w:sz w:val="24"/>
          <w:szCs w:val="24"/>
          <w:lang w:val="sr-Latn-ME"/>
        </w:rPr>
        <w:t>Dnevni boravak za djecu</w:t>
      </w:r>
      <w:r w:rsidR="004C5D23">
        <w:rPr>
          <w:rFonts w:cs="Arial"/>
          <w:b/>
          <w:sz w:val="24"/>
          <w:szCs w:val="24"/>
          <w:lang w:val="sr-Latn-ME"/>
        </w:rPr>
        <w:t xml:space="preserve"> s p</w:t>
      </w:r>
      <w:r w:rsidRPr="00F96844">
        <w:rPr>
          <w:rFonts w:cs="Arial"/>
          <w:b/>
          <w:sz w:val="24"/>
          <w:szCs w:val="24"/>
          <w:lang w:val="sr-Latn-ME"/>
        </w:rPr>
        <w:t>roblemima u ponašanju</w:t>
      </w:r>
      <w:r w:rsidRPr="00F96844">
        <w:rPr>
          <w:rFonts w:cs="Arial"/>
          <w:sz w:val="24"/>
          <w:szCs w:val="24"/>
          <w:lang w:val="sr-Latn-ME"/>
        </w:rPr>
        <w:t xml:space="preserve"> pružaju tri licencirana pružaoca usluga u dvije opštine (JU Centar “Ljubović” i dvije NVO). </w:t>
      </w:r>
      <w:r w:rsidRPr="00F96844">
        <w:rPr>
          <w:rFonts w:cs="Arial"/>
          <w:iCs/>
          <w:sz w:val="24"/>
          <w:szCs w:val="24"/>
          <w:lang w:val="sr-Latn-ME"/>
        </w:rPr>
        <w:t>Dnevni boravak za djecu i mlade</w:t>
      </w:r>
      <w:r w:rsidR="004C5D23">
        <w:rPr>
          <w:rFonts w:cs="Arial"/>
          <w:iCs/>
          <w:sz w:val="24"/>
          <w:szCs w:val="24"/>
          <w:lang w:val="sr-Latn-ME"/>
        </w:rPr>
        <w:t xml:space="preserve"> s p</w:t>
      </w:r>
      <w:r w:rsidRPr="00F96844">
        <w:rPr>
          <w:rFonts w:cs="Arial"/>
          <w:iCs/>
          <w:sz w:val="24"/>
          <w:szCs w:val="24"/>
          <w:lang w:val="sr-Latn-ME"/>
        </w:rPr>
        <w:t xml:space="preserve">roblemima u ponašanju predstavlja značajan resurs u dijelu </w:t>
      </w:r>
      <w:r w:rsidR="00042853">
        <w:rPr>
          <w:rFonts w:cs="Arial"/>
          <w:iCs/>
          <w:sz w:val="24"/>
          <w:szCs w:val="24"/>
          <w:lang w:val="sr-Latn-ME"/>
        </w:rPr>
        <w:t xml:space="preserve">njihove </w:t>
      </w:r>
      <w:r w:rsidR="009E798B">
        <w:rPr>
          <w:rFonts w:cs="Arial"/>
          <w:iCs/>
          <w:sz w:val="24"/>
          <w:szCs w:val="24"/>
          <w:lang w:val="sr-Latn-ME"/>
        </w:rPr>
        <w:t>socijalizacije, razvoja životnih vještina, lične i društvene odgovornosti i ponašanja u granicama društveno prihvatljivog</w:t>
      </w:r>
      <w:r w:rsidRPr="00F96844">
        <w:rPr>
          <w:rFonts w:cs="Arial"/>
          <w:iCs/>
          <w:sz w:val="24"/>
          <w:szCs w:val="24"/>
          <w:lang w:val="sr-Latn-ME"/>
        </w:rPr>
        <w:t xml:space="preserve"> </w:t>
      </w:r>
      <w:r w:rsidR="009E798B">
        <w:rPr>
          <w:rFonts w:cs="Arial"/>
          <w:iCs/>
          <w:sz w:val="24"/>
          <w:szCs w:val="24"/>
          <w:lang w:val="sr-Latn-ME"/>
        </w:rPr>
        <w:t>ponašanja</w:t>
      </w:r>
      <w:r w:rsidRPr="00F96844">
        <w:rPr>
          <w:rFonts w:cs="Arial"/>
          <w:iCs/>
          <w:sz w:val="24"/>
          <w:szCs w:val="24"/>
          <w:lang w:val="sr-Latn-ME"/>
        </w:rPr>
        <w:t xml:space="preserve">. </w:t>
      </w:r>
      <w:r w:rsidRPr="00F96844">
        <w:rPr>
          <w:rFonts w:cs="Arial"/>
          <w:sz w:val="24"/>
          <w:szCs w:val="24"/>
          <w:lang w:val="sr-Latn-ME"/>
        </w:rPr>
        <w:t xml:space="preserve">Ove usluge je u 2023. godini koristilo </w:t>
      </w:r>
      <w:r w:rsidR="00B07604">
        <w:rPr>
          <w:rFonts w:cs="Arial"/>
          <w:sz w:val="24"/>
          <w:szCs w:val="24"/>
          <w:lang w:val="sr-Latn-ME"/>
        </w:rPr>
        <w:t>2</w:t>
      </w:r>
      <w:r w:rsidRPr="00F96844">
        <w:rPr>
          <w:rFonts w:cs="Arial"/>
          <w:sz w:val="24"/>
          <w:szCs w:val="24"/>
          <w:lang w:val="sr-Latn-ME"/>
        </w:rPr>
        <w:t>4 k</w:t>
      </w:r>
      <w:r w:rsidR="00B53B8D">
        <w:rPr>
          <w:rFonts w:cs="Arial"/>
          <w:sz w:val="24"/>
          <w:szCs w:val="24"/>
          <w:lang w:val="sr-Latn-ME"/>
        </w:rPr>
        <w:t>orisnika/korisnice</w:t>
      </w:r>
      <w:r w:rsidRPr="00F96844">
        <w:rPr>
          <w:rFonts w:cs="Arial"/>
          <w:sz w:val="24"/>
          <w:szCs w:val="24"/>
          <w:lang w:val="sr-Latn-ME"/>
        </w:rPr>
        <w:t xml:space="preserve">. </w:t>
      </w:r>
      <w:r w:rsidR="00042853">
        <w:rPr>
          <w:rFonts w:cs="Arial"/>
          <w:sz w:val="24"/>
          <w:szCs w:val="24"/>
          <w:lang w:val="sr-Latn-ME"/>
        </w:rPr>
        <w:t xml:space="preserve"> </w:t>
      </w:r>
    </w:p>
    <w:p w14:paraId="0168CAAA" w14:textId="77777777" w:rsidR="00042853" w:rsidRDefault="00042853" w:rsidP="00780738">
      <w:pPr>
        <w:jc w:val="both"/>
        <w:rPr>
          <w:rFonts w:cs="Arial"/>
          <w:iCs/>
          <w:sz w:val="24"/>
          <w:szCs w:val="24"/>
          <w:lang w:val="sr-Latn-ME"/>
        </w:rPr>
      </w:pPr>
    </w:p>
    <w:p w14:paraId="2C337E27" w14:textId="77777777" w:rsidR="009A6E36" w:rsidRDefault="00042853"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009A6E36" w:rsidRPr="00F96844">
        <w:rPr>
          <w:rFonts w:cs="Arial"/>
          <w:iCs/>
          <w:sz w:val="24"/>
          <w:szCs w:val="24"/>
          <w:lang w:val="sr-Latn-ME"/>
        </w:rPr>
        <w:t xml:space="preserve"> </w:t>
      </w:r>
    </w:p>
    <w:p w14:paraId="4E7B5FF5" w14:textId="77777777" w:rsidR="00042853" w:rsidRDefault="00042853" w:rsidP="00780738">
      <w:pPr>
        <w:jc w:val="both"/>
        <w:rPr>
          <w:rFonts w:cs="Arial"/>
          <w:iCs/>
          <w:sz w:val="24"/>
          <w:szCs w:val="24"/>
          <w:lang w:val="sr-Latn-ME"/>
        </w:rPr>
      </w:pPr>
    </w:p>
    <w:p w14:paraId="6E1D0B69" w14:textId="77777777" w:rsidR="00274E72" w:rsidRPr="00930BD0" w:rsidRDefault="00274E72" w:rsidP="00780738">
      <w:pPr>
        <w:pStyle w:val="ListParagraph"/>
        <w:numPr>
          <w:ilvl w:val="0"/>
          <w:numId w:val="14"/>
        </w:numPr>
        <w:jc w:val="both"/>
        <w:rPr>
          <w:rFonts w:cs="Arial"/>
          <w:iCs/>
          <w:sz w:val="24"/>
          <w:szCs w:val="24"/>
          <w:lang w:val="sr-Latn-ME"/>
        </w:rPr>
      </w:pPr>
      <w:r w:rsidRPr="00930BD0">
        <w:rPr>
          <w:rFonts w:cs="Arial"/>
          <w:iCs/>
          <w:sz w:val="24"/>
          <w:szCs w:val="24"/>
          <w:lang w:val="sr-Latn-ME"/>
        </w:rPr>
        <w:t>d</w:t>
      </w:r>
      <w:r w:rsidR="00042853" w:rsidRPr="00930BD0">
        <w:rPr>
          <w:rFonts w:cs="Arial"/>
          <w:iCs/>
          <w:sz w:val="24"/>
          <w:szCs w:val="24"/>
          <w:lang w:val="sr-Latn-ME"/>
        </w:rPr>
        <w:t>nevni boravci nisu dostupni u svim opštinama</w:t>
      </w:r>
      <w:r w:rsidRPr="00930BD0">
        <w:rPr>
          <w:rFonts w:cs="Arial"/>
          <w:iCs/>
          <w:sz w:val="24"/>
          <w:szCs w:val="24"/>
          <w:lang w:val="sr-Latn-ME"/>
        </w:rPr>
        <w:t>;</w:t>
      </w:r>
    </w:p>
    <w:p w14:paraId="6B4BB5BA" w14:textId="77777777" w:rsidR="00274E72" w:rsidRPr="00930BD0" w:rsidRDefault="00274E72" w:rsidP="00780738">
      <w:pPr>
        <w:pStyle w:val="ListParagraph"/>
        <w:numPr>
          <w:ilvl w:val="0"/>
          <w:numId w:val="14"/>
        </w:numPr>
        <w:jc w:val="both"/>
        <w:rPr>
          <w:rFonts w:cs="Arial"/>
          <w:iCs/>
          <w:sz w:val="24"/>
          <w:szCs w:val="24"/>
          <w:lang w:val="sr-Latn-ME"/>
        </w:rPr>
      </w:pPr>
      <w:r w:rsidRPr="00930BD0">
        <w:rPr>
          <w:rFonts w:cs="Arial"/>
          <w:iCs/>
          <w:sz w:val="24"/>
          <w:szCs w:val="24"/>
          <w:lang w:val="sr-Latn-ME"/>
        </w:rPr>
        <w:t>dnevni centri za djecu sa smetnjama i teškoćama u razvoju pružaju integrisane uslug</w:t>
      </w:r>
      <w:r w:rsidR="00D53C18" w:rsidRPr="00930BD0">
        <w:rPr>
          <w:rFonts w:cs="Arial"/>
          <w:iCs/>
          <w:sz w:val="24"/>
          <w:szCs w:val="24"/>
          <w:lang w:val="sr-Latn-ME"/>
        </w:rPr>
        <w:t>e</w:t>
      </w:r>
      <w:r w:rsidRPr="00930BD0">
        <w:rPr>
          <w:rFonts w:cs="Arial"/>
          <w:iCs/>
          <w:sz w:val="24"/>
          <w:szCs w:val="24"/>
          <w:lang w:val="sr-Latn-ME"/>
        </w:rPr>
        <w:t xml:space="preserve">, koje obuhvataju usluge iz oblasti zdravstva i prosvjete, i te usluge nisu prepoznate </w:t>
      </w:r>
      <w:r w:rsidR="00D53C18" w:rsidRPr="00930BD0">
        <w:rPr>
          <w:rFonts w:cs="Arial"/>
          <w:iCs/>
          <w:sz w:val="24"/>
          <w:szCs w:val="24"/>
          <w:lang w:val="sr-Latn-ME"/>
        </w:rPr>
        <w:t>ZSDZ;</w:t>
      </w:r>
    </w:p>
    <w:p w14:paraId="528780B4" w14:textId="77777777" w:rsidR="00274E72" w:rsidRPr="00930BD0" w:rsidRDefault="00D53C18" w:rsidP="00780738">
      <w:pPr>
        <w:pStyle w:val="ListParagraph"/>
        <w:numPr>
          <w:ilvl w:val="0"/>
          <w:numId w:val="14"/>
        </w:numPr>
        <w:jc w:val="both"/>
        <w:rPr>
          <w:rFonts w:cs="Arial"/>
          <w:iCs/>
          <w:sz w:val="24"/>
          <w:szCs w:val="24"/>
          <w:lang w:val="sr-Latn-ME"/>
        </w:rPr>
      </w:pPr>
      <w:r w:rsidRPr="00930BD0">
        <w:rPr>
          <w:rFonts w:cs="Arial"/>
          <w:iCs/>
          <w:sz w:val="24"/>
          <w:szCs w:val="24"/>
          <w:lang w:val="sr-Latn-ME"/>
        </w:rPr>
        <w:t>sistem finansiranja</w:t>
      </w:r>
      <w:r w:rsidR="004C5D23">
        <w:rPr>
          <w:rFonts w:cs="Arial"/>
          <w:iCs/>
          <w:sz w:val="24"/>
          <w:szCs w:val="24"/>
          <w:lang w:val="sr-Latn-ME"/>
        </w:rPr>
        <w:t xml:space="preserve"> s c</w:t>
      </w:r>
      <w:r w:rsidRPr="00930BD0">
        <w:rPr>
          <w:rFonts w:cs="Arial"/>
          <w:iCs/>
          <w:sz w:val="24"/>
          <w:szCs w:val="24"/>
          <w:lang w:val="sr-Latn-ME"/>
        </w:rPr>
        <w:t>entralnog i lokalnog nivoa vlasti nije definisan;</w:t>
      </w:r>
    </w:p>
    <w:p w14:paraId="33615507" w14:textId="77777777" w:rsidR="00D53C18" w:rsidRDefault="00D53C18" w:rsidP="00780738">
      <w:pPr>
        <w:pStyle w:val="ListParagraph"/>
        <w:numPr>
          <w:ilvl w:val="0"/>
          <w:numId w:val="14"/>
        </w:numPr>
        <w:jc w:val="both"/>
        <w:rPr>
          <w:rFonts w:cs="Arial"/>
          <w:iCs/>
          <w:sz w:val="24"/>
          <w:szCs w:val="24"/>
          <w:lang w:val="sr-Latn-ME"/>
        </w:rPr>
      </w:pPr>
      <w:r w:rsidRPr="00930BD0">
        <w:rPr>
          <w:rFonts w:cs="Arial"/>
          <w:iCs/>
          <w:sz w:val="24"/>
          <w:szCs w:val="24"/>
          <w:lang w:val="sr-Latn-ME"/>
        </w:rPr>
        <w:t>ne postoji me</w:t>
      </w:r>
      <w:r w:rsidR="00B53B8D">
        <w:rPr>
          <w:rFonts w:cs="Arial"/>
          <w:iCs/>
          <w:sz w:val="24"/>
          <w:szCs w:val="24"/>
          <w:lang w:val="sr-Latn-ME"/>
        </w:rPr>
        <w:t>đ</w:t>
      </w:r>
      <w:r w:rsidRPr="00930BD0">
        <w:rPr>
          <w:rFonts w:cs="Arial"/>
          <w:iCs/>
          <w:sz w:val="24"/>
          <w:szCs w:val="24"/>
          <w:lang w:val="sr-Latn-ME"/>
        </w:rPr>
        <w:t>usektorska saradnja između svih relevantnih subjekata koji ih pružaju;</w:t>
      </w:r>
    </w:p>
    <w:p w14:paraId="3807CD01" w14:textId="77777777" w:rsidR="00930BD0" w:rsidRPr="00B25682" w:rsidRDefault="00930BD0" w:rsidP="00780738">
      <w:pPr>
        <w:pStyle w:val="ListParagraph"/>
        <w:numPr>
          <w:ilvl w:val="0"/>
          <w:numId w:val="14"/>
        </w:numPr>
        <w:jc w:val="both"/>
        <w:rPr>
          <w:rFonts w:cs="Arial"/>
          <w:iCs/>
          <w:sz w:val="24"/>
          <w:szCs w:val="24"/>
          <w:lang w:val="sr-Latn-ME"/>
        </w:rPr>
      </w:pPr>
      <w:r w:rsidRPr="00B25682">
        <w:rPr>
          <w:rFonts w:cs="Arial"/>
          <w:iCs/>
          <w:sz w:val="24"/>
          <w:szCs w:val="24"/>
          <w:lang w:val="sr-Latn-ME"/>
        </w:rPr>
        <w:t>standardi i normativi nisu u skladu sa stepenima podrške;</w:t>
      </w:r>
    </w:p>
    <w:p w14:paraId="1E506294" w14:textId="77777777" w:rsidR="00930BD0" w:rsidRDefault="00930BD0" w:rsidP="00042853">
      <w:pPr>
        <w:pStyle w:val="ListParagraph"/>
        <w:numPr>
          <w:ilvl w:val="0"/>
          <w:numId w:val="14"/>
        </w:numPr>
        <w:jc w:val="both"/>
        <w:rPr>
          <w:rFonts w:cs="Arial"/>
          <w:iCs/>
          <w:sz w:val="24"/>
          <w:szCs w:val="24"/>
          <w:lang w:val="sr-Latn-ME"/>
        </w:rPr>
      </w:pPr>
      <w:r w:rsidRPr="00B25682">
        <w:rPr>
          <w:rFonts w:cs="Arial"/>
          <w:iCs/>
          <w:sz w:val="24"/>
          <w:szCs w:val="24"/>
          <w:lang w:val="sr-Latn-ME"/>
        </w:rPr>
        <w:t>nije standardizovan rad</w:t>
      </w:r>
      <w:r w:rsidR="00867803">
        <w:rPr>
          <w:rFonts w:cs="Arial"/>
          <w:iCs/>
          <w:sz w:val="24"/>
          <w:szCs w:val="24"/>
          <w:lang w:val="sr-Latn-ME"/>
        </w:rPr>
        <w:t xml:space="preserve"> s m</w:t>
      </w:r>
      <w:r w:rsidRPr="00B25682">
        <w:rPr>
          <w:rFonts w:cs="Arial"/>
          <w:iCs/>
          <w:sz w:val="24"/>
          <w:szCs w:val="24"/>
          <w:lang w:val="sr-Latn-ME"/>
        </w:rPr>
        <w:t>alom djecom</w:t>
      </w:r>
      <w:r w:rsidR="00B53B8D">
        <w:rPr>
          <w:rFonts w:cs="Arial"/>
          <w:iCs/>
          <w:sz w:val="24"/>
          <w:szCs w:val="24"/>
          <w:lang w:val="sr-Latn-ME"/>
        </w:rPr>
        <w:t>,</w:t>
      </w:r>
      <w:r w:rsidRPr="00B25682">
        <w:rPr>
          <w:rFonts w:cs="Arial"/>
          <w:iCs/>
          <w:sz w:val="24"/>
          <w:szCs w:val="24"/>
          <w:lang w:val="sr-Latn-ME"/>
        </w:rPr>
        <w:t xml:space="preserve"> posebno s djecom sa</w:t>
      </w:r>
      <w:r w:rsidR="00B25682">
        <w:rPr>
          <w:rFonts w:cs="Arial"/>
          <w:iCs/>
          <w:sz w:val="24"/>
          <w:szCs w:val="24"/>
          <w:lang w:val="sr-Latn-ME"/>
        </w:rPr>
        <w:t xml:space="preserve"> smetnjama iz spektra</w:t>
      </w:r>
      <w:r w:rsidRPr="00B25682">
        <w:rPr>
          <w:rFonts w:cs="Arial"/>
          <w:iCs/>
          <w:sz w:val="24"/>
          <w:szCs w:val="24"/>
          <w:lang w:val="sr-Latn-ME"/>
        </w:rPr>
        <w:t xml:space="preserve"> autizm</w:t>
      </w:r>
      <w:r w:rsidR="00B25682">
        <w:rPr>
          <w:rFonts w:cs="Arial"/>
          <w:iCs/>
          <w:sz w:val="24"/>
          <w:szCs w:val="24"/>
          <w:lang w:val="sr-Latn-ME"/>
        </w:rPr>
        <w:t>a</w:t>
      </w:r>
      <w:r w:rsidR="005C0C00">
        <w:rPr>
          <w:rFonts w:cs="Arial"/>
          <w:iCs/>
          <w:sz w:val="24"/>
          <w:szCs w:val="24"/>
          <w:lang w:val="sr-Latn-ME"/>
        </w:rPr>
        <w:t>.</w:t>
      </w:r>
    </w:p>
    <w:p w14:paraId="0CE2789F" w14:textId="77777777" w:rsidR="005C0C00" w:rsidRPr="00B25682" w:rsidRDefault="005C0C00" w:rsidP="00780738">
      <w:pPr>
        <w:pStyle w:val="ListParagraph"/>
        <w:jc w:val="both"/>
        <w:rPr>
          <w:rFonts w:cs="Arial"/>
          <w:iCs/>
          <w:sz w:val="24"/>
          <w:szCs w:val="24"/>
          <w:lang w:val="sr-Latn-ME"/>
        </w:rPr>
      </w:pPr>
    </w:p>
    <w:p w14:paraId="673A2FB8" w14:textId="77777777" w:rsidR="008B2F62" w:rsidRDefault="008B2F62" w:rsidP="00780738">
      <w:pPr>
        <w:jc w:val="both"/>
        <w:rPr>
          <w:rFonts w:cs="Arial"/>
          <w:iCs/>
          <w:sz w:val="24"/>
          <w:szCs w:val="24"/>
          <w:lang w:val="sr-Latn-ME"/>
        </w:rPr>
      </w:pPr>
      <w:r w:rsidRPr="00F96844">
        <w:rPr>
          <w:rFonts w:cs="Arial"/>
          <w:b/>
          <w:bCs/>
          <w:sz w:val="24"/>
          <w:szCs w:val="24"/>
          <w:lang w:val="sr-Latn-ME"/>
        </w:rPr>
        <w:t>Pomoć u kući</w:t>
      </w:r>
      <w:r w:rsidRPr="00F96844">
        <w:rPr>
          <w:rFonts w:cs="Arial"/>
          <w:b/>
          <w:bCs/>
          <w:i/>
          <w:iCs/>
          <w:sz w:val="24"/>
          <w:szCs w:val="24"/>
          <w:lang w:val="sr-Latn-ME"/>
        </w:rPr>
        <w:t xml:space="preserve"> </w:t>
      </w:r>
      <w:r w:rsidRPr="00F96844">
        <w:rPr>
          <w:rFonts w:cs="Arial"/>
          <w:iCs/>
          <w:sz w:val="24"/>
          <w:szCs w:val="24"/>
          <w:lang w:val="sr-Latn-ME"/>
        </w:rPr>
        <w:t>spada u grupu usluga podrške za život u zajednici.</w:t>
      </w:r>
      <w:r w:rsidRPr="00F96844">
        <w:rPr>
          <w:rFonts w:cs="Arial"/>
          <w:iCs/>
          <w:sz w:val="24"/>
          <w:szCs w:val="24"/>
          <w:vertAlign w:val="superscript"/>
          <w:lang w:val="sr-Latn-ME"/>
        </w:rPr>
        <w:footnoteReference w:id="77"/>
      </w:r>
      <w:r w:rsidRPr="00F96844">
        <w:rPr>
          <w:rFonts w:cs="Arial"/>
          <w:iCs/>
          <w:sz w:val="24"/>
          <w:szCs w:val="24"/>
          <w:lang w:val="sr-Latn-ME"/>
        </w:rPr>
        <w:t xml:space="preserve"> Ova usluga je izuzetno važna radi </w:t>
      </w:r>
      <w:r w:rsidR="005B0C62">
        <w:rPr>
          <w:rFonts w:cs="Arial"/>
          <w:iCs/>
          <w:sz w:val="24"/>
          <w:szCs w:val="24"/>
          <w:lang w:val="sr-Latn-ME"/>
        </w:rPr>
        <w:t>podrške k</w:t>
      </w:r>
      <w:r w:rsidR="00B53B8D">
        <w:rPr>
          <w:rFonts w:cs="Arial"/>
          <w:iCs/>
          <w:sz w:val="24"/>
          <w:szCs w:val="24"/>
          <w:lang w:val="sr-Latn-ME"/>
        </w:rPr>
        <w:t>orisnicima/korisnicama</w:t>
      </w:r>
      <w:r w:rsidR="005B0C62">
        <w:rPr>
          <w:rFonts w:cs="Arial"/>
          <w:iCs/>
          <w:sz w:val="24"/>
          <w:szCs w:val="24"/>
          <w:lang w:val="sr-Latn-ME"/>
        </w:rPr>
        <w:t xml:space="preserve"> u zadovoljenju svakodnevnih životnih potreba kako bi se unaprijedio ili održao kvalitet života. </w:t>
      </w:r>
      <w:r w:rsidRPr="00F96844">
        <w:rPr>
          <w:rFonts w:cs="Arial"/>
          <w:iCs/>
          <w:sz w:val="24"/>
          <w:szCs w:val="24"/>
          <w:lang w:val="sr-Latn-ME"/>
        </w:rPr>
        <w:t>U Crnoj Gori uslug</w:t>
      </w:r>
      <w:r w:rsidR="00FD6668">
        <w:rPr>
          <w:rFonts w:cs="Arial"/>
          <w:iCs/>
          <w:sz w:val="24"/>
          <w:szCs w:val="24"/>
          <w:lang w:val="sr-Latn-ME"/>
        </w:rPr>
        <w:t>a</w:t>
      </w:r>
      <w:r w:rsidRPr="00F96844">
        <w:rPr>
          <w:rFonts w:cs="Arial"/>
          <w:iCs/>
          <w:sz w:val="24"/>
          <w:szCs w:val="24"/>
          <w:lang w:val="sr-Latn-ME"/>
        </w:rPr>
        <w:t xml:space="preserve"> </w:t>
      </w:r>
      <w:r w:rsidRPr="00F96844">
        <w:rPr>
          <w:rFonts w:cs="Arial"/>
          <w:b/>
          <w:iCs/>
          <w:sz w:val="24"/>
          <w:szCs w:val="24"/>
          <w:lang w:val="sr-Latn-ME"/>
        </w:rPr>
        <w:t>pomoć u kući</w:t>
      </w:r>
      <w:r w:rsidRPr="00F96844">
        <w:rPr>
          <w:rFonts w:cs="Arial"/>
          <w:iCs/>
          <w:sz w:val="24"/>
          <w:szCs w:val="24"/>
          <w:lang w:val="sr-Latn-ME"/>
        </w:rPr>
        <w:t xml:space="preserve"> </w:t>
      </w:r>
      <w:r w:rsidRPr="00F96844">
        <w:rPr>
          <w:rFonts w:cs="Arial"/>
          <w:b/>
          <w:iCs/>
          <w:sz w:val="24"/>
          <w:szCs w:val="24"/>
          <w:lang w:val="sr-Latn-ME"/>
        </w:rPr>
        <w:t>za djecu i mlade sa smetnjama i teškoćama u razvoju</w:t>
      </w:r>
      <w:r w:rsidR="00FD6668">
        <w:rPr>
          <w:rFonts w:cs="Arial"/>
          <w:b/>
          <w:iCs/>
          <w:sz w:val="24"/>
          <w:szCs w:val="24"/>
          <w:lang w:val="sr-Latn-ME"/>
        </w:rPr>
        <w:t xml:space="preserve"> se pruža u tri opštine, </w:t>
      </w:r>
      <w:r w:rsidR="00FD6668" w:rsidRPr="007F6F6C">
        <w:rPr>
          <w:rFonts w:cs="Arial"/>
          <w:bCs/>
          <w:iCs/>
          <w:sz w:val="24"/>
          <w:szCs w:val="24"/>
          <w:lang w:val="sr-Latn-ME"/>
        </w:rPr>
        <w:t xml:space="preserve">a </w:t>
      </w:r>
      <w:r w:rsidRPr="00F96844">
        <w:rPr>
          <w:rFonts w:cs="Arial"/>
          <w:iCs/>
          <w:sz w:val="24"/>
          <w:szCs w:val="24"/>
          <w:lang w:val="sr-Latn-ME"/>
        </w:rPr>
        <w:t xml:space="preserve">koristilo </w:t>
      </w:r>
      <w:r w:rsidR="00B53B8D">
        <w:rPr>
          <w:rFonts w:cs="Arial"/>
          <w:iCs/>
          <w:sz w:val="24"/>
          <w:szCs w:val="24"/>
          <w:lang w:val="sr-Latn-ME"/>
        </w:rPr>
        <w:t xml:space="preserve">ju </w:t>
      </w:r>
      <w:r w:rsidR="00FD6668">
        <w:rPr>
          <w:rFonts w:cs="Arial"/>
          <w:iCs/>
          <w:sz w:val="24"/>
          <w:szCs w:val="24"/>
          <w:lang w:val="sr-Latn-ME"/>
        </w:rPr>
        <w:t xml:space="preserve">je </w:t>
      </w:r>
      <w:r w:rsidRPr="00F96844">
        <w:rPr>
          <w:rFonts w:cs="Arial"/>
          <w:iCs/>
          <w:sz w:val="24"/>
          <w:szCs w:val="24"/>
          <w:lang w:val="sr-Latn-ME"/>
        </w:rPr>
        <w:t xml:space="preserve">oko 30 </w:t>
      </w:r>
      <w:r w:rsidR="00FD6668">
        <w:rPr>
          <w:rFonts w:cs="Arial"/>
          <w:iCs/>
          <w:sz w:val="24"/>
          <w:szCs w:val="24"/>
          <w:lang w:val="sr-Latn-ME"/>
        </w:rPr>
        <w:t>djece.</w:t>
      </w:r>
      <w:r w:rsidRPr="00F96844">
        <w:rPr>
          <w:rFonts w:cs="Arial"/>
          <w:iCs/>
          <w:sz w:val="24"/>
          <w:szCs w:val="24"/>
          <w:lang w:val="sr-Latn-ME"/>
        </w:rPr>
        <w:t xml:space="preserve"> Ov</w:t>
      </w:r>
      <w:r w:rsidR="007F6F6C">
        <w:rPr>
          <w:rFonts w:cs="Arial"/>
          <w:iCs/>
          <w:sz w:val="24"/>
          <w:szCs w:val="24"/>
          <w:lang w:val="sr-Latn-ME"/>
        </w:rPr>
        <w:t>a</w:t>
      </w:r>
      <w:r w:rsidRPr="00F96844">
        <w:rPr>
          <w:rFonts w:cs="Arial"/>
          <w:iCs/>
          <w:sz w:val="24"/>
          <w:szCs w:val="24"/>
          <w:lang w:val="sr-Latn-ME"/>
        </w:rPr>
        <w:t xml:space="preserve"> uslug</w:t>
      </w:r>
      <w:r w:rsidR="00B53B8D">
        <w:rPr>
          <w:rFonts w:cs="Arial"/>
          <w:iCs/>
          <w:sz w:val="24"/>
          <w:szCs w:val="24"/>
          <w:lang w:val="sr-Latn-ME"/>
        </w:rPr>
        <w:t>a</w:t>
      </w:r>
      <w:r w:rsidRPr="00F96844">
        <w:rPr>
          <w:rFonts w:cs="Arial"/>
          <w:iCs/>
          <w:sz w:val="24"/>
          <w:szCs w:val="24"/>
          <w:lang w:val="sr-Latn-ME"/>
        </w:rPr>
        <w:t xml:space="preserve"> se finansira projektno. </w:t>
      </w:r>
    </w:p>
    <w:p w14:paraId="3E459C61" w14:textId="77777777" w:rsidR="008074E3" w:rsidRPr="00F96844" w:rsidRDefault="008074E3" w:rsidP="00780738">
      <w:pPr>
        <w:jc w:val="both"/>
        <w:rPr>
          <w:rFonts w:cs="Arial"/>
          <w:iCs/>
          <w:sz w:val="24"/>
          <w:szCs w:val="24"/>
          <w:lang w:val="sr-Latn-ME"/>
        </w:rPr>
      </w:pPr>
    </w:p>
    <w:p w14:paraId="0F8D1CB8" w14:textId="38AF09CE" w:rsidR="008B2F62" w:rsidRDefault="008074E3" w:rsidP="00780738">
      <w:pPr>
        <w:jc w:val="both"/>
        <w:rPr>
          <w:rFonts w:cs="Arial"/>
          <w:sz w:val="24"/>
          <w:szCs w:val="24"/>
          <w:lang w:val="sr-Latn-ME"/>
        </w:rPr>
      </w:pPr>
      <w:r>
        <w:rPr>
          <w:rFonts w:cs="Arial"/>
          <w:iCs/>
          <w:sz w:val="24"/>
          <w:szCs w:val="24"/>
          <w:lang w:val="sr-Latn-ME"/>
        </w:rPr>
        <w:t>U</w:t>
      </w:r>
      <w:r w:rsidR="008B2F62" w:rsidRPr="00F96844">
        <w:rPr>
          <w:rFonts w:cs="Arial"/>
          <w:iCs/>
          <w:sz w:val="24"/>
          <w:szCs w:val="24"/>
          <w:lang w:val="sr-Latn-ME"/>
        </w:rPr>
        <w:t>slug</w:t>
      </w:r>
      <w:r>
        <w:rPr>
          <w:rFonts w:cs="Arial"/>
          <w:iCs/>
          <w:sz w:val="24"/>
          <w:szCs w:val="24"/>
          <w:lang w:val="sr-Latn-ME"/>
        </w:rPr>
        <w:t>a</w:t>
      </w:r>
      <w:r w:rsidR="008B2F62" w:rsidRPr="00F96844">
        <w:rPr>
          <w:rFonts w:cs="Arial"/>
          <w:iCs/>
          <w:sz w:val="24"/>
          <w:szCs w:val="24"/>
          <w:lang w:val="sr-Latn-ME"/>
        </w:rPr>
        <w:t xml:space="preserve"> </w:t>
      </w:r>
      <w:r w:rsidR="008B2F62" w:rsidRPr="00F96844">
        <w:rPr>
          <w:rFonts w:cs="Arial"/>
          <w:b/>
          <w:iCs/>
          <w:sz w:val="24"/>
          <w:szCs w:val="24"/>
          <w:lang w:val="sr-Latn-ME"/>
        </w:rPr>
        <w:t>pomoći u kući za odrasla i stara lica</w:t>
      </w:r>
      <w:r w:rsidR="00002CEE">
        <w:rPr>
          <w:rFonts w:cs="Arial"/>
          <w:b/>
          <w:iCs/>
          <w:sz w:val="24"/>
          <w:szCs w:val="24"/>
          <w:lang w:val="sr-Latn-ME"/>
        </w:rPr>
        <w:t>, lica</w:t>
      </w:r>
      <w:r w:rsidR="00867803">
        <w:rPr>
          <w:rFonts w:cs="Arial"/>
          <w:b/>
          <w:iCs/>
          <w:sz w:val="24"/>
          <w:szCs w:val="24"/>
          <w:lang w:val="sr-Latn-ME"/>
        </w:rPr>
        <w:t xml:space="preserve"> s i</w:t>
      </w:r>
      <w:r w:rsidR="008B2F62" w:rsidRPr="00F96844">
        <w:rPr>
          <w:rFonts w:cs="Arial"/>
          <w:b/>
          <w:iCs/>
          <w:sz w:val="24"/>
          <w:szCs w:val="24"/>
          <w:lang w:val="sr-Latn-ME"/>
        </w:rPr>
        <w:t>nvaliditetom</w:t>
      </w:r>
      <w:r w:rsidR="008B2F62" w:rsidRPr="00F96844">
        <w:rPr>
          <w:rFonts w:cs="Arial"/>
          <w:iCs/>
          <w:sz w:val="24"/>
          <w:szCs w:val="24"/>
          <w:lang w:val="sr-Latn-ME"/>
        </w:rPr>
        <w:t xml:space="preserve"> se pruža u 21 opštini. </w:t>
      </w:r>
      <w:r w:rsidR="008B2F62" w:rsidRPr="005B7D8D">
        <w:rPr>
          <w:rFonts w:cs="Arial"/>
          <w:iCs/>
          <w:sz w:val="24"/>
          <w:szCs w:val="24"/>
          <w:lang w:val="sr-Latn-ME"/>
        </w:rPr>
        <w:t>MSS</w:t>
      </w:r>
      <w:r w:rsidR="00F13713" w:rsidRPr="005B7D8D">
        <w:rPr>
          <w:rFonts w:cs="Arial"/>
          <w:iCs/>
          <w:sz w:val="24"/>
          <w:szCs w:val="24"/>
          <w:lang w:val="sr-Latn-ME"/>
        </w:rPr>
        <w:t>D</w:t>
      </w:r>
      <w:r w:rsidR="008B2F62" w:rsidRPr="005B7D8D">
        <w:rPr>
          <w:rFonts w:cs="Arial"/>
          <w:iCs/>
          <w:sz w:val="24"/>
          <w:szCs w:val="24"/>
          <w:lang w:val="sr-Latn-ME"/>
        </w:rPr>
        <w:t xml:space="preserve"> o</w:t>
      </w:r>
      <w:r w:rsidR="008B2F62" w:rsidRPr="00F96844">
        <w:rPr>
          <w:rFonts w:cs="Arial"/>
          <w:iCs/>
          <w:sz w:val="24"/>
          <w:szCs w:val="24"/>
          <w:lang w:val="sr-Latn-ME"/>
        </w:rPr>
        <w:t>bezbje</w:t>
      </w:r>
      <w:r w:rsidR="00B53B8D">
        <w:rPr>
          <w:rFonts w:cs="Arial"/>
          <w:iCs/>
          <w:sz w:val="24"/>
          <w:szCs w:val="24"/>
          <w:lang w:val="sr-Latn-ME"/>
        </w:rPr>
        <w:t>đ</w:t>
      </w:r>
      <w:r w:rsidR="008B2F62" w:rsidRPr="00F96844">
        <w:rPr>
          <w:rFonts w:cs="Arial"/>
          <w:iCs/>
          <w:sz w:val="24"/>
          <w:szCs w:val="24"/>
          <w:lang w:val="sr-Latn-ME"/>
        </w:rPr>
        <w:t xml:space="preserve">uje sredstva za </w:t>
      </w:r>
      <w:r>
        <w:rPr>
          <w:rFonts w:cs="Arial"/>
          <w:iCs/>
          <w:sz w:val="24"/>
          <w:szCs w:val="24"/>
          <w:lang w:val="sr-Latn-ME"/>
        </w:rPr>
        <w:t xml:space="preserve">finansiranje </w:t>
      </w:r>
      <w:r w:rsidR="008B2F62" w:rsidRPr="00F96844">
        <w:rPr>
          <w:rFonts w:cs="Arial"/>
          <w:iCs/>
          <w:sz w:val="24"/>
          <w:szCs w:val="24"/>
          <w:lang w:val="sr-Latn-ME"/>
        </w:rPr>
        <w:t>ove usluge</w:t>
      </w:r>
      <w:r>
        <w:rPr>
          <w:rFonts w:cs="Arial"/>
          <w:iCs/>
          <w:sz w:val="24"/>
          <w:szCs w:val="24"/>
          <w:lang w:val="sr-Latn-ME"/>
        </w:rPr>
        <w:t>,</w:t>
      </w:r>
      <w:r w:rsidR="008B2F62" w:rsidRPr="00F96844">
        <w:rPr>
          <w:rFonts w:cs="Arial"/>
          <w:iCs/>
          <w:sz w:val="24"/>
          <w:szCs w:val="24"/>
          <w:lang w:val="sr-Latn-ME"/>
        </w:rPr>
        <w:t xml:space="preserve"> a k</w:t>
      </w:r>
      <w:r w:rsidR="00B53B8D">
        <w:rPr>
          <w:rFonts w:cs="Arial"/>
          <w:iCs/>
          <w:sz w:val="24"/>
          <w:szCs w:val="24"/>
          <w:lang w:val="sr-Latn-ME"/>
        </w:rPr>
        <w:t>orisnici/korisnice</w:t>
      </w:r>
      <w:r w:rsidR="008B2F62" w:rsidRPr="00F96844">
        <w:rPr>
          <w:rFonts w:cs="Arial"/>
          <w:iCs/>
          <w:sz w:val="24"/>
          <w:szCs w:val="24"/>
          <w:lang w:val="sr-Latn-ME"/>
        </w:rPr>
        <w:t xml:space="preserve"> učestvuju u troškovima usluga. </w:t>
      </w:r>
      <w:r>
        <w:rPr>
          <w:rFonts w:cs="Arial"/>
          <w:iCs/>
          <w:sz w:val="24"/>
          <w:szCs w:val="24"/>
          <w:lang w:val="sr-Latn-ME"/>
        </w:rPr>
        <w:t>N</w:t>
      </w:r>
      <w:r w:rsidR="008B2F62" w:rsidRPr="00F96844">
        <w:rPr>
          <w:rFonts w:cs="Arial"/>
          <w:iCs/>
          <w:sz w:val="24"/>
          <w:szCs w:val="24"/>
          <w:lang w:val="sr-Latn-ME"/>
        </w:rPr>
        <w:t xml:space="preserve">a kraju 2023. godine ovu uslugu </w:t>
      </w:r>
      <w:r w:rsidR="007F6F6C">
        <w:rPr>
          <w:rFonts w:cs="Arial"/>
          <w:iCs/>
          <w:sz w:val="24"/>
          <w:szCs w:val="24"/>
          <w:lang w:val="sr-Latn-ME"/>
        </w:rPr>
        <w:t>koristilo je</w:t>
      </w:r>
      <w:r>
        <w:rPr>
          <w:rFonts w:cs="Arial"/>
          <w:iCs/>
          <w:sz w:val="24"/>
          <w:szCs w:val="24"/>
          <w:lang w:val="sr-Latn-ME"/>
        </w:rPr>
        <w:t xml:space="preserve"> </w:t>
      </w:r>
      <w:r w:rsidR="008B2F62" w:rsidRPr="00F96844">
        <w:rPr>
          <w:rFonts w:cs="Arial"/>
          <w:iCs/>
          <w:sz w:val="24"/>
          <w:szCs w:val="24"/>
          <w:lang w:val="sr-Latn-ME"/>
        </w:rPr>
        <w:t>834</w:t>
      </w:r>
      <w:r w:rsidR="007F6F6C">
        <w:rPr>
          <w:rFonts w:cs="Arial"/>
          <w:iCs/>
          <w:sz w:val="24"/>
          <w:szCs w:val="24"/>
          <w:lang w:val="sr-Latn-ME"/>
        </w:rPr>
        <w:t xml:space="preserve"> korisnika</w:t>
      </w:r>
      <w:r w:rsidR="008B2F62" w:rsidRPr="00F96844">
        <w:rPr>
          <w:rFonts w:cs="Arial"/>
          <w:iCs/>
          <w:sz w:val="24"/>
          <w:szCs w:val="24"/>
          <w:lang w:val="sr-Latn-ME"/>
        </w:rPr>
        <w:t>. Godišnji rashodi</w:t>
      </w:r>
      <w:r w:rsidR="00867803">
        <w:rPr>
          <w:rFonts w:cs="Arial"/>
          <w:iCs/>
          <w:sz w:val="24"/>
          <w:szCs w:val="24"/>
          <w:lang w:val="sr-Latn-ME"/>
        </w:rPr>
        <w:t xml:space="preserve"> s n</w:t>
      </w:r>
      <w:r w:rsidR="008B2F62" w:rsidRPr="00F96844">
        <w:rPr>
          <w:rFonts w:cs="Arial"/>
          <w:iCs/>
          <w:sz w:val="24"/>
          <w:szCs w:val="24"/>
          <w:lang w:val="sr-Latn-ME"/>
        </w:rPr>
        <w:t xml:space="preserve">acionalnog nivoa iznosili </w:t>
      </w:r>
      <w:r w:rsidR="008B2F62" w:rsidRPr="00F96844">
        <w:rPr>
          <w:rFonts w:cs="Arial"/>
          <w:sz w:val="24"/>
          <w:szCs w:val="24"/>
          <w:lang w:val="sr-Latn-ME"/>
        </w:rPr>
        <w:t>su 2023. godine oko 485</w:t>
      </w:r>
      <w:r w:rsidR="007F6F6C">
        <w:rPr>
          <w:rFonts w:cs="Arial"/>
          <w:sz w:val="24"/>
          <w:szCs w:val="24"/>
          <w:lang w:val="sr-Latn-ME"/>
        </w:rPr>
        <w:t>.000,00</w:t>
      </w:r>
      <w:r w:rsidR="008B2F62" w:rsidRPr="00F96844">
        <w:rPr>
          <w:rFonts w:cs="Arial"/>
          <w:sz w:val="24"/>
          <w:szCs w:val="24"/>
          <w:lang w:val="sr-Latn-ME"/>
        </w:rPr>
        <w:t xml:space="preserve"> </w:t>
      </w:r>
      <w:r w:rsidR="007F6F6C">
        <w:rPr>
          <w:rFonts w:cs="Arial"/>
          <w:sz w:val="24"/>
          <w:szCs w:val="24"/>
          <w:lang w:val="sr-Latn-ME"/>
        </w:rPr>
        <w:t>e</w:t>
      </w:r>
      <w:r w:rsidR="008B2F62" w:rsidRPr="00F96844">
        <w:rPr>
          <w:rFonts w:cs="Arial"/>
          <w:sz w:val="24"/>
          <w:szCs w:val="24"/>
          <w:lang w:val="sr-Latn-ME"/>
        </w:rPr>
        <w:t>ura.</w:t>
      </w:r>
    </w:p>
    <w:p w14:paraId="33936C67" w14:textId="77777777" w:rsidR="003B1D77" w:rsidRDefault="003B1D77" w:rsidP="00780738">
      <w:pPr>
        <w:jc w:val="both"/>
        <w:rPr>
          <w:rFonts w:cs="Arial"/>
          <w:sz w:val="24"/>
          <w:szCs w:val="24"/>
          <w:lang w:val="sr-Latn-ME"/>
        </w:rPr>
      </w:pPr>
    </w:p>
    <w:p w14:paraId="39B26FAE" w14:textId="77777777" w:rsidR="003B1D77" w:rsidRDefault="003B1D77"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0D732BE6" w14:textId="77777777" w:rsidR="0055026A" w:rsidRDefault="0055026A" w:rsidP="00780738">
      <w:pPr>
        <w:jc w:val="both"/>
        <w:rPr>
          <w:rFonts w:cs="Arial"/>
          <w:iCs/>
          <w:sz w:val="24"/>
          <w:szCs w:val="24"/>
          <w:lang w:val="sr-Latn-ME"/>
        </w:rPr>
      </w:pPr>
    </w:p>
    <w:p w14:paraId="1667C730" w14:textId="77777777" w:rsidR="003B1D77" w:rsidRDefault="00E34DF6" w:rsidP="00780738">
      <w:pPr>
        <w:pStyle w:val="ListParagraph"/>
        <w:numPr>
          <w:ilvl w:val="0"/>
          <w:numId w:val="14"/>
        </w:numPr>
        <w:jc w:val="both"/>
        <w:rPr>
          <w:rFonts w:cs="Arial"/>
          <w:iCs/>
          <w:sz w:val="24"/>
          <w:szCs w:val="24"/>
          <w:lang w:val="sr-Latn-ME"/>
        </w:rPr>
      </w:pPr>
      <w:bookmarkStart w:id="83" w:name="_Hlk167788565"/>
      <w:r>
        <w:rPr>
          <w:rFonts w:cs="Arial"/>
          <w:iCs/>
          <w:sz w:val="24"/>
          <w:szCs w:val="24"/>
          <w:lang w:val="sr-Latn-ME"/>
        </w:rPr>
        <w:t>S</w:t>
      </w:r>
      <w:r w:rsidR="003B1D77" w:rsidRPr="003B1D77">
        <w:rPr>
          <w:rFonts w:cs="Arial"/>
          <w:iCs/>
          <w:sz w:val="24"/>
          <w:szCs w:val="24"/>
          <w:lang w:val="sr-Latn-ME"/>
        </w:rPr>
        <w:t>istem finansiranja</w:t>
      </w:r>
      <w:r w:rsidR="004C5D23">
        <w:rPr>
          <w:rFonts w:cs="Arial"/>
          <w:iCs/>
          <w:sz w:val="24"/>
          <w:szCs w:val="24"/>
          <w:lang w:val="sr-Latn-ME"/>
        </w:rPr>
        <w:t xml:space="preserve"> s c</w:t>
      </w:r>
      <w:r w:rsidR="003B1D77" w:rsidRPr="003B1D77">
        <w:rPr>
          <w:rFonts w:cs="Arial"/>
          <w:iCs/>
          <w:sz w:val="24"/>
          <w:szCs w:val="24"/>
          <w:lang w:val="sr-Latn-ME"/>
        </w:rPr>
        <w:t>entralnog i lokalnog nivoa vlasti nije definisan;</w:t>
      </w:r>
    </w:p>
    <w:bookmarkEnd w:id="83"/>
    <w:p w14:paraId="26512B7F" w14:textId="77777777" w:rsidR="003B1D77" w:rsidRPr="003B1D77" w:rsidRDefault="00E34DF6" w:rsidP="00780738">
      <w:pPr>
        <w:pStyle w:val="ListParagraph"/>
        <w:numPr>
          <w:ilvl w:val="0"/>
          <w:numId w:val="14"/>
        </w:numPr>
        <w:jc w:val="both"/>
        <w:rPr>
          <w:rFonts w:cs="Arial"/>
          <w:iCs/>
          <w:sz w:val="24"/>
          <w:szCs w:val="24"/>
          <w:lang w:val="sr-Latn-ME"/>
        </w:rPr>
      </w:pPr>
      <w:r>
        <w:rPr>
          <w:rFonts w:cs="Arial"/>
          <w:iCs/>
          <w:sz w:val="24"/>
          <w:szCs w:val="24"/>
          <w:lang w:val="sr-Latn-ME"/>
        </w:rPr>
        <w:lastRenderedPageBreak/>
        <w:t>Postoji potreba za integrisanim pristupom u pružanju ove usluge koji podrazum</w:t>
      </w:r>
      <w:r w:rsidR="00B53B8D">
        <w:rPr>
          <w:rFonts w:cs="Arial"/>
          <w:iCs/>
          <w:sz w:val="24"/>
          <w:szCs w:val="24"/>
          <w:lang w:val="sr-Latn-ME"/>
        </w:rPr>
        <w:t>i</w:t>
      </w:r>
      <w:r>
        <w:rPr>
          <w:rFonts w:cs="Arial"/>
          <w:iCs/>
          <w:sz w:val="24"/>
          <w:szCs w:val="24"/>
          <w:lang w:val="sr-Latn-ME"/>
        </w:rPr>
        <w:t>jeva m</w:t>
      </w:r>
      <w:r w:rsidR="00CD6B77">
        <w:rPr>
          <w:rFonts w:cs="Arial"/>
          <w:iCs/>
          <w:sz w:val="24"/>
          <w:szCs w:val="24"/>
          <w:lang w:val="sr-Latn-ME"/>
        </w:rPr>
        <w:t>u</w:t>
      </w:r>
      <w:r>
        <w:rPr>
          <w:rFonts w:cs="Arial"/>
          <w:iCs/>
          <w:sz w:val="24"/>
          <w:szCs w:val="24"/>
          <w:lang w:val="sr-Latn-ME"/>
        </w:rPr>
        <w:t>ltisektorsku saradnju</w:t>
      </w:r>
      <w:r w:rsidR="00B53B8D">
        <w:rPr>
          <w:rFonts w:cs="Arial"/>
          <w:iCs/>
          <w:sz w:val="24"/>
          <w:szCs w:val="24"/>
          <w:lang w:val="sr-Latn-ME"/>
        </w:rPr>
        <w:t>,</w:t>
      </w:r>
      <w:r>
        <w:rPr>
          <w:rFonts w:cs="Arial"/>
          <w:iCs/>
          <w:sz w:val="24"/>
          <w:szCs w:val="24"/>
          <w:lang w:val="sr-Latn-ME"/>
        </w:rPr>
        <w:t xml:space="preserve"> prije svega sa zdravstvenim sistemom</w:t>
      </w:r>
      <w:r w:rsidR="00B53B8D">
        <w:rPr>
          <w:rFonts w:cs="Arial"/>
          <w:iCs/>
          <w:sz w:val="24"/>
          <w:szCs w:val="24"/>
          <w:lang w:val="sr-Latn-ME"/>
        </w:rPr>
        <w:t>;</w:t>
      </w:r>
    </w:p>
    <w:p w14:paraId="12FE5D50" w14:textId="77777777" w:rsidR="00E34DF6" w:rsidRPr="00377961" w:rsidRDefault="00E34DF6" w:rsidP="00780738">
      <w:pPr>
        <w:pStyle w:val="ListParagraph"/>
        <w:numPr>
          <w:ilvl w:val="0"/>
          <w:numId w:val="14"/>
        </w:numPr>
        <w:jc w:val="both"/>
        <w:rPr>
          <w:rFonts w:cs="Arial"/>
          <w:iCs/>
          <w:sz w:val="24"/>
          <w:szCs w:val="24"/>
          <w:lang w:val="sr-Latn-ME"/>
        </w:rPr>
      </w:pPr>
      <w:r w:rsidRPr="00377961">
        <w:rPr>
          <w:rFonts w:cs="Arial"/>
          <w:iCs/>
          <w:sz w:val="24"/>
          <w:szCs w:val="24"/>
          <w:lang w:val="sr-Latn-ME"/>
        </w:rPr>
        <w:t>N</w:t>
      </w:r>
      <w:r w:rsidR="008B2F62" w:rsidRPr="00377961">
        <w:rPr>
          <w:rFonts w:cs="Arial"/>
          <w:iCs/>
          <w:sz w:val="24"/>
          <w:szCs w:val="24"/>
          <w:lang w:val="sr-Latn-ME"/>
        </w:rPr>
        <w:t>e postoji usluga u ruralnim područjima</w:t>
      </w:r>
      <w:r w:rsidR="00B53B8D">
        <w:rPr>
          <w:rFonts w:cs="Arial"/>
          <w:iCs/>
          <w:sz w:val="24"/>
          <w:szCs w:val="24"/>
          <w:lang w:val="sr-Latn-ME"/>
        </w:rPr>
        <w:t>;</w:t>
      </w:r>
      <w:r w:rsidR="008B2F62" w:rsidRPr="00377961">
        <w:rPr>
          <w:rFonts w:cs="Arial"/>
          <w:iCs/>
          <w:sz w:val="24"/>
          <w:szCs w:val="24"/>
          <w:lang w:val="sr-Latn-ME"/>
        </w:rPr>
        <w:t xml:space="preserve"> </w:t>
      </w:r>
    </w:p>
    <w:p w14:paraId="434E860D" w14:textId="77777777" w:rsidR="00E53258" w:rsidRPr="00377961" w:rsidRDefault="00E34DF6" w:rsidP="00780738">
      <w:pPr>
        <w:pStyle w:val="ListParagraph"/>
        <w:numPr>
          <w:ilvl w:val="0"/>
          <w:numId w:val="14"/>
        </w:numPr>
        <w:jc w:val="both"/>
        <w:rPr>
          <w:rFonts w:cs="Arial"/>
          <w:b/>
          <w:bCs/>
          <w:iCs/>
          <w:sz w:val="24"/>
          <w:szCs w:val="24"/>
          <w:lang w:val="sr-Latn-ME"/>
        </w:rPr>
      </w:pPr>
      <w:r w:rsidRPr="00377961">
        <w:rPr>
          <w:rFonts w:cs="Arial"/>
          <w:iCs/>
          <w:sz w:val="24"/>
          <w:szCs w:val="24"/>
          <w:lang w:val="sr-Latn-ME"/>
        </w:rPr>
        <w:t>Postoji potreba za preispitivanjem</w:t>
      </w:r>
      <w:r w:rsidR="008B2F62" w:rsidRPr="00377961">
        <w:rPr>
          <w:rFonts w:cs="Arial"/>
          <w:iCs/>
          <w:sz w:val="24"/>
          <w:szCs w:val="24"/>
          <w:lang w:val="sr-Latn-ME"/>
        </w:rPr>
        <w:t xml:space="preserve"> standard</w:t>
      </w:r>
      <w:r w:rsidRPr="00377961">
        <w:rPr>
          <w:rFonts w:cs="Arial"/>
          <w:iCs/>
          <w:sz w:val="24"/>
          <w:szCs w:val="24"/>
          <w:lang w:val="sr-Latn-ME"/>
        </w:rPr>
        <w:t>a</w:t>
      </w:r>
      <w:r w:rsidR="008B2F62" w:rsidRPr="00377961">
        <w:rPr>
          <w:rFonts w:cs="Arial"/>
          <w:iCs/>
          <w:sz w:val="24"/>
          <w:szCs w:val="24"/>
          <w:lang w:val="sr-Latn-ME"/>
        </w:rPr>
        <w:t xml:space="preserve"> i normativ</w:t>
      </w:r>
      <w:r w:rsidR="00B53B8D">
        <w:rPr>
          <w:rFonts w:cs="Arial"/>
          <w:iCs/>
          <w:sz w:val="24"/>
          <w:szCs w:val="24"/>
          <w:lang w:val="sr-Latn-ME"/>
        </w:rPr>
        <w:t>a</w:t>
      </w:r>
      <w:r w:rsidR="008B2F62" w:rsidRPr="00377961">
        <w:rPr>
          <w:rFonts w:cs="Arial"/>
          <w:iCs/>
          <w:sz w:val="24"/>
          <w:szCs w:val="24"/>
          <w:lang w:val="sr-Latn-ME"/>
        </w:rPr>
        <w:t xml:space="preserve"> za djecu sa smetnjama u razvoju i odrasla i stara lica</w:t>
      </w:r>
      <w:r w:rsidR="00867803">
        <w:rPr>
          <w:rFonts w:cs="Arial"/>
          <w:iCs/>
          <w:sz w:val="24"/>
          <w:szCs w:val="24"/>
          <w:lang w:val="sr-Latn-ME"/>
        </w:rPr>
        <w:t xml:space="preserve"> s i</w:t>
      </w:r>
      <w:r w:rsidR="008B2F62" w:rsidRPr="00377961">
        <w:rPr>
          <w:rFonts w:cs="Arial"/>
          <w:iCs/>
          <w:sz w:val="24"/>
          <w:szCs w:val="24"/>
          <w:lang w:val="sr-Latn-ME"/>
        </w:rPr>
        <w:t>nvaliditetom</w:t>
      </w:r>
      <w:r w:rsidR="001854B5">
        <w:rPr>
          <w:rFonts w:cs="Arial"/>
          <w:iCs/>
          <w:sz w:val="24"/>
          <w:szCs w:val="24"/>
          <w:lang w:val="sr-Latn-ME"/>
        </w:rPr>
        <w:t>;</w:t>
      </w:r>
    </w:p>
    <w:p w14:paraId="36797F35" w14:textId="6AA7D94B" w:rsidR="00377961" w:rsidRPr="005B7D8D" w:rsidRDefault="00377961" w:rsidP="00780738">
      <w:pPr>
        <w:pStyle w:val="ListParagraph"/>
        <w:numPr>
          <w:ilvl w:val="0"/>
          <w:numId w:val="14"/>
        </w:numPr>
        <w:jc w:val="both"/>
        <w:rPr>
          <w:rFonts w:cs="Arial"/>
          <w:b/>
          <w:bCs/>
          <w:iCs/>
          <w:sz w:val="24"/>
          <w:szCs w:val="24"/>
          <w:lang w:val="sr-Latn-ME"/>
        </w:rPr>
      </w:pPr>
      <w:r w:rsidRPr="00377961">
        <w:rPr>
          <w:rFonts w:cs="Arial"/>
          <w:iCs/>
          <w:sz w:val="24"/>
          <w:szCs w:val="24"/>
          <w:lang w:val="sr-Latn-RS"/>
        </w:rPr>
        <w:t xml:space="preserve">Postoji potreba preispitivanja cijene usluge koja je utvrđena od strane </w:t>
      </w:r>
      <w:r w:rsidRPr="005B7D8D">
        <w:rPr>
          <w:rFonts w:cs="Arial"/>
          <w:iCs/>
          <w:sz w:val="24"/>
          <w:szCs w:val="24"/>
          <w:lang w:val="sr-Latn-RS"/>
        </w:rPr>
        <w:t>MSS</w:t>
      </w:r>
      <w:r w:rsidR="00F13713" w:rsidRPr="005B7D8D">
        <w:rPr>
          <w:rFonts w:cs="Arial"/>
          <w:iCs/>
          <w:sz w:val="24"/>
          <w:szCs w:val="24"/>
          <w:lang w:val="sr-Latn-RS"/>
        </w:rPr>
        <w:t>D</w:t>
      </w:r>
      <w:r w:rsidRPr="005B7D8D">
        <w:rPr>
          <w:rFonts w:cs="Arial"/>
          <w:iCs/>
          <w:sz w:val="24"/>
          <w:szCs w:val="24"/>
          <w:lang w:val="sr-Latn-RS"/>
        </w:rPr>
        <w:t xml:space="preserve"> i nedovoljna da pokrije troškove pružanja usluge</w:t>
      </w:r>
      <w:r w:rsidR="001854B5" w:rsidRPr="005B7D8D">
        <w:rPr>
          <w:rFonts w:cs="Arial"/>
          <w:iCs/>
          <w:sz w:val="24"/>
          <w:szCs w:val="24"/>
          <w:lang w:val="sr-Latn-RS"/>
        </w:rPr>
        <w:t>.</w:t>
      </w:r>
    </w:p>
    <w:p w14:paraId="6E11EFF7" w14:textId="77777777" w:rsidR="00E34DF6" w:rsidRPr="00E34DF6" w:rsidRDefault="00E34DF6" w:rsidP="00780738">
      <w:pPr>
        <w:pStyle w:val="ListParagraph"/>
        <w:jc w:val="both"/>
        <w:rPr>
          <w:rFonts w:cs="Arial"/>
          <w:b/>
          <w:bCs/>
          <w:iCs/>
          <w:sz w:val="24"/>
          <w:szCs w:val="24"/>
          <w:lang w:val="sr-Latn-ME"/>
        </w:rPr>
      </w:pPr>
    </w:p>
    <w:p w14:paraId="412FBD28" w14:textId="56DF27D5" w:rsidR="008B2F62" w:rsidRDefault="008B2F62" w:rsidP="00780738">
      <w:pPr>
        <w:jc w:val="both"/>
        <w:rPr>
          <w:rFonts w:cs="Arial"/>
          <w:iCs/>
          <w:sz w:val="24"/>
          <w:szCs w:val="24"/>
          <w:lang w:val="sr-Latn-ME"/>
        </w:rPr>
      </w:pPr>
      <w:r w:rsidRPr="00F96844">
        <w:rPr>
          <w:rFonts w:cs="Arial"/>
          <w:b/>
          <w:bCs/>
          <w:iCs/>
          <w:sz w:val="24"/>
          <w:szCs w:val="24"/>
          <w:lang w:val="sr-Latn-ME"/>
        </w:rPr>
        <w:t>Usluga personalne asistencije</w:t>
      </w:r>
      <w:r w:rsidRPr="00F96844">
        <w:rPr>
          <w:rFonts w:cs="Arial"/>
          <w:iCs/>
          <w:sz w:val="24"/>
          <w:szCs w:val="24"/>
          <w:lang w:val="sr-Latn-ME"/>
        </w:rPr>
        <w:t xml:space="preserve"> u Crnoj Gori pruža se k</w:t>
      </w:r>
      <w:r w:rsidR="001854B5">
        <w:rPr>
          <w:rFonts w:cs="Arial"/>
          <w:iCs/>
          <w:sz w:val="24"/>
          <w:szCs w:val="24"/>
          <w:lang w:val="sr-Latn-ME"/>
        </w:rPr>
        <w:t>orisniku/korisnici</w:t>
      </w:r>
      <w:r w:rsidRPr="00F96844">
        <w:rPr>
          <w:rFonts w:cs="Arial"/>
          <w:iCs/>
          <w:sz w:val="24"/>
          <w:szCs w:val="24"/>
          <w:lang w:val="sr-Latn-ME"/>
        </w:rPr>
        <w:t xml:space="preserve"> lične invalidnine, odnosno dodatka za njegu i pomoć, koji</w:t>
      </w:r>
      <w:r w:rsidR="001854B5">
        <w:rPr>
          <w:rFonts w:cs="Arial"/>
          <w:iCs/>
          <w:sz w:val="24"/>
          <w:szCs w:val="24"/>
          <w:lang w:val="sr-Latn-ME"/>
        </w:rPr>
        <w:t>/koja</w:t>
      </w:r>
      <w:r w:rsidRPr="00F96844">
        <w:rPr>
          <w:rFonts w:cs="Arial"/>
          <w:iCs/>
          <w:sz w:val="24"/>
          <w:szCs w:val="24"/>
          <w:lang w:val="sr-Latn-ME"/>
        </w:rPr>
        <w:t xml:space="preserve"> je u radnom odnosu ili je uključen</w:t>
      </w:r>
      <w:r w:rsidR="00CD6B77">
        <w:rPr>
          <w:rFonts w:cs="Arial"/>
          <w:iCs/>
          <w:sz w:val="24"/>
          <w:szCs w:val="24"/>
          <w:lang w:val="sr-Latn-ME"/>
        </w:rPr>
        <w:t>/</w:t>
      </w:r>
      <w:r w:rsidR="001854B5">
        <w:rPr>
          <w:rFonts w:cs="Arial"/>
          <w:iCs/>
          <w:sz w:val="24"/>
          <w:szCs w:val="24"/>
          <w:lang w:val="sr-Latn-ME"/>
        </w:rPr>
        <w:t>uključen</w:t>
      </w:r>
      <w:r w:rsidR="00CD6B77">
        <w:rPr>
          <w:rFonts w:cs="Arial"/>
          <w:iCs/>
          <w:sz w:val="24"/>
          <w:szCs w:val="24"/>
          <w:lang w:val="sr-Latn-ME"/>
        </w:rPr>
        <w:t>a</w:t>
      </w:r>
      <w:r w:rsidRPr="00F96844">
        <w:rPr>
          <w:rFonts w:cs="Arial"/>
          <w:iCs/>
          <w:sz w:val="24"/>
          <w:szCs w:val="24"/>
          <w:lang w:val="sr-Latn-ME"/>
        </w:rPr>
        <w:t xml:space="preserve"> u sistem visokog obrazovanja ili u sistem obrazovanja odraslih.</w:t>
      </w:r>
      <w:r w:rsidRPr="00F96844">
        <w:rPr>
          <w:rFonts w:cs="Arial"/>
          <w:iCs/>
          <w:sz w:val="24"/>
          <w:szCs w:val="24"/>
          <w:vertAlign w:val="superscript"/>
          <w:lang w:val="sr-Latn-ME"/>
        </w:rPr>
        <w:footnoteReference w:id="78"/>
      </w:r>
      <w:r w:rsidRPr="00F96844">
        <w:rPr>
          <w:rFonts w:cs="Arial"/>
          <w:iCs/>
          <w:sz w:val="24"/>
          <w:szCs w:val="24"/>
          <w:lang w:val="sr-Latn-ME"/>
        </w:rPr>
        <w:t xml:space="preserve"> Personalni asistent angažovan je u radu s jednim korisnikom, najmanje 20, a najviše 40 sati nedjeljno.</w:t>
      </w:r>
      <w:r w:rsidRPr="00F96844">
        <w:rPr>
          <w:rFonts w:cs="Arial"/>
          <w:iCs/>
          <w:sz w:val="24"/>
          <w:szCs w:val="24"/>
          <w:vertAlign w:val="superscript"/>
          <w:lang w:val="sr-Latn-ME"/>
        </w:rPr>
        <w:footnoteReference w:id="79"/>
      </w:r>
      <w:r w:rsidRPr="00F96844">
        <w:rPr>
          <w:rFonts w:cs="Arial"/>
          <w:iCs/>
          <w:sz w:val="24"/>
          <w:szCs w:val="24"/>
          <w:lang w:val="sr-Latn-ME"/>
        </w:rPr>
        <w:t xml:space="preserve"> Za pružanje personalne asistencije su licencirane četiri nevladine organizacije.</w:t>
      </w:r>
      <w:r w:rsidRPr="00F96844">
        <w:rPr>
          <w:rFonts w:cs="Arial"/>
          <w:iCs/>
          <w:sz w:val="24"/>
          <w:szCs w:val="24"/>
          <w:vertAlign w:val="superscript"/>
          <w:lang w:val="sr-Latn-ME"/>
        </w:rPr>
        <w:footnoteReference w:id="80"/>
      </w:r>
      <w:r w:rsidRPr="00F96844">
        <w:rPr>
          <w:rFonts w:cs="Arial"/>
          <w:iCs/>
          <w:sz w:val="24"/>
          <w:szCs w:val="24"/>
          <w:lang w:val="sr-Latn-ME"/>
        </w:rPr>
        <w:t xml:space="preserve"> Usluga personalne asistencije se sve do 2023. godine finansirala projektno.</w:t>
      </w:r>
      <w:r w:rsidRPr="00F96844">
        <w:rPr>
          <w:rFonts w:cs="Arial"/>
          <w:iCs/>
          <w:sz w:val="24"/>
          <w:szCs w:val="24"/>
          <w:vertAlign w:val="superscript"/>
          <w:lang w:val="sr-Latn-ME"/>
        </w:rPr>
        <w:footnoteReference w:id="81"/>
      </w:r>
      <w:r w:rsidRPr="00F96844">
        <w:rPr>
          <w:rFonts w:cs="Arial"/>
          <w:iCs/>
          <w:sz w:val="24"/>
          <w:szCs w:val="24"/>
          <w:lang w:val="sr-Latn-ME"/>
        </w:rPr>
        <w:t xml:space="preserve"> U 2023. godini </w:t>
      </w:r>
      <w:r w:rsidR="005B7D8D" w:rsidRPr="005B7D8D">
        <w:rPr>
          <w:rFonts w:cs="Arial"/>
          <w:iCs/>
          <w:sz w:val="24"/>
          <w:szCs w:val="24"/>
          <w:lang w:val="sr-Latn-ME"/>
        </w:rPr>
        <w:t>MRSS</w:t>
      </w:r>
      <w:r w:rsidRPr="00F96844">
        <w:rPr>
          <w:rFonts w:cs="Arial"/>
          <w:iCs/>
          <w:sz w:val="24"/>
          <w:szCs w:val="24"/>
          <w:lang w:val="sr-Latn-ME"/>
        </w:rPr>
        <w:t xml:space="preserve"> je obezbjeđivalo sredst</w:t>
      </w:r>
      <w:r w:rsidR="001854B5">
        <w:rPr>
          <w:rFonts w:cs="Arial"/>
          <w:iCs/>
          <w:sz w:val="24"/>
          <w:szCs w:val="24"/>
          <w:lang w:val="sr-Latn-ME"/>
        </w:rPr>
        <w:t>v</w:t>
      </w:r>
      <w:r w:rsidRPr="00F96844">
        <w:rPr>
          <w:rFonts w:cs="Arial"/>
          <w:iCs/>
          <w:sz w:val="24"/>
          <w:szCs w:val="24"/>
          <w:lang w:val="sr-Latn-ME"/>
        </w:rPr>
        <w:t>a za jednog</w:t>
      </w:r>
      <w:r w:rsidR="001854B5">
        <w:rPr>
          <w:rFonts w:cs="Arial"/>
          <w:iCs/>
          <w:sz w:val="24"/>
          <w:szCs w:val="24"/>
          <w:lang w:val="sr-Latn-ME"/>
        </w:rPr>
        <w:t xml:space="preserve"> </w:t>
      </w:r>
      <w:r w:rsidRPr="00F96844">
        <w:rPr>
          <w:rFonts w:cs="Arial"/>
          <w:iCs/>
          <w:sz w:val="24"/>
          <w:szCs w:val="24"/>
          <w:lang w:val="sr-Latn-ME"/>
        </w:rPr>
        <w:t>personalnog</w:t>
      </w:r>
      <w:r w:rsidR="001854B5">
        <w:rPr>
          <w:rFonts w:cs="Arial"/>
          <w:iCs/>
          <w:sz w:val="24"/>
          <w:szCs w:val="24"/>
          <w:lang w:val="sr-Latn-ME"/>
        </w:rPr>
        <w:t xml:space="preserve"> </w:t>
      </w:r>
      <w:r w:rsidRPr="00F96844">
        <w:rPr>
          <w:rFonts w:cs="Arial"/>
          <w:iCs/>
          <w:sz w:val="24"/>
          <w:szCs w:val="24"/>
          <w:lang w:val="sr-Latn-ME"/>
        </w:rPr>
        <w:t>asistenta</w:t>
      </w:r>
      <w:r w:rsidR="001854B5">
        <w:rPr>
          <w:rFonts w:cs="Arial"/>
          <w:iCs/>
          <w:sz w:val="24"/>
          <w:szCs w:val="24"/>
          <w:lang w:val="sr-Latn-ME"/>
        </w:rPr>
        <w:t xml:space="preserve"> </w:t>
      </w:r>
      <w:r w:rsidR="00CD6B77">
        <w:rPr>
          <w:rFonts w:cs="Arial"/>
          <w:iCs/>
          <w:sz w:val="24"/>
          <w:szCs w:val="24"/>
          <w:lang w:val="sr-Latn-ME"/>
        </w:rPr>
        <w:t>/</w:t>
      </w:r>
      <w:r w:rsidR="001854B5">
        <w:rPr>
          <w:rFonts w:cs="Arial"/>
          <w:iCs/>
          <w:sz w:val="24"/>
          <w:szCs w:val="24"/>
          <w:lang w:val="sr-Latn-ME"/>
        </w:rPr>
        <w:t xml:space="preserve"> jednu personalnu asistentkinju</w:t>
      </w:r>
      <w:r w:rsidRPr="00F96844">
        <w:rPr>
          <w:rFonts w:cs="Arial"/>
          <w:iCs/>
          <w:sz w:val="24"/>
          <w:szCs w:val="24"/>
          <w:lang w:val="sr-Latn-ME"/>
        </w:rPr>
        <w:t xml:space="preserve"> u iznosu od oko 8</w:t>
      </w:r>
      <w:r w:rsidR="0055026A">
        <w:rPr>
          <w:rFonts w:cs="Arial"/>
          <w:iCs/>
          <w:sz w:val="24"/>
          <w:szCs w:val="24"/>
          <w:lang w:val="sr-Latn-ME"/>
        </w:rPr>
        <w:t>.</w:t>
      </w:r>
      <w:r w:rsidRPr="00F96844">
        <w:rPr>
          <w:rFonts w:cs="Arial"/>
          <w:iCs/>
          <w:sz w:val="24"/>
          <w:szCs w:val="24"/>
          <w:lang w:val="sr-Latn-ME"/>
        </w:rPr>
        <w:t>700</w:t>
      </w:r>
      <w:r w:rsidR="0055026A">
        <w:rPr>
          <w:rFonts w:cs="Arial"/>
          <w:iCs/>
          <w:sz w:val="24"/>
          <w:szCs w:val="24"/>
          <w:lang w:val="sr-Latn-ME"/>
        </w:rPr>
        <w:t>,00</w:t>
      </w:r>
      <w:r w:rsidRPr="00F96844">
        <w:rPr>
          <w:rFonts w:cs="Arial"/>
          <w:iCs/>
          <w:sz w:val="24"/>
          <w:szCs w:val="24"/>
          <w:lang w:val="sr-Latn-ME"/>
        </w:rPr>
        <w:t xml:space="preserve"> </w:t>
      </w:r>
      <w:r w:rsidR="0055026A">
        <w:rPr>
          <w:rFonts w:cs="Arial"/>
          <w:iCs/>
          <w:sz w:val="24"/>
          <w:szCs w:val="24"/>
          <w:lang w:val="sr-Latn-ME"/>
        </w:rPr>
        <w:t>e</w:t>
      </w:r>
      <w:r w:rsidRPr="00F96844">
        <w:rPr>
          <w:rFonts w:cs="Arial"/>
          <w:iCs/>
          <w:sz w:val="24"/>
          <w:szCs w:val="24"/>
          <w:lang w:val="sr-Latn-ME"/>
        </w:rPr>
        <w:t>ura.</w:t>
      </w:r>
    </w:p>
    <w:p w14:paraId="5F788D0F" w14:textId="77777777" w:rsidR="0055026A" w:rsidRDefault="0055026A" w:rsidP="00780738">
      <w:pPr>
        <w:jc w:val="both"/>
        <w:rPr>
          <w:rFonts w:cs="Arial"/>
          <w:iCs/>
          <w:sz w:val="24"/>
          <w:szCs w:val="24"/>
          <w:lang w:val="sr-Latn-ME"/>
        </w:rPr>
      </w:pPr>
    </w:p>
    <w:p w14:paraId="2EC85703" w14:textId="77777777" w:rsidR="0055026A" w:rsidRDefault="0055026A"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56BECA68" w14:textId="77777777" w:rsidR="00E64290" w:rsidRDefault="00E64290" w:rsidP="00780738">
      <w:pPr>
        <w:jc w:val="both"/>
        <w:rPr>
          <w:rFonts w:cs="Arial"/>
          <w:iCs/>
          <w:sz w:val="24"/>
          <w:szCs w:val="24"/>
          <w:lang w:val="sr-Latn-ME"/>
        </w:rPr>
      </w:pPr>
    </w:p>
    <w:p w14:paraId="7067DA16" w14:textId="77777777" w:rsid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Nedovoljan broj pružalaca</w:t>
      </w:r>
      <w:r w:rsidR="00CD6B77">
        <w:rPr>
          <w:rFonts w:cs="Arial"/>
          <w:iCs/>
          <w:sz w:val="24"/>
          <w:szCs w:val="24"/>
          <w:lang w:val="sr-Latn-ME"/>
        </w:rPr>
        <w:t>/</w:t>
      </w:r>
      <w:r w:rsidR="001854B5">
        <w:rPr>
          <w:rFonts w:cs="Arial"/>
          <w:iCs/>
          <w:sz w:val="24"/>
          <w:szCs w:val="24"/>
          <w:lang w:val="sr-Latn-ME"/>
        </w:rPr>
        <w:t>pruža</w:t>
      </w:r>
      <w:r w:rsidR="00CD6B77">
        <w:rPr>
          <w:rFonts w:cs="Arial"/>
          <w:iCs/>
          <w:sz w:val="24"/>
          <w:szCs w:val="24"/>
          <w:lang w:val="sr-Latn-ME"/>
        </w:rPr>
        <w:t>teljki</w:t>
      </w:r>
      <w:r>
        <w:rPr>
          <w:rFonts w:cs="Arial"/>
          <w:iCs/>
          <w:sz w:val="24"/>
          <w:szCs w:val="24"/>
          <w:lang w:val="sr-Latn-ME"/>
        </w:rPr>
        <w:t xml:space="preserve"> usluge</w:t>
      </w:r>
      <w:r w:rsidR="001854B5">
        <w:rPr>
          <w:rFonts w:cs="Arial"/>
          <w:iCs/>
          <w:sz w:val="24"/>
          <w:szCs w:val="24"/>
          <w:lang w:val="sr-Latn-ME"/>
        </w:rPr>
        <w:t>;</w:t>
      </w:r>
    </w:p>
    <w:p w14:paraId="5B2663D2" w14:textId="77777777" w:rsid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Način finansiranja kako bi se obezb</w:t>
      </w:r>
      <w:r w:rsidR="001854B5">
        <w:rPr>
          <w:rFonts w:cs="Arial"/>
          <w:iCs/>
          <w:sz w:val="24"/>
          <w:szCs w:val="24"/>
          <w:lang w:val="sr-Latn-ME"/>
        </w:rPr>
        <w:t>i</w:t>
      </w:r>
      <w:r>
        <w:rPr>
          <w:rFonts w:cs="Arial"/>
          <w:iCs/>
          <w:sz w:val="24"/>
          <w:szCs w:val="24"/>
          <w:lang w:val="sr-Latn-ME"/>
        </w:rPr>
        <w:t>jedila održivost usluge</w:t>
      </w:r>
      <w:r w:rsidR="001854B5">
        <w:rPr>
          <w:rFonts w:cs="Arial"/>
          <w:iCs/>
          <w:sz w:val="24"/>
          <w:szCs w:val="24"/>
          <w:lang w:val="sr-Latn-ME"/>
        </w:rPr>
        <w:t>;</w:t>
      </w:r>
    </w:p>
    <w:p w14:paraId="6AD0436E" w14:textId="77777777" w:rsid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 xml:space="preserve">Potrebno je preispitati uslove za učešće </w:t>
      </w:r>
      <w:r w:rsidR="00EB2F1D">
        <w:rPr>
          <w:rFonts w:cs="Arial"/>
          <w:iCs/>
          <w:sz w:val="24"/>
          <w:szCs w:val="24"/>
          <w:lang w:val="sr-Latn-ME"/>
        </w:rPr>
        <w:t>korisnika/korisnica</w:t>
      </w:r>
      <w:r>
        <w:rPr>
          <w:rFonts w:cs="Arial"/>
          <w:iCs/>
          <w:sz w:val="24"/>
          <w:szCs w:val="24"/>
          <w:lang w:val="sr-Latn-ME"/>
        </w:rPr>
        <w:t xml:space="preserve"> u plaćanju usluge</w:t>
      </w:r>
      <w:r w:rsidR="001854B5">
        <w:rPr>
          <w:rFonts w:cs="Arial"/>
          <w:iCs/>
          <w:sz w:val="24"/>
          <w:szCs w:val="24"/>
          <w:lang w:val="sr-Latn-ME"/>
        </w:rPr>
        <w:t>;</w:t>
      </w:r>
    </w:p>
    <w:p w14:paraId="52B7D27D" w14:textId="77777777" w:rsidR="0055026A" w:rsidRP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Određivanje stepena podrške kako bi se bolje definisalo ko su potencijalni k</w:t>
      </w:r>
      <w:r w:rsidR="00B53B8D">
        <w:rPr>
          <w:rFonts w:cs="Arial"/>
          <w:iCs/>
          <w:sz w:val="24"/>
          <w:szCs w:val="24"/>
          <w:lang w:val="sr-Latn-ME"/>
        </w:rPr>
        <w:t>orisnici/korisnice</w:t>
      </w:r>
      <w:r>
        <w:rPr>
          <w:rFonts w:cs="Arial"/>
          <w:iCs/>
          <w:sz w:val="24"/>
          <w:szCs w:val="24"/>
          <w:lang w:val="sr-Latn-ME"/>
        </w:rPr>
        <w:t xml:space="preserve"> usluge.</w:t>
      </w:r>
    </w:p>
    <w:p w14:paraId="7112E53E" w14:textId="77777777" w:rsidR="00E53258" w:rsidRPr="00F96844" w:rsidRDefault="00E53258" w:rsidP="00780738">
      <w:pPr>
        <w:jc w:val="both"/>
        <w:rPr>
          <w:rFonts w:cs="Arial"/>
          <w:b/>
          <w:iCs/>
          <w:sz w:val="24"/>
          <w:szCs w:val="24"/>
          <w:lang w:val="sr-Latn-ME"/>
        </w:rPr>
      </w:pPr>
    </w:p>
    <w:p w14:paraId="7CF16193" w14:textId="77777777" w:rsidR="008B2F62" w:rsidRDefault="008B2F62" w:rsidP="00780738">
      <w:pPr>
        <w:jc w:val="both"/>
        <w:rPr>
          <w:rFonts w:cs="Arial"/>
          <w:iCs/>
          <w:sz w:val="24"/>
          <w:szCs w:val="24"/>
          <w:lang w:val="sr-Latn-ME"/>
        </w:rPr>
      </w:pPr>
      <w:r w:rsidRPr="00F96844">
        <w:rPr>
          <w:rFonts w:cs="Arial"/>
          <w:b/>
          <w:iCs/>
          <w:sz w:val="24"/>
          <w:szCs w:val="24"/>
          <w:lang w:val="sr-Latn-ME"/>
        </w:rPr>
        <w:t xml:space="preserve">Svratište </w:t>
      </w:r>
      <w:r w:rsidR="00E64290">
        <w:rPr>
          <w:rFonts w:cs="Arial"/>
          <w:b/>
          <w:iCs/>
          <w:sz w:val="24"/>
          <w:szCs w:val="24"/>
          <w:lang w:val="sr-Latn-ME"/>
        </w:rPr>
        <w:t>–</w:t>
      </w:r>
      <w:r w:rsidRPr="00F96844">
        <w:rPr>
          <w:rFonts w:cs="Arial"/>
          <w:b/>
          <w:iCs/>
          <w:sz w:val="24"/>
          <w:szCs w:val="24"/>
          <w:lang w:val="sr-Latn-ME"/>
        </w:rPr>
        <w:t xml:space="preserve"> </w:t>
      </w:r>
      <w:r w:rsidR="00E64290" w:rsidRPr="00E64290">
        <w:rPr>
          <w:rFonts w:cs="Arial"/>
          <w:bCs/>
          <w:iCs/>
          <w:sz w:val="24"/>
          <w:szCs w:val="24"/>
          <w:lang w:val="sr-Latn-ME"/>
        </w:rPr>
        <w:t xml:space="preserve">spada u grupu usluga podrške za život u zajednici. Svrha usluge je pružanje privremenih ili povremenih intervencija i zadovoljavanje trenutnih potreba </w:t>
      </w:r>
      <w:r w:rsidR="00EB2F1D">
        <w:rPr>
          <w:rFonts w:cs="Arial"/>
          <w:bCs/>
          <w:iCs/>
          <w:sz w:val="24"/>
          <w:szCs w:val="24"/>
          <w:lang w:val="sr-Latn-ME"/>
        </w:rPr>
        <w:t>korisnika/korisnica</w:t>
      </w:r>
      <w:r w:rsidR="00E64290" w:rsidRPr="00E64290">
        <w:rPr>
          <w:rFonts w:cs="Arial"/>
          <w:bCs/>
          <w:iCs/>
          <w:sz w:val="24"/>
          <w:szCs w:val="24"/>
          <w:lang w:val="sr-Latn-ME"/>
        </w:rPr>
        <w:t>, kao i posredovanje u obezbjeđivanju drugih usluga u zajednici</w:t>
      </w:r>
      <w:r w:rsidR="00E64290">
        <w:rPr>
          <w:rFonts w:cs="Arial"/>
          <w:b/>
          <w:iCs/>
          <w:sz w:val="24"/>
          <w:szCs w:val="24"/>
          <w:lang w:val="sr-Latn-ME"/>
        </w:rPr>
        <w:t xml:space="preserve">. </w:t>
      </w:r>
      <w:r w:rsidR="00E64290">
        <w:rPr>
          <w:rFonts w:cs="Arial"/>
          <w:bCs/>
          <w:iCs/>
          <w:sz w:val="24"/>
          <w:szCs w:val="24"/>
          <w:lang w:val="sr-Latn-ME"/>
        </w:rPr>
        <w:t>U Crnoj Gori</w:t>
      </w:r>
      <w:r w:rsidR="001854B5">
        <w:rPr>
          <w:rFonts w:cs="Arial"/>
          <w:bCs/>
          <w:iCs/>
          <w:sz w:val="24"/>
          <w:szCs w:val="24"/>
          <w:lang w:val="sr-Latn-ME"/>
        </w:rPr>
        <w:t>,</w:t>
      </w:r>
      <w:r w:rsidR="00E64290">
        <w:rPr>
          <w:rFonts w:cs="Arial"/>
          <w:bCs/>
          <w:iCs/>
          <w:sz w:val="24"/>
          <w:szCs w:val="24"/>
          <w:lang w:val="sr-Latn-ME"/>
        </w:rPr>
        <w:t xml:space="preserve"> </w:t>
      </w:r>
      <w:r w:rsidRPr="00F96844">
        <w:rPr>
          <w:rFonts w:cs="Arial"/>
          <w:iCs/>
          <w:sz w:val="24"/>
          <w:szCs w:val="24"/>
          <w:lang w:val="sr-Latn-ME"/>
        </w:rPr>
        <w:t>licencirana</w:t>
      </w:r>
      <w:r w:rsidR="00E64290" w:rsidRPr="00E64290">
        <w:rPr>
          <w:rFonts w:cs="Arial"/>
          <w:iCs/>
          <w:sz w:val="24"/>
          <w:szCs w:val="24"/>
          <w:lang w:val="sr-Latn-ME"/>
        </w:rPr>
        <w:t xml:space="preserve"> </w:t>
      </w:r>
      <w:r w:rsidR="00E64290">
        <w:rPr>
          <w:rFonts w:cs="Arial"/>
          <w:iCs/>
          <w:sz w:val="24"/>
          <w:szCs w:val="24"/>
          <w:lang w:val="sr-Latn-ME"/>
        </w:rPr>
        <w:t>je j</w:t>
      </w:r>
      <w:r w:rsidR="00E64290" w:rsidRPr="00F96844">
        <w:rPr>
          <w:rFonts w:cs="Arial"/>
          <w:iCs/>
          <w:sz w:val="24"/>
          <w:szCs w:val="24"/>
          <w:lang w:val="sr-Latn-ME"/>
        </w:rPr>
        <w:t xml:space="preserve">edna NVO </w:t>
      </w:r>
      <w:r w:rsidRPr="00F96844">
        <w:rPr>
          <w:rFonts w:cs="Arial"/>
          <w:iCs/>
          <w:sz w:val="24"/>
          <w:szCs w:val="24"/>
          <w:lang w:val="sr-Latn-ME"/>
        </w:rPr>
        <w:t>za pružanje usluge svratišta za odrasla i stara lica koja su beskućnici koji dolaze iz zajednice osoba koje koriste droge ili su osobe koje pružaju seksualne usluge, LGBTIQ osobe i bivši zatvorenici</w:t>
      </w:r>
      <w:r w:rsidR="001854B5">
        <w:rPr>
          <w:rFonts w:cs="Arial"/>
          <w:iCs/>
          <w:sz w:val="24"/>
          <w:szCs w:val="24"/>
          <w:lang w:val="sr-Latn-ME"/>
        </w:rPr>
        <w:t xml:space="preserve"> </w:t>
      </w:r>
      <w:r w:rsidRPr="00F96844">
        <w:rPr>
          <w:rFonts w:cs="Arial"/>
          <w:iCs/>
          <w:sz w:val="24"/>
          <w:szCs w:val="24"/>
          <w:lang w:val="sr-Latn-ME"/>
        </w:rPr>
        <w:t>/</w:t>
      </w:r>
      <w:r w:rsidR="001854B5">
        <w:rPr>
          <w:rFonts w:cs="Arial"/>
          <w:iCs/>
          <w:sz w:val="24"/>
          <w:szCs w:val="24"/>
          <w:lang w:val="sr-Latn-ME"/>
        </w:rPr>
        <w:t xml:space="preserve"> bivše zatvoreni</w:t>
      </w:r>
      <w:r w:rsidRPr="00F96844">
        <w:rPr>
          <w:rFonts w:cs="Arial"/>
          <w:iCs/>
          <w:sz w:val="24"/>
          <w:szCs w:val="24"/>
          <w:lang w:val="sr-Latn-ME"/>
        </w:rPr>
        <w:t>ce.</w:t>
      </w:r>
    </w:p>
    <w:p w14:paraId="53392D87" w14:textId="77777777" w:rsidR="00E64290" w:rsidRDefault="00E64290" w:rsidP="00780738">
      <w:pPr>
        <w:jc w:val="both"/>
        <w:rPr>
          <w:rFonts w:cs="Arial"/>
          <w:iCs/>
          <w:sz w:val="24"/>
          <w:szCs w:val="24"/>
          <w:lang w:val="sr-Latn-ME"/>
        </w:rPr>
      </w:pPr>
    </w:p>
    <w:p w14:paraId="539467E3" w14:textId="77777777" w:rsidR="00E64290" w:rsidRDefault="00E64290"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7F62531E" w14:textId="77777777" w:rsidR="00160EAE" w:rsidRDefault="00160EAE" w:rsidP="00780738">
      <w:pPr>
        <w:jc w:val="both"/>
        <w:rPr>
          <w:rFonts w:cs="Arial"/>
          <w:iCs/>
          <w:sz w:val="24"/>
          <w:szCs w:val="24"/>
          <w:lang w:val="sr-Latn-ME"/>
        </w:rPr>
      </w:pPr>
    </w:p>
    <w:p w14:paraId="7A1B9610" w14:textId="77777777" w:rsidR="00E64290" w:rsidRDefault="00E64290" w:rsidP="00780738">
      <w:pPr>
        <w:pStyle w:val="ListParagraph"/>
        <w:numPr>
          <w:ilvl w:val="0"/>
          <w:numId w:val="14"/>
        </w:numPr>
        <w:jc w:val="both"/>
        <w:rPr>
          <w:rFonts w:cs="Arial"/>
          <w:iCs/>
          <w:sz w:val="24"/>
          <w:szCs w:val="24"/>
          <w:lang w:val="sr-Latn-ME"/>
        </w:rPr>
      </w:pPr>
      <w:r>
        <w:rPr>
          <w:rFonts w:cs="Arial"/>
          <w:iCs/>
          <w:sz w:val="24"/>
          <w:szCs w:val="24"/>
          <w:lang w:val="sr-Latn-ME"/>
        </w:rPr>
        <w:t>Nedovoljan broj pružalaca usluge</w:t>
      </w:r>
      <w:r w:rsidR="00B65586">
        <w:rPr>
          <w:rFonts w:cs="Arial"/>
          <w:iCs/>
          <w:sz w:val="24"/>
          <w:szCs w:val="24"/>
          <w:lang w:val="sr-Latn-ME"/>
        </w:rPr>
        <w:t>;</w:t>
      </w:r>
    </w:p>
    <w:p w14:paraId="0F58E0DF" w14:textId="77777777" w:rsidR="00160EAE" w:rsidRDefault="00160EAE" w:rsidP="00780738">
      <w:pPr>
        <w:pStyle w:val="ListParagraph"/>
        <w:numPr>
          <w:ilvl w:val="0"/>
          <w:numId w:val="14"/>
        </w:numPr>
        <w:jc w:val="both"/>
        <w:rPr>
          <w:rFonts w:cs="Arial"/>
          <w:iCs/>
          <w:sz w:val="24"/>
          <w:szCs w:val="24"/>
          <w:lang w:val="sr-Latn-ME"/>
        </w:rPr>
      </w:pPr>
      <w:r>
        <w:rPr>
          <w:rFonts w:cs="Arial"/>
          <w:iCs/>
          <w:sz w:val="24"/>
          <w:szCs w:val="24"/>
          <w:lang w:val="sr-Latn-ME"/>
        </w:rPr>
        <w:t>S</w:t>
      </w:r>
      <w:r w:rsidRPr="003B1D77">
        <w:rPr>
          <w:rFonts w:cs="Arial"/>
          <w:iCs/>
          <w:sz w:val="24"/>
          <w:szCs w:val="24"/>
          <w:lang w:val="sr-Latn-ME"/>
        </w:rPr>
        <w:t>istem finansiranja</w:t>
      </w:r>
      <w:r w:rsidR="004C5D23">
        <w:rPr>
          <w:rFonts w:cs="Arial"/>
          <w:iCs/>
          <w:sz w:val="24"/>
          <w:szCs w:val="24"/>
          <w:lang w:val="sr-Latn-ME"/>
        </w:rPr>
        <w:t xml:space="preserve"> s c</w:t>
      </w:r>
      <w:r w:rsidRPr="003B1D77">
        <w:rPr>
          <w:rFonts w:cs="Arial"/>
          <w:iCs/>
          <w:sz w:val="24"/>
          <w:szCs w:val="24"/>
          <w:lang w:val="sr-Latn-ME"/>
        </w:rPr>
        <w:t>entralnog i lokalnog nivoa vlasti nije definisan;</w:t>
      </w:r>
    </w:p>
    <w:p w14:paraId="5FB784A1" w14:textId="77777777" w:rsidR="00160EAE" w:rsidRDefault="00160EAE" w:rsidP="00780738">
      <w:pPr>
        <w:pStyle w:val="ListParagraph"/>
        <w:numPr>
          <w:ilvl w:val="0"/>
          <w:numId w:val="14"/>
        </w:numPr>
        <w:jc w:val="both"/>
        <w:rPr>
          <w:rFonts w:cs="Arial"/>
          <w:iCs/>
          <w:sz w:val="24"/>
          <w:szCs w:val="24"/>
          <w:lang w:val="sr-Latn-ME"/>
        </w:rPr>
      </w:pPr>
      <w:r>
        <w:rPr>
          <w:rFonts w:cs="Arial"/>
          <w:iCs/>
          <w:sz w:val="24"/>
          <w:szCs w:val="24"/>
          <w:lang w:val="sr-Latn-ME"/>
        </w:rPr>
        <w:t>Nije izrađena metodologija ni utvrđena cijena usluge</w:t>
      </w:r>
      <w:r w:rsidR="001854B5">
        <w:rPr>
          <w:rFonts w:cs="Arial"/>
          <w:iCs/>
          <w:sz w:val="24"/>
          <w:szCs w:val="24"/>
          <w:lang w:val="sr-Latn-ME"/>
        </w:rPr>
        <w:t>.</w:t>
      </w:r>
    </w:p>
    <w:p w14:paraId="1E68087B" w14:textId="77777777" w:rsidR="00160EAE" w:rsidRDefault="00160EAE" w:rsidP="00780738">
      <w:pPr>
        <w:jc w:val="both"/>
        <w:rPr>
          <w:rFonts w:cs="Arial"/>
          <w:b/>
          <w:bCs/>
          <w:i/>
          <w:iCs/>
          <w:sz w:val="24"/>
          <w:szCs w:val="24"/>
          <w:lang w:val="sr-Latn-ME"/>
        </w:rPr>
      </w:pPr>
    </w:p>
    <w:p w14:paraId="181A110E" w14:textId="77777777" w:rsidR="008B2F62" w:rsidRDefault="008B2F62" w:rsidP="00780738">
      <w:pPr>
        <w:jc w:val="both"/>
        <w:rPr>
          <w:rFonts w:cs="Arial"/>
          <w:sz w:val="24"/>
          <w:szCs w:val="24"/>
          <w:lang w:val="sr-Latn-ME"/>
        </w:rPr>
      </w:pPr>
      <w:r w:rsidRPr="00F96844">
        <w:rPr>
          <w:rFonts w:cs="Arial"/>
          <w:b/>
          <w:bCs/>
          <w:i/>
          <w:iCs/>
          <w:sz w:val="24"/>
          <w:szCs w:val="24"/>
          <w:lang w:val="sr-Latn-ME"/>
        </w:rPr>
        <w:lastRenderedPageBreak/>
        <w:t>Stanovanje uz podršku</w:t>
      </w:r>
      <w:r w:rsidRPr="00F96844">
        <w:rPr>
          <w:rFonts w:cs="Arial"/>
          <w:sz w:val="24"/>
          <w:szCs w:val="24"/>
          <w:lang w:val="sr-Latn-ME"/>
        </w:rPr>
        <w:t xml:space="preserve"> predstavlja neposrednu alternativu smještaju u ustanovu u uslovima kada izostaje značajnija podrška porodice </w:t>
      </w:r>
      <w:r w:rsidR="00EB2F1D">
        <w:rPr>
          <w:rFonts w:cs="Arial"/>
          <w:sz w:val="24"/>
          <w:szCs w:val="24"/>
          <w:lang w:val="sr-Latn-ME"/>
        </w:rPr>
        <w:t>korisnika/korisnica</w:t>
      </w:r>
      <w:r w:rsidRPr="00F96844">
        <w:rPr>
          <w:rFonts w:cs="Arial"/>
          <w:sz w:val="24"/>
          <w:szCs w:val="24"/>
          <w:lang w:val="sr-Latn-ME"/>
        </w:rPr>
        <w:t>. U</w:t>
      </w:r>
      <w:r w:rsidRPr="00F96844">
        <w:rPr>
          <w:rFonts w:cs="Arial"/>
          <w:bCs/>
          <w:sz w:val="24"/>
          <w:szCs w:val="24"/>
          <w:lang w:val="sr-Latn-ME"/>
        </w:rPr>
        <w:t>sluge stanovanja uz podršku</w:t>
      </w:r>
      <w:r w:rsidRPr="00F96844">
        <w:rPr>
          <w:rFonts w:cs="Arial"/>
          <w:sz w:val="24"/>
          <w:szCs w:val="24"/>
          <w:lang w:val="sr-Latn-ME"/>
        </w:rPr>
        <w:t xml:space="preserve"> za djecu (16+) i lica</w:t>
      </w:r>
      <w:r w:rsidR="00867803">
        <w:rPr>
          <w:rFonts w:cs="Arial"/>
          <w:sz w:val="24"/>
          <w:szCs w:val="24"/>
          <w:lang w:val="sr-Latn-ME"/>
        </w:rPr>
        <w:t xml:space="preserve"> s i</w:t>
      </w:r>
      <w:r w:rsidRPr="00F96844">
        <w:rPr>
          <w:rFonts w:cs="Arial"/>
          <w:sz w:val="24"/>
          <w:szCs w:val="24"/>
          <w:lang w:val="sr-Latn-ME"/>
        </w:rPr>
        <w:t xml:space="preserve">nvaliditetom u Crnoj Gori nisu uspostavljene, iako je to jedan od ključnih preduslova za deinstitucionalizaciju i prevenciju institucionalizacije. </w:t>
      </w:r>
    </w:p>
    <w:p w14:paraId="3B0D0CAB" w14:textId="77777777" w:rsidR="00160EAE" w:rsidRDefault="00160EAE" w:rsidP="00780738">
      <w:pPr>
        <w:jc w:val="both"/>
        <w:rPr>
          <w:rFonts w:cs="Arial"/>
          <w:iCs/>
          <w:sz w:val="24"/>
          <w:szCs w:val="24"/>
          <w:lang w:val="sr-Latn-ME"/>
        </w:rPr>
      </w:pPr>
    </w:p>
    <w:p w14:paraId="7EABDA01" w14:textId="77777777" w:rsidR="00160EAE" w:rsidRDefault="00160EAE"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21D7490F" w14:textId="77777777" w:rsidR="00D065DF" w:rsidRDefault="001854B5" w:rsidP="00780738">
      <w:pPr>
        <w:jc w:val="both"/>
        <w:rPr>
          <w:rFonts w:cs="Arial"/>
          <w:sz w:val="24"/>
          <w:szCs w:val="24"/>
          <w:lang w:val="sr-Latn-ME"/>
        </w:rPr>
      </w:pPr>
      <w:r>
        <w:rPr>
          <w:rFonts w:cs="Arial"/>
          <w:sz w:val="24"/>
          <w:szCs w:val="24"/>
          <w:lang w:val="sr-Latn-ME"/>
        </w:rPr>
        <w:t>‒</w:t>
      </w:r>
      <w:r w:rsidR="008B2F62" w:rsidRPr="00F96844">
        <w:rPr>
          <w:rFonts w:cs="Arial"/>
          <w:i/>
          <w:iCs/>
          <w:sz w:val="24"/>
          <w:szCs w:val="24"/>
          <w:lang w:val="sr-Latn-ME"/>
        </w:rPr>
        <w:t xml:space="preserve"> </w:t>
      </w:r>
      <w:r w:rsidR="008B2F62" w:rsidRPr="00160EAE">
        <w:rPr>
          <w:rFonts w:cs="Arial"/>
          <w:sz w:val="24"/>
          <w:szCs w:val="24"/>
          <w:lang w:val="sr-Latn-ME"/>
        </w:rPr>
        <w:t>ne postoji nijedan licencirani pružalac usluge</w:t>
      </w:r>
      <w:r>
        <w:rPr>
          <w:rFonts w:cs="Arial"/>
          <w:sz w:val="24"/>
          <w:szCs w:val="24"/>
          <w:lang w:val="sr-Latn-ME"/>
        </w:rPr>
        <w:t>,</w:t>
      </w:r>
      <w:r w:rsidR="008B2F62" w:rsidRPr="00160EAE">
        <w:rPr>
          <w:rFonts w:cs="Arial"/>
          <w:sz w:val="24"/>
          <w:szCs w:val="24"/>
          <w:lang w:val="sr-Latn-ME"/>
        </w:rPr>
        <w:t xml:space="preserve"> iako postoje minimalni standardi i normativ</w:t>
      </w:r>
      <w:r>
        <w:rPr>
          <w:rFonts w:cs="Arial"/>
          <w:sz w:val="24"/>
          <w:szCs w:val="24"/>
          <w:lang w:val="sr-Latn-ME"/>
        </w:rPr>
        <w:t>i</w:t>
      </w:r>
      <w:r w:rsidR="002358A4">
        <w:rPr>
          <w:rFonts w:cs="Arial"/>
          <w:sz w:val="24"/>
          <w:szCs w:val="24"/>
          <w:lang w:val="sr-Latn-ME"/>
        </w:rPr>
        <w:t>;</w:t>
      </w:r>
    </w:p>
    <w:p w14:paraId="5B1A7F1E" w14:textId="77777777" w:rsidR="008B2F62" w:rsidRDefault="001854B5" w:rsidP="00780738">
      <w:pPr>
        <w:jc w:val="both"/>
        <w:rPr>
          <w:rFonts w:cs="Arial"/>
          <w:sz w:val="24"/>
          <w:szCs w:val="24"/>
          <w:lang w:val="sr-Latn-ME"/>
        </w:rPr>
      </w:pPr>
      <w:r>
        <w:rPr>
          <w:rFonts w:cs="Arial"/>
          <w:sz w:val="24"/>
          <w:szCs w:val="24"/>
          <w:lang w:val="sr-Latn-ME"/>
        </w:rPr>
        <w:t>‒</w:t>
      </w:r>
      <w:r w:rsidR="00D065DF">
        <w:rPr>
          <w:rFonts w:cs="Arial"/>
          <w:sz w:val="24"/>
          <w:szCs w:val="24"/>
          <w:lang w:val="sr-Latn-ME"/>
        </w:rPr>
        <w:t xml:space="preserve"> </w:t>
      </w:r>
      <w:r w:rsidR="008B2F62" w:rsidRPr="00160EAE">
        <w:rPr>
          <w:rFonts w:cs="Arial"/>
          <w:sz w:val="24"/>
          <w:szCs w:val="24"/>
          <w:lang w:val="sr-Latn-ME"/>
        </w:rPr>
        <w:t>nije utvrđena cijena usluge</w:t>
      </w:r>
      <w:r w:rsidR="002358A4">
        <w:rPr>
          <w:rFonts w:cs="Arial"/>
          <w:sz w:val="24"/>
          <w:szCs w:val="24"/>
          <w:lang w:val="sr-Latn-ME"/>
        </w:rPr>
        <w:t>;</w:t>
      </w:r>
    </w:p>
    <w:p w14:paraId="228B845B" w14:textId="77777777" w:rsidR="00377961" w:rsidRDefault="001854B5" w:rsidP="00780738">
      <w:pPr>
        <w:jc w:val="both"/>
        <w:rPr>
          <w:rFonts w:cs="Arial"/>
          <w:sz w:val="24"/>
          <w:szCs w:val="24"/>
          <w:lang w:val="sr-Latn-ME"/>
        </w:rPr>
      </w:pPr>
      <w:r>
        <w:rPr>
          <w:rFonts w:cs="Arial"/>
          <w:sz w:val="24"/>
          <w:szCs w:val="24"/>
          <w:lang w:val="sr-Latn-ME"/>
        </w:rPr>
        <w:t>‒</w:t>
      </w:r>
      <w:r w:rsidR="00377961">
        <w:rPr>
          <w:rFonts w:cs="Arial"/>
          <w:i/>
          <w:iCs/>
          <w:sz w:val="24"/>
          <w:szCs w:val="24"/>
          <w:lang w:val="sr-Latn-ME"/>
        </w:rPr>
        <w:t xml:space="preserve"> </w:t>
      </w:r>
      <w:r w:rsidR="00377961" w:rsidRPr="00377961">
        <w:rPr>
          <w:rFonts w:cs="Arial"/>
          <w:sz w:val="24"/>
          <w:szCs w:val="24"/>
          <w:lang w:val="sr-Latn-ME"/>
        </w:rPr>
        <w:t xml:space="preserve">ne postoji saradnja i inicijativa </w:t>
      </w:r>
      <w:r w:rsidR="00377961">
        <w:rPr>
          <w:rFonts w:cs="Arial"/>
          <w:sz w:val="24"/>
          <w:szCs w:val="24"/>
          <w:lang w:val="sr-Latn-ME"/>
        </w:rPr>
        <w:t xml:space="preserve">između centralnog i lokalnog nivoa </w:t>
      </w:r>
      <w:r w:rsidR="00377961" w:rsidRPr="00377961">
        <w:rPr>
          <w:rFonts w:cs="Arial"/>
          <w:sz w:val="24"/>
          <w:szCs w:val="24"/>
          <w:lang w:val="sr-Latn-ME"/>
        </w:rPr>
        <w:t>za uspostavljanje usluge</w:t>
      </w:r>
      <w:r>
        <w:rPr>
          <w:rFonts w:cs="Arial"/>
          <w:sz w:val="24"/>
          <w:szCs w:val="24"/>
          <w:lang w:val="sr-Latn-ME"/>
        </w:rPr>
        <w:t>,</w:t>
      </w:r>
      <w:r w:rsidR="00377961">
        <w:rPr>
          <w:rFonts w:cs="Arial"/>
          <w:sz w:val="24"/>
          <w:szCs w:val="24"/>
          <w:lang w:val="sr-Latn-ME"/>
        </w:rPr>
        <w:t xml:space="preserve"> kao i </w:t>
      </w:r>
      <w:r w:rsidR="00377961" w:rsidRPr="00377961">
        <w:rPr>
          <w:rFonts w:cs="Arial"/>
          <w:sz w:val="24"/>
          <w:szCs w:val="24"/>
          <w:lang w:val="sr-Latn-ME"/>
        </w:rPr>
        <w:t>međusektorsk</w:t>
      </w:r>
      <w:r w:rsidR="00377961">
        <w:rPr>
          <w:rFonts w:cs="Arial"/>
          <w:sz w:val="24"/>
          <w:szCs w:val="24"/>
          <w:lang w:val="sr-Latn-ME"/>
        </w:rPr>
        <w:t>a</w:t>
      </w:r>
      <w:r w:rsidR="00377961" w:rsidRPr="00377961">
        <w:rPr>
          <w:rFonts w:cs="Arial"/>
          <w:sz w:val="24"/>
          <w:szCs w:val="24"/>
          <w:lang w:val="sr-Latn-ME"/>
        </w:rPr>
        <w:t xml:space="preserve"> saradnj</w:t>
      </w:r>
      <w:r w:rsidR="00377961">
        <w:rPr>
          <w:rFonts w:cs="Arial"/>
          <w:sz w:val="24"/>
          <w:szCs w:val="24"/>
          <w:lang w:val="sr-Latn-ME"/>
        </w:rPr>
        <w:t>a.</w:t>
      </w:r>
    </w:p>
    <w:p w14:paraId="5D616475" w14:textId="77777777" w:rsidR="00377961" w:rsidRPr="00377961" w:rsidRDefault="00377961" w:rsidP="00780738">
      <w:pPr>
        <w:jc w:val="both"/>
        <w:rPr>
          <w:rFonts w:cs="Arial"/>
          <w:sz w:val="24"/>
          <w:szCs w:val="24"/>
          <w:lang w:val="sr-Latn-ME"/>
        </w:rPr>
      </w:pPr>
    </w:p>
    <w:p w14:paraId="7C57CEB1" w14:textId="77777777" w:rsidR="00E53258" w:rsidRPr="00F96844" w:rsidRDefault="00E53258" w:rsidP="00780738">
      <w:pPr>
        <w:jc w:val="both"/>
        <w:rPr>
          <w:rFonts w:cs="Arial"/>
          <w:b/>
          <w:bCs/>
          <w:i/>
          <w:sz w:val="24"/>
          <w:szCs w:val="24"/>
          <w:lang w:val="sr-Latn-ME"/>
        </w:rPr>
      </w:pPr>
    </w:p>
    <w:p w14:paraId="4FA1559C" w14:textId="77777777" w:rsidR="008B3548" w:rsidRDefault="008B3548" w:rsidP="00780738">
      <w:pPr>
        <w:jc w:val="both"/>
        <w:rPr>
          <w:rFonts w:cs="Arial"/>
          <w:b/>
          <w:bCs/>
          <w:iCs/>
          <w:sz w:val="24"/>
          <w:szCs w:val="24"/>
          <w:lang w:val="sr-Latn-ME"/>
        </w:rPr>
      </w:pPr>
      <w:r>
        <w:rPr>
          <w:rFonts w:cs="Arial"/>
          <w:b/>
          <w:bCs/>
          <w:iCs/>
          <w:sz w:val="24"/>
          <w:szCs w:val="24"/>
          <w:lang w:val="sr-Latn-ME"/>
        </w:rPr>
        <w:t xml:space="preserve">Ključni </w:t>
      </w:r>
      <w:r w:rsidR="008B2F62" w:rsidRPr="008B4368">
        <w:rPr>
          <w:rFonts w:cs="Arial"/>
          <w:b/>
          <w:bCs/>
          <w:iCs/>
          <w:sz w:val="24"/>
          <w:szCs w:val="24"/>
          <w:lang w:val="sr-Latn-ME"/>
        </w:rPr>
        <w:t>problemi u vezi</w:t>
      </w:r>
      <w:r w:rsidR="004C5D23">
        <w:rPr>
          <w:rFonts w:cs="Arial"/>
          <w:b/>
          <w:bCs/>
          <w:iCs/>
          <w:sz w:val="24"/>
          <w:szCs w:val="24"/>
          <w:lang w:val="sr-Latn-ME"/>
        </w:rPr>
        <w:t xml:space="preserve"> s p</w:t>
      </w:r>
      <w:r w:rsidR="008B2F62" w:rsidRPr="008B4368">
        <w:rPr>
          <w:rFonts w:cs="Arial"/>
          <w:b/>
          <w:bCs/>
          <w:iCs/>
          <w:sz w:val="24"/>
          <w:szCs w:val="24"/>
          <w:lang w:val="sr-Latn-ME"/>
        </w:rPr>
        <w:t xml:space="preserve">ružanjem usluga podrške životu u zajednici </w:t>
      </w:r>
      <w:bookmarkStart w:id="84" w:name="_Hlk167790091"/>
    </w:p>
    <w:p w14:paraId="7B5E1E81" w14:textId="77777777" w:rsidR="003F2738" w:rsidRDefault="003F2738" w:rsidP="00780738">
      <w:pPr>
        <w:jc w:val="both"/>
        <w:rPr>
          <w:rFonts w:cs="Arial"/>
          <w:iCs/>
          <w:sz w:val="24"/>
          <w:szCs w:val="24"/>
          <w:lang w:val="sr-Latn-ME"/>
        </w:rPr>
      </w:pPr>
    </w:p>
    <w:p w14:paraId="64C53D16"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 xml:space="preserve">edovoljan obuhvat ili dostupnost usluga kako bi se zadovoljile potrebe </w:t>
      </w:r>
      <w:r w:rsidR="00EB2F1D">
        <w:rPr>
          <w:rFonts w:cs="Arial"/>
          <w:iCs/>
          <w:sz w:val="24"/>
          <w:szCs w:val="24"/>
          <w:lang w:val="sr-Latn-ME"/>
        </w:rPr>
        <w:t>korisnika/korisnica</w:t>
      </w:r>
      <w:r w:rsidR="008B3548">
        <w:rPr>
          <w:rFonts w:cs="Arial"/>
          <w:iCs/>
          <w:sz w:val="24"/>
          <w:szCs w:val="24"/>
          <w:lang w:val="sr-Latn-ME"/>
        </w:rPr>
        <w:t>;</w:t>
      </w:r>
    </w:p>
    <w:p w14:paraId="7DC56981"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L</w:t>
      </w:r>
      <w:r w:rsidR="008B2F62" w:rsidRPr="008B3548">
        <w:rPr>
          <w:rFonts w:cs="Arial"/>
          <w:iCs/>
          <w:sz w:val="24"/>
          <w:szCs w:val="24"/>
          <w:lang w:val="sr-Latn-ME"/>
        </w:rPr>
        <w:t>icencirane usluge nisu ravnomjerno razvijene na lokalnom nivou</w:t>
      </w:r>
      <w:r w:rsidR="008B3548">
        <w:rPr>
          <w:rFonts w:cs="Arial"/>
          <w:iCs/>
          <w:sz w:val="24"/>
          <w:szCs w:val="24"/>
          <w:lang w:val="sr-Latn-ME"/>
        </w:rPr>
        <w:t>;</w:t>
      </w:r>
    </w:p>
    <w:p w14:paraId="196D6503"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ije definisan minimalni paket usluga u skladu</w:t>
      </w:r>
      <w:r w:rsidR="004C5D23">
        <w:rPr>
          <w:rFonts w:cs="Arial"/>
          <w:iCs/>
          <w:sz w:val="24"/>
          <w:szCs w:val="24"/>
          <w:lang w:val="sr-Latn-ME"/>
        </w:rPr>
        <w:t xml:space="preserve"> s p</w:t>
      </w:r>
      <w:r w:rsidR="008B2F62" w:rsidRPr="008B3548">
        <w:rPr>
          <w:rFonts w:cs="Arial"/>
          <w:iCs/>
          <w:sz w:val="24"/>
          <w:szCs w:val="24"/>
          <w:lang w:val="sr-Latn-ME"/>
        </w:rPr>
        <w:t>otrebama u lokalnim zajednicama</w:t>
      </w:r>
      <w:r w:rsidR="008B3548">
        <w:rPr>
          <w:rFonts w:cs="Arial"/>
          <w:iCs/>
          <w:sz w:val="24"/>
          <w:szCs w:val="24"/>
          <w:lang w:val="sr-Latn-ME"/>
        </w:rPr>
        <w:t>;</w:t>
      </w:r>
    </w:p>
    <w:p w14:paraId="14C8F457"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Z</w:t>
      </w:r>
      <w:r w:rsidR="008B2F62" w:rsidRPr="008B3548">
        <w:rPr>
          <w:rFonts w:cs="Arial"/>
          <w:iCs/>
          <w:sz w:val="24"/>
          <w:szCs w:val="24"/>
          <w:lang w:val="sr-Latn-ME"/>
        </w:rPr>
        <w:t xml:space="preserve">a </w:t>
      </w:r>
      <w:r>
        <w:rPr>
          <w:rFonts w:cs="Arial"/>
          <w:iCs/>
          <w:sz w:val="24"/>
          <w:szCs w:val="24"/>
          <w:lang w:val="sr-Latn-ME"/>
        </w:rPr>
        <w:t>određeni broj</w:t>
      </w:r>
      <w:r w:rsidR="008B2F62" w:rsidRPr="008B3548">
        <w:rPr>
          <w:rFonts w:cs="Arial"/>
          <w:iCs/>
          <w:sz w:val="24"/>
          <w:szCs w:val="24"/>
          <w:lang w:val="sr-Latn-ME"/>
        </w:rPr>
        <w:t xml:space="preserve"> uslug</w:t>
      </w:r>
      <w:r w:rsidR="001854B5">
        <w:rPr>
          <w:rFonts w:cs="Arial"/>
          <w:iCs/>
          <w:sz w:val="24"/>
          <w:szCs w:val="24"/>
          <w:lang w:val="sr-Latn-ME"/>
        </w:rPr>
        <w:t>a</w:t>
      </w:r>
      <w:r w:rsidR="008B2F62" w:rsidRPr="008B3548">
        <w:rPr>
          <w:rFonts w:cs="Arial"/>
          <w:iCs/>
          <w:sz w:val="24"/>
          <w:szCs w:val="24"/>
          <w:lang w:val="sr-Latn-ME"/>
        </w:rPr>
        <w:t xml:space="preserve"> nije određene cijena</w:t>
      </w:r>
      <w:r w:rsidR="008B3548">
        <w:rPr>
          <w:rFonts w:cs="Arial"/>
          <w:iCs/>
          <w:sz w:val="24"/>
          <w:szCs w:val="24"/>
          <w:lang w:val="sr-Latn-ME"/>
        </w:rPr>
        <w:t>;</w:t>
      </w:r>
    </w:p>
    <w:p w14:paraId="7C5275AF"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Z</w:t>
      </w:r>
      <w:r w:rsidR="008B2F62" w:rsidRPr="008B3548">
        <w:rPr>
          <w:rFonts w:cs="Arial"/>
          <w:iCs/>
          <w:sz w:val="24"/>
          <w:szCs w:val="24"/>
          <w:lang w:val="sr-Latn-ME"/>
        </w:rPr>
        <w:t xml:space="preserve">a </w:t>
      </w:r>
      <w:r>
        <w:rPr>
          <w:rFonts w:cs="Arial"/>
          <w:iCs/>
          <w:sz w:val="24"/>
          <w:szCs w:val="24"/>
          <w:lang w:val="sr-Latn-ME"/>
        </w:rPr>
        <w:t>određeni b</w:t>
      </w:r>
      <w:r w:rsidR="008B3548">
        <w:rPr>
          <w:rFonts w:cs="Arial"/>
          <w:iCs/>
          <w:sz w:val="24"/>
          <w:szCs w:val="24"/>
          <w:lang w:val="sr-Latn-ME"/>
        </w:rPr>
        <w:t xml:space="preserve">roj </w:t>
      </w:r>
      <w:r w:rsidR="008B2F62" w:rsidRPr="008B3548">
        <w:rPr>
          <w:rFonts w:cs="Arial"/>
          <w:iCs/>
          <w:sz w:val="24"/>
          <w:szCs w:val="24"/>
          <w:lang w:val="sr-Latn-ME"/>
        </w:rPr>
        <w:t>uslug</w:t>
      </w:r>
      <w:r w:rsidR="001854B5">
        <w:rPr>
          <w:rFonts w:cs="Arial"/>
          <w:iCs/>
          <w:sz w:val="24"/>
          <w:szCs w:val="24"/>
          <w:lang w:val="sr-Latn-ME"/>
        </w:rPr>
        <w:t>a</w:t>
      </w:r>
      <w:r w:rsidR="008B2F62" w:rsidRPr="008B3548">
        <w:rPr>
          <w:rFonts w:cs="Arial"/>
          <w:iCs/>
          <w:sz w:val="24"/>
          <w:szCs w:val="24"/>
          <w:lang w:val="sr-Latn-ME"/>
        </w:rPr>
        <w:t xml:space="preserve"> je cijena neadekvatna</w:t>
      </w:r>
      <w:r>
        <w:rPr>
          <w:rFonts w:cs="Arial"/>
          <w:iCs/>
          <w:sz w:val="24"/>
          <w:szCs w:val="24"/>
          <w:lang w:val="sr-Latn-ME"/>
        </w:rPr>
        <w:t>;</w:t>
      </w:r>
    </w:p>
    <w:p w14:paraId="0279B0BD"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4368" w:rsidRPr="008B3548">
        <w:rPr>
          <w:rFonts w:cs="Arial"/>
          <w:iCs/>
          <w:sz w:val="24"/>
          <w:szCs w:val="24"/>
          <w:lang w:val="sr-Latn-ME"/>
        </w:rPr>
        <w:t xml:space="preserve">ije dobro definisana skala učešća </w:t>
      </w:r>
      <w:r w:rsidR="00EB2F1D">
        <w:rPr>
          <w:rFonts w:cs="Arial"/>
          <w:iCs/>
          <w:sz w:val="24"/>
          <w:szCs w:val="24"/>
          <w:lang w:val="sr-Latn-ME"/>
        </w:rPr>
        <w:t>korisnika/korisnica</w:t>
      </w:r>
      <w:r w:rsidR="008B4368" w:rsidRPr="008B3548">
        <w:rPr>
          <w:rFonts w:cs="Arial"/>
          <w:iCs/>
          <w:sz w:val="24"/>
          <w:szCs w:val="24"/>
          <w:lang w:val="sr-Latn-ME"/>
        </w:rPr>
        <w:t xml:space="preserve"> u troškovima usluga</w:t>
      </w:r>
      <w:r w:rsidR="008B3548">
        <w:rPr>
          <w:rFonts w:cs="Arial"/>
          <w:iCs/>
          <w:sz w:val="24"/>
          <w:szCs w:val="24"/>
          <w:lang w:val="sr-Latn-ME"/>
        </w:rPr>
        <w:t>;</w:t>
      </w:r>
    </w:p>
    <w:p w14:paraId="117E075F" w14:textId="77777777" w:rsidR="008B3548" w:rsidRDefault="001854B5" w:rsidP="00780738">
      <w:pPr>
        <w:pStyle w:val="ListParagraph"/>
        <w:numPr>
          <w:ilvl w:val="0"/>
          <w:numId w:val="18"/>
        </w:numPr>
        <w:jc w:val="both"/>
        <w:rPr>
          <w:rFonts w:cs="Arial"/>
          <w:iCs/>
          <w:sz w:val="24"/>
          <w:szCs w:val="24"/>
          <w:lang w:val="sr-Latn-ME"/>
        </w:rPr>
      </w:pPr>
      <w:r>
        <w:rPr>
          <w:rFonts w:cs="Arial"/>
          <w:iCs/>
          <w:sz w:val="24"/>
          <w:szCs w:val="24"/>
          <w:lang w:val="sr-Latn-ME"/>
        </w:rPr>
        <w:t>S</w:t>
      </w:r>
      <w:r w:rsidR="008B2F62" w:rsidRPr="008B3548">
        <w:rPr>
          <w:rFonts w:cs="Arial"/>
          <w:iCs/>
          <w:sz w:val="24"/>
          <w:szCs w:val="24"/>
          <w:lang w:val="sr-Latn-ME"/>
        </w:rPr>
        <w:t xml:space="preserve">tandardi i normativi pojedinih usluga nijesu dovoljno jasno definisani a za neke </w:t>
      </w:r>
      <w:r>
        <w:rPr>
          <w:rFonts w:cs="Arial"/>
          <w:iCs/>
          <w:sz w:val="24"/>
          <w:szCs w:val="24"/>
          <w:lang w:val="sr-Latn-ME"/>
        </w:rPr>
        <w:t>u</w:t>
      </w:r>
      <w:r w:rsidR="008B2F62" w:rsidRPr="008B3548">
        <w:rPr>
          <w:rFonts w:cs="Arial"/>
          <w:iCs/>
          <w:sz w:val="24"/>
          <w:szCs w:val="24"/>
          <w:lang w:val="sr-Latn-ME"/>
        </w:rPr>
        <w:t>sluge ne postoje</w:t>
      </w:r>
      <w:r w:rsidR="008B3548">
        <w:rPr>
          <w:rFonts w:cs="Arial"/>
          <w:iCs/>
          <w:sz w:val="24"/>
          <w:szCs w:val="24"/>
          <w:lang w:val="sr-Latn-ME"/>
        </w:rPr>
        <w:t>;</w:t>
      </w:r>
    </w:p>
    <w:p w14:paraId="2AED90A5" w14:textId="77777777"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ema obavezne edukacije iz određenih oblasti za stručne s</w:t>
      </w:r>
      <w:r w:rsidR="00C178B6">
        <w:rPr>
          <w:rFonts w:cs="Arial"/>
          <w:iCs/>
          <w:sz w:val="24"/>
          <w:szCs w:val="24"/>
          <w:lang w:val="sr-Latn-ME"/>
        </w:rPr>
        <w:t>aradnike/saradnice</w:t>
      </w:r>
      <w:r w:rsidR="008B2F62" w:rsidRPr="008B3548">
        <w:rPr>
          <w:rFonts w:cs="Arial"/>
          <w:iCs/>
          <w:sz w:val="24"/>
          <w:szCs w:val="24"/>
          <w:lang w:val="sr-Latn-ME"/>
        </w:rPr>
        <w:t xml:space="preserve"> i s</w:t>
      </w:r>
      <w:r w:rsidR="00C178B6">
        <w:rPr>
          <w:rFonts w:cs="Arial"/>
          <w:iCs/>
          <w:sz w:val="24"/>
          <w:szCs w:val="24"/>
          <w:lang w:val="sr-Latn-ME"/>
        </w:rPr>
        <w:t>aradnike/saradnice</w:t>
      </w:r>
      <w:r w:rsidR="008B3548">
        <w:rPr>
          <w:rFonts w:cs="Arial"/>
          <w:iCs/>
          <w:sz w:val="24"/>
          <w:szCs w:val="24"/>
          <w:lang w:val="sr-Latn-ME"/>
        </w:rPr>
        <w:t>;</w:t>
      </w:r>
    </w:p>
    <w:p w14:paraId="76D2DF35" w14:textId="77777777" w:rsidR="008B2F62" w:rsidRP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erazvijene preventivne usluge.</w:t>
      </w:r>
      <w:bookmarkEnd w:id="84"/>
    </w:p>
    <w:p w14:paraId="12C9E938" w14:textId="77777777" w:rsidR="00E53258" w:rsidRPr="00F96844" w:rsidRDefault="00E53258" w:rsidP="005114FD">
      <w:pPr>
        <w:jc w:val="both"/>
        <w:rPr>
          <w:rFonts w:cs="Arial"/>
          <w:b/>
          <w:iCs/>
          <w:sz w:val="24"/>
          <w:szCs w:val="24"/>
          <w:lang w:val="sr-Latn-ME"/>
        </w:rPr>
      </w:pPr>
    </w:p>
    <w:p w14:paraId="6704D1A6" w14:textId="77777777" w:rsidR="008B2F62" w:rsidRPr="00F96844" w:rsidRDefault="008B2F62" w:rsidP="005114FD">
      <w:pPr>
        <w:jc w:val="both"/>
        <w:rPr>
          <w:rFonts w:cs="Arial"/>
          <w:iCs/>
          <w:sz w:val="24"/>
          <w:szCs w:val="24"/>
          <w:lang w:val="sr-Latn-ME"/>
        </w:rPr>
      </w:pPr>
      <w:r w:rsidRPr="00F96844">
        <w:rPr>
          <w:rFonts w:cs="Arial"/>
          <w:b/>
          <w:iCs/>
          <w:sz w:val="24"/>
          <w:szCs w:val="24"/>
          <w:lang w:val="sr-Latn-ME"/>
        </w:rPr>
        <w:t xml:space="preserve">Savjetodavno-terapijske i socijalno-edukativne usluge </w:t>
      </w:r>
      <w:r w:rsidRPr="00F96844">
        <w:rPr>
          <w:rFonts w:cs="Arial"/>
          <w:iCs/>
          <w:sz w:val="24"/>
          <w:szCs w:val="24"/>
          <w:lang w:val="sr-Latn-ME"/>
        </w:rPr>
        <w:t>obuhvataju: savjetovanje, terapiju, SOS telefon i druge usluge</w:t>
      </w:r>
      <w:r w:rsidR="004C5D23">
        <w:rPr>
          <w:rFonts w:cs="Arial"/>
          <w:iCs/>
          <w:sz w:val="24"/>
          <w:szCs w:val="24"/>
          <w:lang w:val="sr-Latn-ME"/>
        </w:rPr>
        <w:t xml:space="preserve"> s c</w:t>
      </w:r>
      <w:r w:rsidRPr="00F96844">
        <w:rPr>
          <w:rFonts w:cs="Arial"/>
          <w:iCs/>
          <w:sz w:val="24"/>
          <w:szCs w:val="24"/>
          <w:lang w:val="sr-Latn-ME"/>
        </w:rPr>
        <w:t>iljem prevazilaženja kriznih situacija i unapređenja porodičnih odnosa.</w:t>
      </w:r>
    </w:p>
    <w:p w14:paraId="3EEBB202" w14:textId="77777777" w:rsidR="008B2F62" w:rsidRPr="00F96844" w:rsidRDefault="00254CEE" w:rsidP="005114FD">
      <w:pPr>
        <w:jc w:val="both"/>
        <w:rPr>
          <w:rFonts w:cs="Arial"/>
          <w:iCs/>
          <w:sz w:val="24"/>
          <w:szCs w:val="24"/>
          <w:lang w:val="sr-Latn-ME"/>
        </w:rPr>
      </w:pPr>
      <w:r w:rsidRPr="00F96844">
        <w:rPr>
          <w:rFonts w:cs="Arial"/>
          <w:iCs/>
          <w:noProof/>
          <w:sz w:val="24"/>
          <w:szCs w:val="24"/>
          <w:lang w:val="sr-Latn-ME" w:eastAsia="sr-Latn-ME"/>
        </w:rPr>
        <w:lastRenderedPageBreak/>
        <w:drawing>
          <wp:inline distT="0" distB="0" distL="0" distR="0" wp14:anchorId="2ACD688A" wp14:editId="253035AD">
            <wp:extent cx="5486400" cy="2724150"/>
            <wp:effectExtent l="0" t="0" r="0" b="17145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318D55C" w14:textId="77777777" w:rsidR="00E53258" w:rsidRPr="00F96844" w:rsidRDefault="008B2F62" w:rsidP="00780738">
      <w:pPr>
        <w:jc w:val="both"/>
        <w:rPr>
          <w:rFonts w:cs="Arial"/>
          <w:iCs/>
          <w:sz w:val="24"/>
          <w:szCs w:val="24"/>
          <w:lang w:val="sr-Latn-ME"/>
        </w:rPr>
      </w:pPr>
      <w:r w:rsidRPr="00F96844">
        <w:rPr>
          <w:rFonts w:cs="Arial"/>
          <w:iCs/>
          <w:sz w:val="24"/>
          <w:szCs w:val="24"/>
          <w:lang w:val="sr-Latn-ME"/>
        </w:rPr>
        <w:t xml:space="preserve">U Crnoj Gori 7 pružalaca usluga pruža usluge </w:t>
      </w:r>
      <w:r w:rsidR="009000A1">
        <w:rPr>
          <w:rFonts w:cs="Arial"/>
          <w:iCs/>
          <w:sz w:val="24"/>
          <w:szCs w:val="24"/>
          <w:lang w:val="sr-Latn-ME"/>
        </w:rPr>
        <w:t>s</w:t>
      </w:r>
      <w:r w:rsidRPr="00F96844">
        <w:rPr>
          <w:rFonts w:cs="Arial"/>
          <w:iCs/>
          <w:sz w:val="24"/>
          <w:szCs w:val="24"/>
          <w:lang w:val="sr-Latn-ME"/>
        </w:rPr>
        <w:t>avjetovanja za djecu i mlade sa smetnjama i teškoćama u razvoju, odrasla i stara lica</w:t>
      </w:r>
      <w:r w:rsidR="00867803">
        <w:rPr>
          <w:rFonts w:cs="Arial"/>
          <w:iCs/>
          <w:sz w:val="24"/>
          <w:szCs w:val="24"/>
          <w:lang w:val="sr-Latn-ME"/>
        </w:rPr>
        <w:t xml:space="preserve"> s i</w:t>
      </w:r>
      <w:r w:rsidRPr="00F96844">
        <w:rPr>
          <w:rFonts w:cs="Arial"/>
          <w:iCs/>
          <w:sz w:val="24"/>
          <w:szCs w:val="24"/>
          <w:lang w:val="sr-Latn-ME"/>
        </w:rPr>
        <w:t xml:space="preserve">nvaliditetom i stara lica u 7 </w:t>
      </w:r>
      <w:r w:rsidR="009000A1">
        <w:rPr>
          <w:rFonts w:cs="Arial"/>
          <w:iCs/>
          <w:sz w:val="24"/>
          <w:szCs w:val="24"/>
          <w:lang w:val="sr-Latn-ME"/>
        </w:rPr>
        <w:t>opština</w:t>
      </w:r>
      <w:r w:rsidRPr="00F96844">
        <w:rPr>
          <w:rFonts w:cs="Arial"/>
          <w:iCs/>
          <w:sz w:val="24"/>
          <w:szCs w:val="24"/>
          <w:lang w:val="sr-Latn-ME"/>
        </w:rPr>
        <w:t xml:space="preserve">. Broj korisnika ove usluge nije ograničen prilikom licenciranja. </w:t>
      </w:r>
    </w:p>
    <w:p w14:paraId="1ABE1413" w14:textId="77777777" w:rsidR="00E53258" w:rsidRPr="00F96844" w:rsidRDefault="00E53258" w:rsidP="00780738">
      <w:pPr>
        <w:jc w:val="both"/>
        <w:rPr>
          <w:rFonts w:cs="Arial"/>
          <w:iCs/>
          <w:sz w:val="24"/>
          <w:szCs w:val="24"/>
          <w:lang w:val="sr-Latn-ME"/>
        </w:rPr>
      </w:pPr>
    </w:p>
    <w:p w14:paraId="0914D4E1" w14:textId="77777777" w:rsidR="00E53258" w:rsidRPr="00F96844" w:rsidRDefault="008B2F62" w:rsidP="00780738">
      <w:pPr>
        <w:jc w:val="both"/>
        <w:rPr>
          <w:rFonts w:cs="Arial"/>
          <w:iCs/>
          <w:sz w:val="24"/>
          <w:szCs w:val="24"/>
          <w:lang w:val="sr-Latn-ME"/>
        </w:rPr>
      </w:pPr>
      <w:r w:rsidRPr="00F96844">
        <w:rPr>
          <w:rFonts w:cs="Arial"/>
          <w:iCs/>
          <w:sz w:val="24"/>
          <w:szCs w:val="24"/>
          <w:lang w:val="sr-Latn-ME"/>
        </w:rPr>
        <w:t>Za pružanje usluga terapije licencirana su 3 pružaoca usluga u tri opštine.</w:t>
      </w:r>
    </w:p>
    <w:p w14:paraId="7F376326" w14:textId="77777777" w:rsidR="008B2F62" w:rsidRPr="00F96844" w:rsidRDefault="008B2F62" w:rsidP="00780738">
      <w:pPr>
        <w:jc w:val="both"/>
        <w:rPr>
          <w:rFonts w:cs="Arial"/>
          <w:iCs/>
          <w:sz w:val="24"/>
          <w:szCs w:val="24"/>
          <w:lang w:val="sr-Latn-ME"/>
        </w:rPr>
      </w:pPr>
      <w:r w:rsidRPr="00F96844">
        <w:rPr>
          <w:rFonts w:cs="Arial"/>
          <w:iCs/>
          <w:sz w:val="24"/>
          <w:szCs w:val="24"/>
          <w:lang w:val="sr-Latn-ME"/>
        </w:rPr>
        <w:t xml:space="preserve"> </w:t>
      </w:r>
    </w:p>
    <w:p w14:paraId="0AE3977A" w14:textId="6D7FEFB8" w:rsidR="008B2F62" w:rsidRDefault="008B2F62" w:rsidP="00780738">
      <w:pPr>
        <w:jc w:val="both"/>
        <w:rPr>
          <w:rFonts w:cs="Arial"/>
          <w:bCs/>
          <w:iCs/>
          <w:color w:val="000000" w:themeColor="text1"/>
          <w:sz w:val="24"/>
          <w:szCs w:val="24"/>
          <w:lang w:val="sr-Latn-ME"/>
        </w:rPr>
      </w:pPr>
      <w:r w:rsidRPr="00F96844">
        <w:rPr>
          <w:rFonts w:cs="Arial"/>
          <w:iCs/>
          <w:sz w:val="24"/>
          <w:szCs w:val="24"/>
          <w:lang w:val="sr-Latn-ME"/>
        </w:rPr>
        <w:t xml:space="preserve">Za uslugu SOS telefon licencirano je 5 pružalaca usluge u tri opštine. </w:t>
      </w:r>
      <w:r w:rsidRPr="00F96844">
        <w:rPr>
          <w:rFonts w:cs="Arial"/>
          <w:bCs/>
          <w:iCs/>
          <w:sz w:val="24"/>
          <w:szCs w:val="24"/>
          <w:lang w:val="sr-Latn-ME"/>
        </w:rPr>
        <w:t xml:space="preserve">JU Dječji dom </w:t>
      </w:r>
      <w:r w:rsidR="003031E7">
        <w:rPr>
          <w:rFonts w:cs="Arial"/>
          <w:bCs/>
          <w:iCs/>
          <w:sz w:val="24"/>
          <w:szCs w:val="24"/>
          <w:lang w:val="sr-Cyrl-ME"/>
        </w:rPr>
        <w:t>„</w:t>
      </w:r>
      <w:r w:rsidRPr="00F96844">
        <w:rPr>
          <w:rFonts w:cs="Arial"/>
          <w:bCs/>
          <w:iCs/>
          <w:sz w:val="24"/>
          <w:szCs w:val="24"/>
          <w:lang w:val="sr-Latn-ME"/>
        </w:rPr>
        <w:t>Mladost”</w:t>
      </w:r>
      <w:r w:rsidR="003031E7">
        <w:rPr>
          <w:rFonts w:cs="Arial"/>
          <w:bCs/>
          <w:iCs/>
          <w:sz w:val="24"/>
          <w:szCs w:val="24"/>
          <w:lang w:val="sr-Cyrl-ME"/>
        </w:rPr>
        <w:t xml:space="preserve"> </w:t>
      </w:r>
      <w:r w:rsidR="003031E7">
        <w:rPr>
          <w:rFonts w:cs="Arial"/>
          <w:bCs/>
          <w:iCs/>
          <w:sz w:val="24"/>
          <w:szCs w:val="24"/>
          <w:lang w:val="hr-HR"/>
        </w:rPr>
        <w:t>‒</w:t>
      </w:r>
      <w:r w:rsidRPr="00F96844">
        <w:rPr>
          <w:rFonts w:cs="Arial"/>
          <w:bCs/>
          <w:iCs/>
          <w:sz w:val="24"/>
          <w:szCs w:val="24"/>
          <w:lang w:val="sr-Latn-ME"/>
        </w:rPr>
        <w:t xml:space="preserve"> Bijela je licenciran za pružanje SOS telefona </w:t>
      </w:r>
      <w:r w:rsidR="003031E7">
        <w:rPr>
          <w:rFonts w:cs="Arial"/>
          <w:bCs/>
          <w:iCs/>
          <w:sz w:val="24"/>
          <w:szCs w:val="24"/>
          <w:lang w:val="sr-Latn-ME"/>
        </w:rPr>
        <w:t>‒</w:t>
      </w:r>
      <w:r w:rsidRPr="00F96844">
        <w:rPr>
          <w:rFonts w:cs="Arial"/>
          <w:bCs/>
          <w:iCs/>
          <w:sz w:val="24"/>
          <w:szCs w:val="24"/>
          <w:lang w:val="sr-Latn-ME"/>
        </w:rPr>
        <w:t xml:space="preserve"> Nacionalna dječja telefonska linija. Usluga koju pruža </w:t>
      </w:r>
      <w:r w:rsidR="003031E7">
        <w:rPr>
          <w:rFonts w:cs="Arial"/>
          <w:bCs/>
          <w:iCs/>
          <w:sz w:val="24"/>
          <w:szCs w:val="24"/>
          <w:lang w:val="sr-Latn-ME"/>
        </w:rPr>
        <w:t>N</w:t>
      </w:r>
      <w:r w:rsidRPr="00F96844">
        <w:rPr>
          <w:rFonts w:cs="Arial"/>
          <w:bCs/>
          <w:iCs/>
          <w:sz w:val="24"/>
          <w:szCs w:val="24"/>
          <w:lang w:val="sr-Latn-ME"/>
        </w:rPr>
        <w:t>acionalna d</w:t>
      </w:r>
      <w:r w:rsidR="00EB2F1D">
        <w:rPr>
          <w:rFonts w:cs="Arial"/>
          <w:bCs/>
          <w:iCs/>
          <w:sz w:val="24"/>
          <w:szCs w:val="24"/>
          <w:lang w:val="sr-Latn-ME"/>
        </w:rPr>
        <w:t>ječj</w:t>
      </w:r>
      <w:r w:rsidRPr="00F96844">
        <w:rPr>
          <w:rFonts w:cs="Arial"/>
          <w:bCs/>
          <w:iCs/>
          <w:sz w:val="24"/>
          <w:szCs w:val="24"/>
          <w:lang w:val="sr-Latn-ME"/>
        </w:rPr>
        <w:t>a telefonska linija jeste telefonsko savjetovanje koje omogućava implementaciju d</w:t>
      </w:r>
      <w:r w:rsidR="00EB2F1D">
        <w:rPr>
          <w:rFonts w:cs="Arial"/>
          <w:bCs/>
          <w:iCs/>
          <w:sz w:val="24"/>
          <w:szCs w:val="24"/>
          <w:lang w:val="sr-Latn-ME"/>
        </w:rPr>
        <w:t>ječj</w:t>
      </w:r>
      <w:r w:rsidRPr="00F96844">
        <w:rPr>
          <w:rFonts w:cs="Arial"/>
          <w:bCs/>
          <w:iCs/>
          <w:sz w:val="24"/>
          <w:szCs w:val="24"/>
          <w:lang w:val="sr-Latn-ME"/>
        </w:rPr>
        <w:t>ih prava,</w:t>
      </w:r>
      <w:r w:rsidR="004C5D23">
        <w:rPr>
          <w:rFonts w:cs="Arial"/>
          <w:bCs/>
          <w:iCs/>
          <w:sz w:val="24"/>
          <w:szCs w:val="24"/>
          <w:lang w:val="sr-Latn-ME"/>
        </w:rPr>
        <w:t xml:space="preserve"> s c</w:t>
      </w:r>
      <w:r w:rsidRPr="00F96844">
        <w:rPr>
          <w:rFonts w:cs="Arial"/>
          <w:bCs/>
          <w:iCs/>
          <w:sz w:val="24"/>
          <w:szCs w:val="24"/>
          <w:lang w:val="sr-Latn-ME"/>
        </w:rPr>
        <w:t xml:space="preserve">iljem savjetovanja, informisanja i edukacije djece o raznim pitanjima, kao i prevencije svih vrsta nasilja i osnaživanje djece i mladih da razgovaraju o temama zbog kojih su zabrinuti. Ukupan broj poziva u 2023. godini bio je 636. Preko SOS linije za roditelje i staratelje </w:t>
      </w:r>
      <w:r w:rsidR="009000A1">
        <w:rPr>
          <w:rFonts w:cs="Arial"/>
          <w:bCs/>
          <w:iCs/>
          <w:sz w:val="24"/>
          <w:szCs w:val="24"/>
          <w:lang w:val="sr-Latn-ME"/>
        </w:rPr>
        <w:t>za koju je licencirano NVO</w:t>
      </w:r>
      <w:r w:rsidRPr="00F96844">
        <w:rPr>
          <w:rFonts w:cs="Arial"/>
          <w:bCs/>
          <w:iCs/>
          <w:sz w:val="24"/>
          <w:szCs w:val="24"/>
          <w:lang w:val="sr-Latn-ME"/>
        </w:rPr>
        <w:t xml:space="preserve"> </w:t>
      </w:r>
      <w:r w:rsidR="009000A1">
        <w:rPr>
          <w:rFonts w:cs="Arial"/>
          <w:bCs/>
          <w:iCs/>
          <w:sz w:val="24"/>
          <w:szCs w:val="24"/>
          <w:lang w:val="sr-Latn-ME"/>
        </w:rPr>
        <w:t>U</w:t>
      </w:r>
      <w:r w:rsidRPr="00F96844">
        <w:rPr>
          <w:rFonts w:cs="Arial"/>
          <w:bCs/>
          <w:iCs/>
          <w:sz w:val="24"/>
          <w:szCs w:val="24"/>
          <w:lang w:val="sr-Latn-ME"/>
        </w:rPr>
        <w:t xml:space="preserve">druženje </w:t>
      </w:r>
      <w:r w:rsidRPr="00C44B1D">
        <w:rPr>
          <w:rFonts w:cs="Arial"/>
          <w:bCs/>
          <w:i/>
          <w:sz w:val="24"/>
          <w:szCs w:val="24"/>
          <w:lang w:val="sr-Latn-ME"/>
        </w:rPr>
        <w:t>Roditelji</w:t>
      </w:r>
      <w:r w:rsidRPr="00F96844">
        <w:rPr>
          <w:rFonts w:cs="Arial"/>
          <w:bCs/>
          <w:iCs/>
          <w:sz w:val="24"/>
          <w:szCs w:val="24"/>
          <w:lang w:val="sr-Latn-ME"/>
        </w:rPr>
        <w:t>, pružaju se savjeti o vaspitanju, o odnosima s djecom i unutar porodice</w:t>
      </w:r>
      <w:r w:rsidRPr="005B7D8D">
        <w:rPr>
          <w:rFonts w:cs="Arial"/>
          <w:bCs/>
          <w:iCs/>
          <w:sz w:val="24"/>
          <w:szCs w:val="24"/>
          <w:lang w:val="sr-Latn-ME"/>
        </w:rPr>
        <w:t xml:space="preserve">. </w:t>
      </w:r>
      <w:r w:rsidRPr="005B7D8D">
        <w:rPr>
          <w:rFonts w:cs="Arial"/>
          <w:bCs/>
          <w:iCs/>
          <w:color w:val="000000" w:themeColor="text1"/>
          <w:sz w:val="24"/>
          <w:szCs w:val="24"/>
          <w:lang w:val="sr-Latn-ME"/>
        </w:rPr>
        <w:t>M</w:t>
      </w:r>
      <w:r w:rsidR="005B7D8D">
        <w:rPr>
          <w:rFonts w:cs="Arial"/>
          <w:bCs/>
          <w:iCs/>
          <w:color w:val="000000" w:themeColor="text1"/>
          <w:sz w:val="24"/>
          <w:szCs w:val="24"/>
          <w:lang w:val="sr-Latn-ME"/>
        </w:rPr>
        <w:t>RSS</w:t>
      </w:r>
      <w:r w:rsidRPr="00F96844">
        <w:rPr>
          <w:rFonts w:cs="Arial"/>
          <w:bCs/>
          <w:iCs/>
          <w:color w:val="000000" w:themeColor="text1"/>
          <w:sz w:val="24"/>
          <w:szCs w:val="24"/>
          <w:lang w:val="sr-Latn-ME"/>
        </w:rPr>
        <w:t xml:space="preserve"> je 2023. </w:t>
      </w:r>
      <w:r w:rsidR="005F1519" w:rsidRPr="00F96844">
        <w:rPr>
          <w:rFonts w:cs="Arial"/>
          <w:bCs/>
          <w:iCs/>
          <w:color w:val="000000" w:themeColor="text1"/>
          <w:sz w:val="24"/>
          <w:szCs w:val="24"/>
          <w:lang w:val="sr-Latn-ME"/>
        </w:rPr>
        <w:t>g</w:t>
      </w:r>
      <w:r w:rsidRPr="00F96844">
        <w:rPr>
          <w:rFonts w:cs="Arial"/>
          <w:bCs/>
          <w:iCs/>
          <w:color w:val="000000" w:themeColor="text1"/>
          <w:sz w:val="24"/>
          <w:szCs w:val="24"/>
          <w:lang w:val="sr-Latn-ME"/>
        </w:rPr>
        <w:t>odine</w:t>
      </w:r>
      <w:r w:rsidR="005F1519" w:rsidRPr="00F96844">
        <w:rPr>
          <w:rFonts w:cs="Arial"/>
          <w:bCs/>
          <w:iCs/>
          <w:color w:val="000000" w:themeColor="text1"/>
          <w:sz w:val="24"/>
          <w:szCs w:val="24"/>
          <w:lang w:val="sr-Latn-ME"/>
        </w:rPr>
        <w:t xml:space="preserve"> finansiralo uslugu SOS</w:t>
      </w:r>
      <w:r w:rsidR="003031E7">
        <w:rPr>
          <w:rFonts w:cs="Arial"/>
          <w:bCs/>
          <w:iCs/>
          <w:color w:val="000000" w:themeColor="text1"/>
          <w:sz w:val="24"/>
          <w:szCs w:val="24"/>
          <w:lang w:val="sr-Latn-ME"/>
        </w:rPr>
        <w:t xml:space="preserve"> ‒</w:t>
      </w:r>
      <w:r w:rsidR="00E57B49">
        <w:rPr>
          <w:rFonts w:cs="Arial"/>
          <w:bCs/>
          <w:iCs/>
          <w:color w:val="000000" w:themeColor="text1"/>
          <w:sz w:val="24"/>
          <w:szCs w:val="24"/>
          <w:lang w:val="sr-Latn-ME"/>
        </w:rPr>
        <w:t xml:space="preserve"> </w:t>
      </w:r>
      <w:r w:rsidR="00E57B49" w:rsidRPr="00F96844">
        <w:rPr>
          <w:rFonts w:cs="Arial"/>
          <w:bCs/>
          <w:iCs/>
          <w:sz w:val="24"/>
          <w:szCs w:val="24"/>
          <w:lang w:val="sr-Latn-ME"/>
        </w:rPr>
        <w:t>Nacionalna dječja telefonska linija</w:t>
      </w:r>
      <w:r w:rsidR="005F1519" w:rsidRPr="00F96844">
        <w:rPr>
          <w:rFonts w:cs="Arial"/>
          <w:bCs/>
          <w:iCs/>
          <w:color w:val="000000" w:themeColor="text1"/>
          <w:sz w:val="24"/>
          <w:szCs w:val="24"/>
          <w:lang w:val="sr-Latn-ME"/>
        </w:rPr>
        <w:t xml:space="preserve"> u iznosu od  75. 000,00</w:t>
      </w:r>
      <w:r w:rsidRPr="00F96844">
        <w:rPr>
          <w:rFonts w:cs="Arial"/>
          <w:bCs/>
          <w:iCs/>
          <w:color w:val="000000" w:themeColor="text1"/>
          <w:sz w:val="24"/>
          <w:szCs w:val="24"/>
          <w:lang w:val="sr-Latn-ME"/>
        </w:rPr>
        <w:t xml:space="preserve"> </w:t>
      </w:r>
      <w:r w:rsidR="005F1519" w:rsidRPr="00F96844">
        <w:rPr>
          <w:rFonts w:cs="Arial"/>
          <w:bCs/>
          <w:iCs/>
          <w:color w:val="000000" w:themeColor="text1"/>
          <w:sz w:val="24"/>
          <w:szCs w:val="24"/>
          <w:lang w:val="sr-Latn-ME"/>
        </w:rPr>
        <w:t>e</w:t>
      </w:r>
      <w:r w:rsidRPr="00F96844">
        <w:rPr>
          <w:rFonts w:cs="Arial"/>
          <w:bCs/>
          <w:iCs/>
          <w:color w:val="000000" w:themeColor="text1"/>
          <w:sz w:val="24"/>
          <w:szCs w:val="24"/>
          <w:lang w:val="sr-Latn-ME"/>
        </w:rPr>
        <w:t>ura</w:t>
      </w:r>
      <w:r w:rsidR="005F1519" w:rsidRPr="00F96844">
        <w:rPr>
          <w:rFonts w:cs="Arial"/>
          <w:bCs/>
          <w:iCs/>
          <w:color w:val="000000" w:themeColor="text1"/>
          <w:sz w:val="24"/>
          <w:szCs w:val="24"/>
          <w:lang w:val="sr-Latn-ME"/>
        </w:rPr>
        <w:t>.</w:t>
      </w:r>
      <w:r w:rsidRPr="00F96844">
        <w:rPr>
          <w:rFonts w:cs="Arial"/>
          <w:bCs/>
          <w:iCs/>
          <w:color w:val="000000" w:themeColor="text1"/>
          <w:sz w:val="24"/>
          <w:szCs w:val="24"/>
          <w:lang w:val="sr-Latn-ME"/>
        </w:rPr>
        <w:t xml:space="preserve"> </w:t>
      </w:r>
    </w:p>
    <w:p w14:paraId="5836E1BC" w14:textId="77777777" w:rsidR="00E57B49" w:rsidRPr="00F96844" w:rsidRDefault="00E57B49" w:rsidP="00780738">
      <w:pPr>
        <w:jc w:val="both"/>
        <w:rPr>
          <w:rFonts w:cs="Arial"/>
          <w:bCs/>
          <w:iCs/>
          <w:color w:val="000000" w:themeColor="text1"/>
          <w:sz w:val="24"/>
          <w:szCs w:val="24"/>
          <w:lang w:val="sr-Latn-ME"/>
        </w:rPr>
      </w:pPr>
    </w:p>
    <w:p w14:paraId="4C7ECEE6" w14:textId="77777777" w:rsidR="00DA3F76" w:rsidRDefault="00B23CC1" w:rsidP="00780738">
      <w:pPr>
        <w:jc w:val="both"/>
        <w:rPr>
          <w:rFonts w:cs="Arial"/>
          <w:bCs/>
          <w:i/>
          <w:sz w:val="24"/>
          <w:szCs w:val="24"/>
          <w:lang w:val="sr-Latn-ME"/>
        </w:rPr>
      </w:pPr>
      <w:r>
        <w:rPr>
          <w:rFonts w:cs="Arial"/>
          <w:b/>
          <w:i/>
          <w:sz w:val="24"/>
          <w:szCs w:val="24"/>
          <w:lang w:val="sr-Latn-ME"/>
        </w:rPr>
        <w:t>Ključni</w:t>
      </w:r>
      <w:r w:rsidR="008B2F62" w:rsidRPr="00F96844">
        <w:rPr>
          <w:rFonts w:cs="Arial"/>
          <w:b/>
          <w:i/>
          <w:sz w:val="24"/>
          <w:szCs w:val="24"/>
          <w:lang w:val="sr-Latn-ME"/>
        </w:rPr>
        <w:t xml:space="preserve"> problemi u vezi</w:t>
      </w:r>
      <w:r w:rsidR="004C5D23">
        <w:rPr>
          <w:rFonts w:cs="Arial"/>
          <w:b/>
          <w:i/>
          <w:sz w:val="24"/>
          <w:szCs w:val="24"/>
          <w:lang w:val="sr-Latn-ME"/>
        </w:rPr>
        <w:t xml:space="preserve"> s p</w:t>
      </w:r>
      <w:r w:rsidR="008B2F62" w:rsidRPr="00F96844">
        <w:rPr>
          <w:rFonts w:cs="Arial"/>
          <w:b/>
          <w:i/>
          <w:sz w:val="24"/>
          <w:szCs w:val="24"/>
          <w:lang w:val="sr-Latn-ME"/>
        </w:rPr>
        <w:t xml:space="preserve">ružanjem </w:t>
      </w:r>
      <w:r w:rsidR="003031E7">
        <w:rPr>
          <w:rFonts w:cs="Arial"/>
          <w:b/>
          <w:i/>
          <w:iCs/>
          <w:sz w:val="24"/>
          <w:szCs w:val="24"/>
          <w:lang w:val="sr-Latn-ME"/>
        </w:rPr>
        <w:t>s</w:t>
      </w:r>
      <w:r w:rsidR="008B2F62" w:rsidRPr="00F96844">
        <w:rPr>
          <w:rFonts w:cs="Arial"/>
          <w:b/>
          <w:i/>
          <w:iCs/>
          <w:sz w:val="24"/>
          <w:szCs w:val="24"/>
          <w:lang w:val="sr-Latn-ME"/>
        </w:rPr>
        <w:t xml:space="preserve">avjetodavno-terapijskih i socijalno-edukativnih usluga </w:t>
      </w:r>
      <w:r w:rsidR="008B2F62" w:rsidRPr="00F96844">
        <w:rPr>
          <w:rFonts w:cs="Arial"/>
          <w:b/>
          <w:i/>
          <w:sz w:val="24"/>
          <w:szCs w:val="24"/>
          <w:lang w:val="sr-Latn-ME"/>
        </w:rPr>
        <w:t>su</w:t>
      </w:r>
      <w:r w:rsidR="008B2F62" w:rsidRPr="00F96844">
        <w:rPr>
          <w:rFonts w:cs="Arial"/>
          <w:bCs/>
          <w:i/>
          <w:sz w:val="24"/>
          <w:szCs w:val="24"/>
          <w:lang w:val="sr-Latn-ME"/>
        </w:rPr>
        <w:t xml:space="preserve">: </w:t>
      </w:r>
    </w:p>
    <w:p w14:paraId="37D43315" w14:textId="77777777" w:rsidR="008B2F62" w:rsidRPr="00DA3F76" w:rsidRDefault="00DA3F76" w:rsidP="00780738">
      <w:pPr>
        <w:jc w:val="both"/>
        <w:rPr>
          <w:rFonts w:cs="Arial"/>
          <w:bCs/>
          <w:i/>
          <w:sz w:val="24"/>
          <w:szCs w:val="24"/>
          <w:lang w:val="sr-Latn-ME"/>
        </w:rPr>
      </w:pPr>
      <w:r>
        <w:rPr>
          <w:rFonts w:cs="Arial"/>
          <w:iCs/>
          <w:sz w:val="24"/>
          <w:szCs w:val="24"/>
          <w:lang w:val="sr-Latn-ME"/>
        </w:rPr>
        <w:t>N</w:t>
      </w:r>
      <w:r w:rsidRPr="008B4368">
        <w:rPr>
          <w:rFonts w:cs="Arial"/>
          <w:iCs/>
          <w:sz w:val="24"/>
          <w:szCs w:val="24"/>
          <w:lang w:val="sr-Latn-ME"/>
        </w:rPr>
        <w:t xml:space="preserve">edovoljan obuhvat ili dostupnost usluga kako bi se zadovoljile potrebe </w:t>
      </w:r>
      <w:r w:rsidR="00EB2F1D">
        <w:rPr>
          <w:rFonts w:cs="Arial"/>
          <w:iCs/>
          <w:sz w:val="24"/>
          <w:szCs w:val="24"/>
          <w:lang w:val="sr-Latn-ME"/>
        </w:rPr>
        <w:t>korisnika/korisnica</w:t>
      </w:r>
      <w:r w:rsidRPr="008B4368">
        <w:rPr>
          <w:rFonts w:cs="Arial"/>
          <w:iCs/>
          <w:sz w:val="24"/>
          <w:szCs w:val="24"/>
          <w:lang w:val="sr-Latn-ME"/>
        </w:rPr>
        <w:t>, licencirane usluge nisu ravnomjerno razvijene na lokalnom nivou, nije definisan minimalni paket usluga u skladu</w:t>
      </w:r>
      <w:r w:rsidR="004C5D23">
        <w:rPr>
          <w:rFonts w:cs="Arial"/>
          <w:iCs/>
          <w:sz w:val="24"/>
          <w:szCs w:val="24"/>
          <w:lang w:val="sr-Latn-ME"/>
        </w:rPr>
        <w:t xml:space="preserve"> s p</w:t>
      </w:r>
      <w:r w:rsidRPr="008B4368">
        <w:rPr>
          <w:rFonts w:cs="Arial"/>
          <w:iCs/>
          <w:sz w:val="24"/>
          <w:szCs w:val="24"/>
          <w:lang w:val="sr-Latn-ME"/>
        </w:rPr>
        <w:t>otrebama u lokalnim zajednicama, za neke usluge nije određen</w:t>
      </w:r>
      <w:r w:rsidR="003031E7">
        <w:rPr>
          <w:rFonts w:cs="Arial"/>
          <w:iCs/>
          <w:sz w:val="24"/>
          <w:szCs w:val="24"/>
          <w:lang w:val="sr-Latn-ME"/>
        </w:rPr>
        <w:t>a</w:t>
      </w:r>
      <w:r w:rsidRPr="008B4368">
        <w:rPr>
          <w:rFonts w:cs="Arial"/>
          <w:iCs/>
          <w:sz w:val="24"/>
          <w:szCs w:val="24"/>
          <w:lang w:val="sr-Latn-ME"/>
        </w:rPr>
        <w:t xml:space="preserve"> cijena, za neke usluge je cijena neadekvatna, nije dobro definisana skala učešća </w:t>
      </w:r>
      <w:r w:rsidR="00EB2F1D">
        <w:rPr>
          <w:rFonts w:cs="Arial"/>
          <w:iCs/>
          <w:sz w:val="24"/>
          <w:szCs w:val="24"/>
          <w:lang w:val="sr-Latn-ME"/>
        </w:rPr>
        <w:t>korisnika/korisnica</w:t>
      </w:r>
      <w:r w:rsidRPr="008B4368">
        <w:rPr>
          <w:rFonts w:cs="Arial"/>
          <w:iCs/>
          <w:sz w:val="24"/>
          <w:szCs w:val="24"/>
          <w:lang w:val="sr-Latn-ME"/>
        </w:rPr>
        <w:t xml:space="preserve"> u troškovima usluga, standardi i normativi pojedinih usluga nijesu dovoljno jasno definisani</w:t>
      </w:r>
      <w:r w:rsidR="0045527C">
        <w:rPr>
          <w:rFonts w:cs="Arial"/>
          <w:iCs/>
          <w:sz w:val="24"/>
          <w:szCs w:val="24"/>
          <w:lang w:val="sr-Latn-ME"/>
        </w:rPr>
        <w:t>,</w:t>
      </w:r>
      <w:r w:rsidRPr="008B4368">
        <w:rPr>
          <w:rFonts w:cs="Arial"/>
          <w:iCs/>
          <w:sz w:val="24"/>
          <w:szCs w:val="24"/>
          <w:lang w:val="sr-Latn-ME"/>
        </w:rPr>
        <w:t xml:space="preserve"> a za neke usluge ne postoje, nema obavezne edukacije iz određenih oblasti za stručne s</w:t>
      </w:r>
      <w:r w:rsidR="00C178B6">
        <w:rPr>
          <w:rFonts w:cs="Arial"/>
          <w:iCs/>
          <w:sz w:val="24"/>
          <w:szCs w:val="24"/>
          <w:lang w:val="sr-Latn-ME"/>
        </w:rPr>
        <w:t>aradnike/saradnice</w:t>
      </w:r>
      <w:r w:rsidRPr="008B4368">
        <w:rPr>
          <w:rFonts w:cs="Arial"/>
          <w:iCs/>
          <w:sz w:val="24"/>
          <w:szCs w:val="24"/>
          <w:lang w:val="sr-Latn-ME"/>
        </w:rPr>
        <w:t xml:space="preserve"> i s</w:t>
      </w:r>
      <w:r w:rsidR="00C178B6">
        <w:rPr>
          <w:rFonts w:cs="Arial"/>
          <w:iCs/>
          <w:sz w:val="24"/>
          <w:szCs w:val="24"/>
          <w:lang w:val="sr-Latn-ME"/>
        </w:rPr>
        <w:t>aradnike/saradnice</w:t>
      </w:r>
      <w:r w:rsidRPr="008B4368">
        <w:rPr>
          <w:rFonts w:cs="Arial"/>
          <w:iCs/>
          <w:sz w:val="24"/>
          <w:szCs w:val="24"/>
          <w:lang w:val="sr-Latn-ME"/>
        </w:rPr>
        <w:t>, nerazvijene preventivne usluge</w:t>
      </w:r>
      <w:r>
        <w:rPr>
          <w:rFonts w:cs="Arial"/>
          <w:iCs/>
          <w:sz w:val="24"/>
          <w:szCs w:val="24"/>
          <w:lang w:val="sr-Latn-ME"/>
        </w:rPr>
        <w:t xml:space="preserve">, </w:t>
      </w:r>
      <w:r w:rsidRPr="00DA3F76">
        <w:rPr>
          <w:rFonts w:cs="Arial"/>
          <w:iCs/>
          <w:sz w:val="24"/>
          <w:szCs w:val="24"/>
          <w:lang w:val="sr-Latn-ME"/>
        </w:rPr>
        <w:t xml:space="preserve">Postoji potreba za preispitivanjem </w:t>
      </w:r>
      <w:r w:rsidR="008B2F62" w:rsidRPr="00DA3F76">
        <w:rPr>
          <w:rFonts w:cs="Arial"/>
          <w:iCs/>
          <w:sz w:val="24"/>
          <w:szCs w:val="24"/>
          <w:lang w:val="sr-Latn-ME"/>
        </w:rPr>
        <w:t>usluge terapije</w:t>
      </w:r>
      <w:r w:rsidRPr="00DA3F76">
        <w:rPr>
          <w:rFonts w:cs="Arial"/>
          <w:iCs/>
          <w:sz w:val="24"/>
          <w:szCs w:val="24"/>
          <w:lang w:val="sr-Latn-ME"/>
        </w:rPr>
        <w:t xml:space="preserve"> u okviru sistema socijalne i dječje zaštite,</w:t>
      </w:r>
      <w:r w:rsidR="008B2F62" w:rsidRPr="00DA3F76">
        <w:rPr>
          <w:rFonts w:cs="Arial"/>
          <w:iCs/>
          <w:sz w:val="24"/>
          <w:szCs w:val="24"/>
          <w:lang w:val="sr-Latn-ME"/>
        </w:rPr>
        <w:t xml:space="preserve"> ne postoje standardi</w:t>
      </w:r>
      <w:r w:rsidRPr="00DA3F76">
        <w:rPr>
          <w:rFonts w:cs="Arial"/>
          <w:iCs/>
          <w:sz w:val="24"/>
          <w:szCs w:val="24"/>
          <w:lang w:val="sr-Latn-ME"/>
        </w:rPr>
        <w:t xml:space="preserve"> i normativi </w:t>
      </w:r>
      <w:r w:rsidR="008B2F62" w:rsidRPr="00DA3F76">
        <w:rPr>
          <w:rFonts w:cs="Arial"/>
          <w:iCs/>
          <w:sz w:val="24"/>
          <w:szCs w:val="24"/>
          <w:lang w:val="sr-Latn-ME"/>
        </w:rPr>
        <w:t xml:space="preserve"> za </w:t>
      </w:r>
      <w:r w:rsidRPr="00DA3F76">
        <w:rPr>
          <w:rFonts w:cs="Arial"/>
          <w:iCs/>
          <w:sz w:val="24"/>
          <w:szCs w:val="24"/>
          <w:lang w:val="sr-Latn-ME"/>
        </w:rPr>
        <w:t xml:space="preserve">pružanje </w:t>
      </w:r>
      <w:r w:rsidR="008B2F62" w:rsidRPr="00DA3F76">
        <w:rPr>
          <w:rFonts w:cs="Arial"/>
          <w:iCs/>
          <w:sz w:val="24"/>
          <w:szCs w:val="24"/>
          <w:lang w:val="sr-Latn-ME"/>
        </w:rPr>
        <w:t>socijalno-edukativn</w:t>
      </w:r>
      <w:r w:rsidRPr="00DA3F76">
        <w:rPr>
          <w:rFonts w:cs="Arial"/>
          <w:iCs/>
          <w:sz w:val="24"/>
          <w:szCs w:val="24"/>
          <w:lang w:val="sr-Latn-ME"/>
        </w:rPr>
        <w:t>ih</w:t>
      </w:r>
      <w:r w:rsidR="008B2F62" w:rsidRPr="00DA3F76">
        <w:rPr>
          <w:rFonts w:cs="Arial"/>
          <w:iCs/>
          <w:sz w:val="24"/>
          <w:szCs w:val="24"/>
          <w:lang w:val="sr-Latn-ME"/>
        </w:rPr>
        <w:t xml:space="preserve"> uslug</w:t>
      </w:r>
      <w:r w:rsidRPr="00DA3F76">
        <w:rPr>
          <w:rFonts w:cs="Arial"/>
          <w:iCs/>
          <w:sz w:val="24"/>
          <w:szCs w:val="24"/>
          <w:lang w:val="sr-Latn-ME"/>
        </w:rPr>
        <w:t>a</w:t>
      </w:r>
      <w:r>
        <w:rPr>
          <w:rFonts w:cs="Arial"/>
          <w:iCs/>
          <w:sz w:val="24"/>
          <w:szCs w:val="24"/>
          <w:lang w:val="sr-Latn-ME"/>
        </w:rPr>
        <w:t>.</w:t>
      </w:r>
    </w:p>
    <w:p w14:paraId="62B88B30" w14:textId="77777777" w:rsidR="008B2F62" w:rsidRPr="00F96844" w:rsidRDefault="008B2F62" w:rsidP="00780738">
      <w:pPr>
        <w:jc w:val="both"/>
        <w:rPr>
          <w:rFonts w:cs="Arial"/>
          <w:b/>
          <w:iCs/>
          <w:sz w:val="24"/>
          <w:szCs w:val="24"/>
          <w:lang w:val="sr-Latn-ME"/>
        </w:rPr>
      </w:pPr>
    </w:p>
    <w:p w14:paraId="5CC0931E" w14:textId="77777777" w:rsidR="008B2F62" w:rsidRPr="00F96844" w:rsidRDefault="008B2F62" w:rsidP="00780738">
      <w:pPr>
        <w:jc w:val="both"/>
        <w:rPr>
          <w:rFonts w:cs="Arial"/>
          <w:sz w:val="24"/>
          <w:szCs w:val="24"/>
          <w:lang w:val="sr-Latn-ME"/>
        </w:rPr>
      </w:pPr>
      <w:r w:rsidRPr="00F96844">
        <w:rPr>
          <w:rFonts w:cs="Arial"/>
          <w:b/>
          <w:iCs/>
          <w:sz w:val="24"/>
          <w:szCs w:val="24"/>
          <w:lang w:val="sr-Latn-ME"/>
        </w:rPr>
        <w:lastRenderedPageBreak/>
        <w:t xml:space="preserve">Usluga smještaja </w:t>
      </w:r>
      <w:r w:rsidRPr="00F96844">
        <w:rPr>
          <w:rFonts w:cs="Arial"/>
          <w:sz w:val="24"/>
          <w:szCs w:val="24"/>
          <w:lang w:val="sr-Latn-ME"/>
        </w:rPr>
        <w:t xml:space="preserve">je usluga koja podrazumijeva boravak </w:t>
      </w:r>
      <w:r w:rsidR="00EB2F1D">
        <w:rPr>
          <w:rFonts w:cs="Arial"/>
          <w:sz w:val="24"/>
          <w:szCs w:val="24"/>
          <w:lang w:val="sr-Latn-ME"/>
        </w:rPr>
        <w:t>korisnika/korisnica</w:t>
      </w:r>
      <w:r w:rsidRPr="00F96844">
        <w:rPr>
          <w:rFonts w:cs="Arial"/>
          <w:sz w:val="24"/>
          <w:szCs w:val="24"/>
          <w:lang w:val="sr-Latn-ME"/>
        </w:rPr>
        <w:t xml:space="preserve"> na porodičnom smještaju</w:t>
      </w:r>
      <w:r w:rsidR="003031E7">
        <w:rPr>
          <w:rFonts w:cs="Arial"/>
          <w:sz w:val="24"/>
          <w:szCs w:val="24"/>
          <w:lang w:val="sr-Latn-ME"/>
        </w:rPr>
        <w:t>‒</w:t>
      </w:r>
      <w:r w:rsidRPr="00F96844">
        <w:rPr>
          <w:rFonts w:cs="Arial"/>
          <w:sz w:val="24"/>
          <w:szCs w:val="24"/>
          <w:lang w:val="sr-Latn-ME"/>
        </w:rPr>
        <w:t xml:space="preserve">hraniteljstvu, porodičnom smještaju, u ustanovi i u prihvatilištu–skloništu. </w:t>
      </w:r>
    </w:p>
    <w:p w14:paraId="62D8C834" w14:textId="77777777" w:rsidR="00E16213" w:rsidRPr="00F96844" w:rsidRDefault="00E16213" w:rsidP="00780738">
      <w:pPr>
        <w:jc w:val="both"/>
        <w:rPr>
          <w:rFonts w:cs="Arial"/>
          <w:sz w:val="24"/>
          <w:szCs w:val="24"/>
          <w:lang w:val="sr-Latn-ME"/>
        </w:rPr>
      </w:pPr>
    </w:p>
    <w:p w14:paraId="318558B8" w14:textId="77777777" w:rsidR="00E16213" w:rsidRPr="00F96844" w:rsidRDefault="00E16213" w:rsidP="005114FD">
      <w:pPr>
        <w:jc w:val="both"/>
        <w:rPr>
          <w:rFonts w:cs="Arial"/>
          <w:sz w:val="24"/>
          <w:szCs w:val="24"/>
          <w:lang w:val="sr-Latn-ME"/>
        </w:rPr>
      </w:pPr>
    </w:p>
    <w:p w14:paraId="63A95EE9" w14:textId="77777777" w:rsidR="00E16213" w:rsidRPr="00F96844" w:rsidRDefault="00E16213" w:rsidP="005114FD">
      <w:pPr>
        <w:jc w:val="both"/>
        <w:rPr>
          <w:rFonts w:cs="Arial"/>
          <w:sz w:val="24"/>
          <w:szCs w:val="24"/>
          <w:lang w:val="sr-Latn-ME"/>
        </w:rPr>
      </w:pPr>
    </w:p>
    <w:p w14:paraId="73AB0934" w14:textId="77777777" w:rsidR="00E16213" w:rsidRPr="00F96844" w:rsidRDefault="007E2B93" w:rsidP="005114FD">
      <w:pPr>
        <w:jc w:val="both"/>
        <w:rPr>
          <w:rFonts w:cs="Arial"/>
          <w:sz w:val="24"/>
          <w:szCs w:val="24"/>
          <w:lang w:val="sr-Latn-ME"/>
        </w:rPr>
      </w:pPr>
      <w:r w:rsidRPr="00F96844">
        <w:rPr>
          <w:rFonts w:cs="Arial"/>
          <w:noProof/>
          <w:sz w:val="24"/>
          <w:szCs w:val="24"/>
          <w:lang w:val="sr-Latn-ME" w:eastAsia="sr-Latn-ME"/>
        </w:rPr>
        <w:drawing>
          <wp:inline distT="0" distB="0" distL="0" distR="0" wp14:anchorId="4587E286" wp14:editId="0909FCC2">
            <wp:extent cx="6191250" cy="3477895"/>
            <wp:effectExtent l="0" t="0" r="0" b="8255"/>
            <wp:docPr id="3" name="Picture 3" descr="cid:image001.png@01DAA5ED.70BE4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descr="cid:image001.png@01DAA5ED.70BE41C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191859" cy="3478237"/>
                    </a:xfrm>
                    <a:prstGeom prst="rect">
                      <a:avLst/>
                    </a:prstGeom>
                    <a:noFill/>
                    <a:ln>
                      <a:noFill/>
                    </a:ln>
                  </pic:spPr>
                </pic:pic>
              </a:graphicData>
            </a:graphic>
          </wp:inline>
        </w:drawing>
      </w:r>
    </w:p>
    <w:p w14:paraId="038CF3B3" w14:textId="77777777" w:rsidR="00E16213" w:rsidRPr="00F96844" w:rsidRDefault="00E16213" w:rsidP="005114FD">
      <w:pPr>
        <w:jc w:val="both"/>
        <w:rPr>
          <w:rFonts w:cs="Arial"/>
          <w:b/>
          <w:bCs/>
          <w:sz w:val="24"/>
          <w:szCs w:val="24"/>
          <w:lang w:val="sr-Latn-ME"/>
        </w:rPr>
      </w:pPr>
    </w:p>
    <w:p w14:paraId="516DCB68" w14:textId="77777777" w:rsidR="008B2F62" w:rsidRPr="00F96844" w:rsidRDefault="008B2F62" w:rsidP="00780738">
      <w:pPr>
        <w:jc w:val="both"/>
        <w:rPr>
          <w:rFonts w:cs="Arial"/>
          <w:sz w:val="24"/>
          <w:szCs w:val="24"/>
          <w:lang w:val="sr-Latn-ME"/>
        </w:rPr>
      </w:pPr>
      <w:r w:rsidRPr="00F96844">
        <w:rPr>
          <w:rFonts w:cs="Arial"/>
          <w:b/>
          <w:bCs/>
          <w:sz w:val="24"/>
          <w:szCs w:val="24"/>
          <w:lang w:val="sr-Latn-ME"/>
        </w:rPr>
        <w:t>Smještaj u ustanovu</w:t>
      </w:r>
      <w:r w:rsidRPr="00F96844">
        <w:rPr>
          <w:rFonts w:cs="Arial"/>
          <w:sz w:val="24"/>
          <w:szCs w:val="24"/>
          <w:lang w:val="sr-Latn-ME"/>
        </w:rPr>
        <w:t xml:space="preserve"> je usluga namijenjena k</w:t>
      </w:r>
      <w:r w:rsidR="00B53B8D">
        <w:rPr>
          <w:rFonts w:cs="Arial"/>
          <w:sz w:val="24"/>
          <w:szCs w:val="24"/>
          <w:lang w:val="sr-Latn-ME"/>
        </w:rPr>
        <w:t>orisnicima/korisnicama</w:t>
      </w:r>
      <w:r w:rsidRPr="00F96844">
        <w:rPr>
          <w:rFonts w:cs="Arial"/>
          <w:sz w:val="24"/>
          <w:szCs w:val="24"/>
          <w:lang w:val="sr-Latn-ME"/>
        </w:rPr>
        <w:t xml:space="preserve"> kojima podrška ne može da se obezbijedi u okviru porodice, putem hraniteljskog i porodičnog smještaja ili pružanjem drugih usluga u zajednici, ili to nije u njihovom najboljem interesu. </w:t>
      </w:r>
    </w:p>
    <w:p w14:paraId="7C212327" w14:textId="77777777" w:rsidR="00E53258" w:rsidRPr="00F96844" w:rsidRDefault="00E53258" w:rsidP="00780738">
      <w:pPr>
        <w:jc w:val="both"/>
        <w:rPr>
          <w:rFonts w:cs="Arial"/>
          <w:sz w:val="24"/>
          <w:szCs w:val="24"/>
          <w:lang w:val="sr-Latn-ME"/>
        </w:rPr>
      </w:pPr>
    </w:p>
    <w:p w14:paraId="1E4E8F39" w14:textId="77777777" w:rsidR="008B2F62" w:rsidRPr="00F96844" w:rsidRDefault="008B2F62" w:rsidP="00780738">
      <w:pPr>
        <w:jc w:val="both"/>
        <w:rPr>
          <w:rFonts w:cs="Arial"/>
          <w:sz w:val="24"/>
          <w:szCs w:val="24"/>
          <w:lang w:val="sr-Latn-ME"/>
        </w:rPr>
      </w:pPr>
      <w:r w:rsidRPr="00F96844">
        <w:rPr>
          <w:rFonts w:cs="Arial"/>
          <w:b/>
          <w:bCs/>
          <w:sz w:val="24"/>
          <w:szCs w:val="24"/>
          <w:lang w:val="sr-Latn-ME"/>
        </w:rPr>
        <w:t xml:space="preserve">Smještaj djece i mladih </w:t>
      </w:r>
      <w:r w:rsidR="003031E7">
        <w:rPr>
          <w:rFonts w:cs="Arial"/>
          <w:b/>
          <w:bCs/>
          <w:sz w:val="24"/>
          <w:szCs w:val="24"/>
          <w:lang w:val="sr-Latn-ME"/>
        </w:rPr>
        <w:t>‒</w:t>
      </w:r>
      <w:r w:rsidRPr="00F96844">
        <w:rPr>
          <w:rFonts w:cs="Arial"/>
          <w:b/>
          <w:bCs/>
          <w:sz w:val="24"/>
          <w:szCs w:val="24"/>
          <w:lang w:val="sr-Latn-ME"/>
        </w:rPr>
        <w:t xml:space="preserve"> </w:t>
      </w:r>
      <w:r w:rsidRPr="00F96844">
        <w:rPr>
          <w:rFonts w:cs="Arial"/>
          <w:sz w:val="24"/>
          <w:szCs w:val="24"/>
          <w:lang w:val="sr-Latn-ME"/>
        </w:rPr>
        <w:t xml:space="preserve">Djeci bez roditeljskog staranja i djeci čiji je razvoj ometen porodičnim prilikama, obezbjeđuje se smještaj u Dječjem domu </w:t>
      </w:r>
      <w:r w:rsidRPr="00C44B1D">
        <w:rPr>
          <w:rFonts w:cs="Arial"/>
          <w:bCs/>
          <w:iCs/>
          <w:sz w:val="24"/>
          <w:szCs w:val="24"/>
          <w:lang w:val="sr-Latn-ME"/>
        </w:rPr>
        <w:t>„</w:t>
      </w:r>
      <w:r w:rsidRPr="00F96844">
        <w:rPr>
          <w:rFonts w:cs="Arial"/>
          <w:sz w:val="24"/>
          <w:szCs w:val="24"/>
          <w:lang w:val="sr-Latn-ME"/>
        </w:rPr>
        <w:t>Mladost</w:t>
      </w:r>
      <w:r w:rsidR="003031E7" w:rsidRPr="003031E7">
        <w:rPr>
          <w:rFonts w:cs="Arial"/>
          <w:sz w:val="24"/>
          <w:szCs w:val="24"/>
          <w:lang w:val="sr-Latn-ME"/>
        </w:rPr>
        <w:t>”</w:t>
      </w:r>
      <w:r w:rsidRPr="00F96844">
        <w:rPr>
          <w:rFonts w:cs="Arial"/>
          <w:sz w:val="24"/>
          <w:szCs w:val="24"/>
          <w:lang w:val="sr-Latn-ME"/>
        </w:rPr>
        <w:t xml:space="preserve"> u Bijeloj ili usluga porodičnog smještaja</w:t>
      </w:r>
      <w:r w:rsidR="003031E7">
        <w:rPr>
          <w:rFonts w:cs="Arial"/>
          <w:sz w:val="24"/>
          <w:szCs w:val="24"/>
          <w:lang w:val="sr-Latn-ME"/>
        </w:rPr>
        <w:t>‒</w:t>
      </w:r>
      <w:r w:rsidRPr="00F96844">
        <w:rPr>
          <w:rFonts w:cs="Arial"/>
          <w:sz w:val="24"/>
          <w:szCs w:val="24"/>
          <w:lang w:val="sr-Latn-ME"/>
        </w:rPr>
        <w:t>hraniteljstva. Krajem decembra 2023. godin</w:t>
      </w:r>
      <w:r w:rsidR="00BE2171">
        <w:rPr>
          <w:rFonts w:cs="Arial"/>
          <w:sz w:val="24"/>
          <w:szCs w:val="24"/>
          <w:lang w:val="sr-Latn-ME"/>
        </w:rPr>
        <w:t>e</w:t>
      </w:r>
      <w:r w:rsidRPr="00F96844">
        <w:rPr>
          <w:rFonts w:cs="Arial"/>
          <w:sz w:val="24"/>
          <w:szCs w:val="24"/>
          <w:lang w:val="sr-Latn-ME"/>
        </w:rPr>
        <w:t xml:space="preserve">, u Dječjem domu </w:t>
      </w:r>
      <w:r w:rsidR="003031E7" w:rsidRPr="003031E7">
        <w:rPr>
          <w:rFonts w:cs="Arial"/>
          <w:sz w:val="24"/>
          <w:szCs w:val="24"/>
          <w:lang w:val="sr-Latn-ME"/>
        </w:rPr>
        <w:t>„</w:t>
      </w:r>
      <w:r w:rsidRPr="00F96844">
        <w:rPr>
          <w:rFonts w:cs="Arial"/>
          <w:sz w:val="24"/>
          <w:szCs w:val="24"/>
          <w:lang w:val="sr-Latn-ME"/>
        </w:rPr>
        <w:t>Mladost</w:t>
      </w:r>
      <w:r w:rsidR="003031E7" w:rsidRPr="003031E7">
        <w:rPr>
          <w:rFonts w:cs="Arial"/>
          <w:sz w:val="24"/>
          <w:szCs w:val="24"/>
          <w:lang w:val="sr-Latn-ME"/>
        </w:rPr>
        <w:t>”</w:t>
      </w:r>
      <w:r w:rsidRPr="00F96844">
        <w:rPr>
          <w:rFonts w:cs="Arial"/>
          <w:sz w:val="24"/>
          <w:szCs w:val="24"/>
          <w:lang w:val="sr-Latn-ME"/>
        </w:rPr>
        <w:t xml:space="preserve"> u Bijeloj, boravilo je 71 dijete (31 </w:t>
      </w:r>
      <w:r w:rsidR="00BE2171">
        <w:rPr>
          <w:rFonts w:cs="Arial"/>
          <w:sz w:val="24"/>
          <w:szCs w:val="24"/>
          <w:lang w:val="sr-Latn-ME"/>
        </w:rPr>
        <w:t>dječak</w:t>
      </w:r>
      <w:r w:rsidRPr="00F96844">
        <w:rPr>
          <w:rFonts w:cs="Arial"/>
          <w:sz w:val="24"/>
          <w:szCs w:val="24"/>
          <w:lang w:val="sr-Latn-ME"/>
        </w:rPr>
        <w:t xml:space="preserve"> i 40 </w:t>
      </w:r>
      <w:r w:rsidR="00BE2171">
        <w:rPr>
          <w:rFonts w:cs="Arial"/>
          <w:sz w:val="24"/>
          <w:szCs w:val="24"/>
          <w:lang w:val="sr-Latn-ME"/>
        </w:rPr>
        <w:t>djevojčica</w:t>
      </w:r>
      <w:r w:rsidRPr="00F96844">
        <w:rPr>
          <w:rFonts w:cs="Arial"/>
          <w:sz w:val="24"/>
          <w:szCs w:val="24"/>
          <w:lang w:val="sr-Latn-ME"/>
        </w:rPr>
        <w:t xml:space="preserve">). </w:t>
      </w:r>
    </w:p>
    <w:p w14:paraId="46D94184" w14:textId="77777777" w:rsidR="00E53258" w:rsidRPr="00F96844" w:rsidRDefault="00E53258" w:rsidP="00780738">
      <w:pPr>
        <w:jc w:val="both"/>
        <w:rPr>
          <w:rFonts w:cs="Arial"/>
          <w:sz w:val="24"/>
          <w:szCs w:val="24"/>
          <w:lang w:val="sr-Latn-ME"/>
        </w:rPr>
      </w:pPr>
    </w:p>
    <w:p w14:paraId="17B34D8E" w14:textId="77777777" w:rsidR="0097384A" w:rsidRDefault="008B2F62" w:rsidP="00780738">
      <w:pPr>
        <w:jc w:val="both"/>
        <w:rPr>
          <w:rFonts w:cs="Arial"/>
          <w:sz w:val="24"/>
          <w:szCs w:val="24"/>
          <w:lang w:val="sr-Latn-ME"/>
        </w:rPr>
      </w:pPr>
      <w:r w:rsidRPr="00F96844">
        <w:rPr>
          <w:rFonts w:cs="Arial"/>
          <w:sz w:val="24"/>
          <w:szCs w:val="24"/>
          <w:lang w:val="sr-Latn-ME"/>
        </w:rPr>
        <w:t xml:space="preserve">U segmentu zaštite djece i mladih uočljiv je trend deinstitucionalizacije, što se ogleda u značajnom smanjenju broja </w:t>
      </w:r>
      <w:r w:rsidR="00EB2F1D">
        <w:rPr>
          <w:rFonts w:cs="Arial"/>
          <w:sz w:val="24"/>
          <w:szCs w:val="24"/>
          <w:lang w:val="sr-Latn-ME"/>
        </w:rPr>
        <w:t>korisnika/korisnica</w:t>
      </w:r>
      <w:r w:rsidRPr="00F96844">
        <w:rPr>
          <w:rFonts w:cs="Arial"/>
          <w:sz w:val="24"/>
          <w:szCs w:val="24"/>
          <w:lang w:val="sr-Latn-ME"/>
        </w:rPr>
        <w:t xml:space="preserve"> u JU Dječji dom </w:t>
      </w:r>
      <w:r w:rsidR="003031E7" w:rsidRPr="003031E7">
        <w:rPr>
          <w:rFonts w:cs="Arial"/>
          <w:sz w:val="24"/>
          <w:szCs w:val="24"/>
          <w:lang w:val="sr-Latn-ME"/>
        </w:rPr>
        <w:t>„</w:t>
      </w:r>
      <w:r w:rsidRPr="00F96844">
        <w:rPr>
          <w:rFonts w:cs="Arial"/>
          <w:sz w:val="24"/>
          <w:szCs w:val="24"/>
          <w:lang w:val="sr-Latn-ME"/>
        </w:rPr>
        <w:t>Mladost” tokom po</w:t>
      </w:r>
      <w:r w:rsidR="009F661D">
        <w:rPr>
          <w:rFonts w:cs="Arial"/>
          <w:sz w:val="24"/>
          <w:szCs w:val="24"/>
          <w:lang w:val="sr-Latn-ME"/>
        </w:rPr>
        <w:t>sljed</w:t>
      </w:r>
      <w:r w:rsidRPr="00F96844">
        <w:rPr>
          <w:rFonts w:cs="Arial"/>
          <w:sz w:val="24"/>
          <w:szCs w:val="24"/>
          <w:lang w:val="sr-Latn-ME"/>
        </w:rPr>
        <w:t>nje decenije. Djeci mlađoj od 3 godine usluga smještaja u ustanovu moguća je samo u izuzetnim okolnostima</w:t>
      </w:r>
      <w:r w:rsidR="003031E7">
        <w:rPr>
          <w:rFonts w:cs="Arial"/>
          <w:sz w:val="24"/>
          <w:szCs w:val="24"/>
          <w:lang w:val="sr-Latn-ME"/>
        </w:rPr>
        <w:t>,</w:t>
      </w:r>
      <w:r w:rsidRPr="00F96844">
        <w:rPr>
          <w:rFonts w:cs="Arial"/>
          <w:sz w:val="24"/>
          <w:szCs w:val="24"/>
          <w:lang w:val="sr-Latn-ME"/>
        </w:rPr>
        <w:t xml:space="preserve"> ukoliko su iscrpljene sve druge mogućnosti. </w:t>
      </w:r>
      <w:r w:rsidR="0097384A">
        <w:rPr>
          <w:rFonts w:cs="Arial"/>
          <w:sz w:val="24"/>
          <w:szCs w:val="24"/>
          <w:lang w:val="sr-Latn-ME"/>
        </w:rPr>
        <w:t>U skladu</w:t>
      </w:r>
      <w:r w:rsidR="004C5D23">
        <w:rPr>
          <w:rFonts w:cs="Arial"/>
          <w:sz w:val="24"/>
          <w:szCs w:val="24"/>
          <w:lang w:val="sr-Latn-ME"/>
        </w:rPr>
        <w:t xml:space="preserve"> s p</w:t>
      </w:r>
      <w:r w:rsidR="0097384A">
        <w:rPr>
          <w:rFonts w:cs="Arial"/>
          <w:sz w:val="24"/>
          <w:szCs w:val="24"/>
          <w:lang w:val="sr-Latn-ME"/>
        </w:rPr>
        <w:t>lanom transformacije JU Dječji dom „Mladost</w:t>
      </w:r>
      <w:r w:rsidR="003031E7" w:rsidRPr="003031E7">
        <w:rPr>
          <w:rFonts w:cs="Arial"/>
          <w:sz w:val="24"/>
          <w:szCs w:val="24"/>
          <w:lang w:val="sr-Latn-ME"/>
        </w:rPr>
        <w:t>”</w:t>
      </w:r>
      <w:r w:rsidR="0097384A">
        <w:rPr>
          <w:rFonts w:cs="Arial"/>
          <w:sz w:val="24"/>
          <w:szCs w:val="24"/>
          <w:lang w:val="sr-Latn-ME"/>
        </w:rPr>
        <w:t xml:space="preserve"> </w:t>
      </w:r>
      <w:r w:rsidR="003031E7">
        <w:rPr>
          <w:rFonts w:cs="Arial"/>
          <w:sz w:val="24"/>
          <w:szCs w:val="24"/>
          <w:lang w:val="sr-Latn-ME"/>
        </w:rPr>
        <w:t xml:space="preserve">‒ </w:t>
      </w:r>
      <w:r w:rsidR="0097384A">
        <w:rPr>
          <w:rFonts w:cs="Arial"/>
          <w:sz w:val="24"/>
          <w:szCs w:val="24"/>
          <w:lang w:val="sr-Latn-ME"/>
        </w:rPr>
        <w:t>Bijela licenciran je i za uslug</w:t>
      </w:r>
      <w:r w:rsidR="003031E7">
        <w:rPr>
          <w:rFonts w:cs="Arial"/>
          <w:sz w:val="24"/>
          <w:szCs w:val="24"/>
          <w:lang w:val="sr-Latn-ME"/>
        </w:rPr>
        <w:t>u d</w:t>
      </w:r>
      <w:r w:rsidR="0097384A">
        <w:rPr>
          <w:rFonts w:cs="Arial"/>
          <w:sz w:val="24"/>
          <w:szCs w:val="24"/>
          <w:lang w:val="sr-Latn-ME"/>
        </w:rPr>
        <w:t>nevn</w:t>
      </w:r>
      <w:r w:rsidR="003031E7">
        <w:rPr>
          <w:rFonts w:cs="Arial"/>
          <w:sz w:val="24"/>
          <w:szCs w:val="24"/>
          <w:lang w:val="sr-Latn-ME"/>
        </w:rPr>
        <w:t>og</w:t>
      </w:r>
      <w:r w:rsidR="0097384A">
        <w:rPr>
          <w:rFonts w:cs="Arial"/>
          <w:sz w:val="24"/>
          <w:szCs w:val="24"/>
          <w:lang w:val="sr-Latn-ME"/>
        </w:rPr>
        <w:t xml:space="preserve"> boravk</w:t>
      </w:r>
      <w:r w:rsidR="003031E7">
        <w:rPr>
          <w:rFonts w:cs="Arial"/>
          <w:sz w:val="24"/>
          <w:szCs w:val="24"/>
          <w:lang w:val="sr-Latn-ME"/>
        </w:rPr>
        <w:t>a</w:t>
      </w:r>
      <w:r w:rsidR="0097384A">
        <w:rPr>
          <w:rFonts w:cs="Arial"/>
          <w:sz w:val="24"/>
          <w:szCs w:val="24"/>
          <w:lang w:val="sr-Latn-ME"/>
        </w:rPr>
        <w:t xml:space="preserve"> za djecu sa smetnjama i teškoćama u razvoju, za uslugu prihvatilišt</w:t>
      </w:r>
      <w:r w:rsidR="003031E7">
        <w:rPr>
          <w:rFonts w:cs="Arial"/>
          <w:sz w:val="24"/>
          <w:szCs w:val="24"/>
          <w:lang w:val="sr-Latn-ME"/>
        </w:rPr>
        <w:t>a</w:t>
      </w:r>
      <w:r w:rsidR="0097384A">
        <w:rPr>
          <w:rFonts w:cs="Arial"/>
          <w:sz w:val="24"/>
          <w:szCs w:val="24"/>
          <w:lang w:val="sr-Latn-ME"/>
        </w:rPr>
        <w:t>/skloništ</w:t>
      </w:r>
      <w:r w:rsidR="003031E7">
        <w:rPr>
          <w:rFonts w:cs="Arial"/>
          <w:sz w:val="24"/>
          <w:szCs w:val="24"/>
          <w:lang w:val="sr-Latn-ME"/>
        </w:rPr>
        <w:t>a</w:t>
      </w:r>
      <w:r w:rsidR="0097384A">
        <w:rPr>
          <w:rFonts w:cs="Arial"/>
          <w:sz w:val="24"/>
          <w:szCs w:val="24"/>
          <w:lang w:val="sr-Latn-ME"/>
        </w:rPr>
        <w:t xml:space="preserve"> za djecu žrtve nasilja u porodici, za uslugu savjetovanja i uslugu SOS telefona. Takođe </w:t>
      </w:r>
      <w:r w:rsidR="006915C6">
        <w:rPr>
          <w:rFonts w:cs="Arial"/>
          <w:sz w:val="24"/>
          <w:szCs w:val="24"/>
          <w:lang w:val="sr-Latn-ME"/>
        </w:rPr>
        <w:t>j</w:t>
      </w:r>
      <w:r w:rsidR="0097384A">
        <w:rPr>
          <w:rFonts w:cs="Arial"/>
          <w:sz w:val="24"/>
          <w:szCs w:val="24"/>
          <w:lang w:val="sr-Latn-ME"/>
        </w:rPr>
        <w:t xml:space="preserve">e u okviru ustanove </w:t>
      </w:r>
      <w:r w:rsidR="0097384A" w:rsidRPr="00F96844">
        <w:rPr>
          <w:rFonts w:cs="Arial"/>
          <w:sz w:val="24"/>
          <w:szCs w:val="24"/>
          <w:lang w:val="sr-Latn-ME"/>
        </w:rPr>
        <w:t xml:space="preserve">osnovana i </w:t>
      </w:r>
      <w:r w:rsidR="0097384A" w:rsidRPr="000C7E8A">
        <w:rPr>
          <w:rFonts w:cs="Arial"/>
          <w:bCs/>
          <w:sz w:val="24"/>
          <w:szCs w:val="24"/>
          <w:lang w:val="sr-Latn-ME"/>
        </w:rPr>
        <w:t>mala grupna zajednica u Bijelom Polju</w:t>
      </w:r>
      <w:r w:rsidR="0097384A" w:rsidRPr="00F96844">
        <w:rPr>
          <w:rFonts w:cs="Arial"/>
          <w:sz w:val="24"/>
          <w:szCs w:val="24"/>
          <w:lang w:val="sr-Latn-ME"/>
        </w:rPr>
        <w:t>, u kojoj je u 2023.</w:t>
      </w:r>
      <w:r w:rsidR="0085567A">
        <w:rPr>
          <w:rFonts w:cs="Arial"/>
          <w:sz w:val="24"/>
          <w:szCs w:val="24"/>
          <w:lang w:val="sr-Latn-ME"/>
        </w:rPr>
        <w:t xml:space="preserve"> </w:t>
      </w:r>
      <w:r w:rsidR="0097384A" w:rsidRPr="00F96844">
        <w:rPr>
          <w:rFonts w:cs="Arial"/>
          <w:sz w:val="24"/>
          <w:szCs w:val="24"/>
          <w:lang w:val="sr-Latn-ME"/>
        </w:rPr>
        <w:t>godine bilo smješteno osmoro djece.</w:t>
      </w:r>
      <w:r w:rsidR="0097384A">
        <w:rPr>
          <w:rFonts w:cs="Arial"/>
          <w:sz w:val="24"/>
          <w:szCs w:val="24"/>
          <w:lang w:val="sr-Latn-ME"/>
        </w:rPr>
        <w:t xml:space="preserve"> </w:t>
      </w:r>
    </w:p>
    <w:p w14:paraId="54B309F1" w14:textId="77777777" w:rsidR="00A403E9" w:rsidRDefault="00A403E9" w:rsidP="005114FD">
      <w:pPr>
        <w:jc w:val="both"/>
        <w:rPr>
          <w:rFonts w:cs="Arial"/>
          <w:sz w:val="24"/>
          <w:szCs w:val="24"/>
          <w:lang w:val="sr-Latn-ME"/>
        </w:rPr>
      </w:pPr>
    </w:p>
    <w:p w14:paraId="739135B8" w14:textId="77777777" w:rsidR="00A403E9" w:rsidRDefault="009D755A" w:rsidP="00780738">
      <w:pPr>
        <w:spacing w:before="40"/>
        <w:jc w:val="both"/>
        <w:rPr>
          <w:rFonts w:cs="Arial"/>
          <w:bCs/>
          <w:iCs/>
          <w:sz w:val="24"/>
          <w:szCs w:val="24"/>
          <w:lang w:val="sr-Latn-ME"/>
        </w:rPr>
      </w:pPr>
      <w:r w:rsidRPr="009D755A">
        <w:rPr>
          <w:rFonts w:cs="Arial"/>
          <w:bCs/>
          <w:iCs/>
          <w:sz w:val="24"/>
          <w:szCs w:val="24"/>
          <w:lang w:val="sr-Latn-ME"/>
        </w:rPr>
        <w:lastRenderedPageBreak/>
        <w:t xml:space="preserve">Svrha usluge </w:t>
      </w:r>
      <w:r w:rsidRPr="009D755A">
        <w:rPr>
          <w:rFonts w:cs="Arial"/>
          <w:b/>
          <w:iCs/>
          <w:sz w:val="24"/>
          <w:szCs w:val="24"/>
          <w:lang w:val="sr-Latn-ME"/>
        </w:rPr>
        <w:t>mala grupn</w:t>
      </w:r>
      <w:r w:rsidR="002656FF">
        <w:rPr>
          <w:rFonts w:cs="Arial"/>
          <w:b/>
          <w:iCs/>
          <w:sz w:val="24"/>
          <w:szCs w:val="24"/>
          <w:lang w:val="sr-Latn-ME"/>
        </w:rPr>
        <w:t>a</w:t>
      </w:r>
      <w:r w:rsidRPr="009D755A">
        <w:rPr>
          <w:rFonts w:cs="Arial"/>
          <w:b/>
          <w:iCs/>
          <w:sz w:val="24"/>
          <w:szCs w:val="24"/>
          <w:lang w:val="sr-Latn-ME"/>
        </w:rPr>
        <w:t xml:space="preserve"> zajednica</w:t>
      </w:r>
      <w:r>
        <w:rPr>
          <w:rFonts w:cs="Arial"/>
          <w:bCs/>
          <w:iCs/>
          <w:sz w:val="24"/>
          <w:szCs w:val="24"/>
          <w:lang w:val="sr-Latn-ME"/>
        </w:rPr>
        <w:t xml:space="preserve"> </w:t>
      </w:r>
      <w:r w:rsidRPr="009D755A">
        <w:rPr>
          <w:rFonts w:cs="Arial"/>
          <w:bCs/>
          <w:iCs/>
          <w:sz w:val="24"/>
          <w:szCs w:val="24"/>
          <w:lang w:val="sr-Latn-ME"/>
        </w:rPr>
        <w:t>je obezbjeđivanje privremenog, bezbjednog i stimulativnog okruženja u okolnostima kada to nije moguće obezb</w:t>
      </w:r>
      <w:r w:rsidR="006915C6">
        <w:rPr>
          <w:rFonts w:cs="Arial"/>
          <w:bCs/>
          <w:iCs/>
          <w:sz w:val="24"/>
          <w:szCs w:val="24"/>
          <w:lang w:val="sr-Latn-ME"/>
        </w:rPr>
        <w:t>i</w:t>
      </w:r>
      <w:r w:rsidRPr="009D755A">
        <w:rPr>
          <w:rFonts w:cs="Arial"/>
          <w:bCs/>
          <w:iCs/>
          <w:sz w:val="24"/>
          <w:szCs w:val="24"/>
          <w:lang w:val="sr-Latn-ME"/>
        </w:rPr>
        <w:t xml:space="preserve">jediti u porodičnoj sredini, kako bi </w:t>
      </w:r>
      <w:r w:rsidR="002656FF">
        <w:rPr>
          <w:rFonts w:cs="Arial"/>
          <w:bCs/>
          <w:iCs/>
          <w:sz w:val="24"/>
          <w:szCs w:val="24"/>
          <w:lang w:val="sr-Latn-ME"/>
        </w:rPr>
        <w:t>se k</w:t>
      </w:r>
      <w:r w:rsidR="001854B5">
        <w:rPr>
          <w:rFonts w:cs="Arial"/>
          <w:bCs/>
          <w:iCs/>
          <w:sz w:val="24"/>
          <w:szCs w:val="24"/>
          <w:lang w:val="sr-Latn-ME"/>
        </w:rPr>
        <w:t>orisniku/korisnici</w:t>
      </w:r>
      <w:r w:rsidRPr="009D755A">
        <w:rPr>
          <w:rFonts w:cs="Arial"/>
          <w:bCs/>
          <w:iCs/>
          <w:sz w:val="24"/>
          <w:szCs w:val="24"/>
          <w:lang w:val="sr-Latn-ME"/>
        </w:rPr>
        <w:t xml:space="preserve"> pružila podrška i priprema za održiv nezavisan život.</w:t>
      </w:r>
      <w:r w:rsidR="002656FF">
        <w:rPr>
          <w:rFonts w:cs="Arial"/>
          <w:bCs/>
          <w:iCs/>
          <w:sz w:val="24"/>
          <w:szCs w:val="24"/>
          <w:lang w:val="sr-Latn-ME"/>
        </w:rPr>
        <w:t xml:space="preserve"> U ovim ustanovama može da bude smješteno najviše 8 </w:t>
      </w:r>
      <w:r w:rsidR="00EB2F1D">
        <w:rPr>
          <w:rFonts w:cs="Arial"/>
          <w:bCs/>
          <w:iCs/>
          <w:sz w:val="24"/>
          <w:szCs w:val="24"/>
          <w:lang w:val="sr-Latn-ME"/>
        </w:rPr>
        <w:t>korisnika/korisnica</w:t>
      </w:r>
      <w:r w:rsidR="00A403E9" w:rsidRPr="00A403E9">
        <w:rPr>
          <w:rFonts w:cs="Arial"/>
          <w:bCs/>
          <w:iCs/>
          <w:sz w:val="24"/>
          <w:szCs w:val="24"/>
          <w:lang w:val="sr-Latn-ME"/>
        </w:rPr>
        <w:t xml:space="preserve">, što je specifičnost ove usluge u odnosu na ostale ustanove za smještaj. Nalazi pojedinih izvještaja ukazuju da postoji potreba za uspostavljanjem </w:t>
      </w:r>
      <w:r w:rsidR="002656FF">
        <w:rPr>
          <w:rFonts w:cs="Arial"/>
          <w:bCs/>
          <w:iCs/>
          <w:sz w:val="24"/>
          <w:szCs w:val="24"/>
          <w:lang w:val="sr-Latn-ME"/>
        </w:rPr>
        <w:t>većeg broja</w:t>
      </w:r>
      <w:r w:rsidR="00A403E9" w:rsidRPr="00A403E9">
        <w:rPr>
          <w:rFonts w:cs="Arial"/>
          <w:bCs/>
          <w:iCs/>
          <w:sz w:val="24"/>
          <w:szCs w:val="24"/>
          <w:lang w:val="sr-Latn-ME"/>
        </w:rPr>
        <w:t xml:space="preserve"> mal</w:t>
      </w:r>
      <w:r w:rsidR="002656FF">
        <w:rPr>
          <w:rFonts w:cs="Arial"/>
          <w:bCs/>
          <w:iCs/>
          <w:sz w:val="24"/>
          <w:szCs w:val="24"/>
          <w:lang w:val="sr-Latn-ME"/>
        </w:rPr>
        <w:t>ih</w:t>
      </w:r>
      <w:r w:rsidR="00A403E9" w:rsidRPr="00A403E9">
        <w:rPr>
          <w:rFonts w:cs="Arial"/>
          <w:bCs/>
          <w:iCs/>
          <w:sz w:val="24"/>
          <w:szCs w:val="24"/>
          <w:lang w:val="sr-Latn-ME"/>
        </w:rPr>
        <w:t xml:space="preserve"> grupn</w:t>
      </w:r>
      <w:r w:rsidR="002656FF">
        <w:rPr>
          <w:rFonts w:cs="Arial"/>
          <w:bCs/>
          <w:iCs/>
          <w:sz w:val="24"/>
          <w:szCs w:val="24"/>
          <w:lang w:val="sr-Latn-ME"/>
        </w:rPr>
        <w:t>ih</w:t>
      </w:r>
      <w:r w:rsidR="00A403E9" w:rsidRPr="00A403E9">
        <w:rPr>
          <w:rFonts w:cs="Arial"/>
          <w:bCs/>
          <w:iCs/>
          <w:sz w:val="24"/>
          <w:szCs w:val="24"/>
          <w:lang w:val="sr-Latn-ME"/>
        </w:rPr>
        <w:t xml:space="preserve"> zajednic</w:t>
      </w:r>
      <w:r w:rsidR="002656FF">
        <w:rPr>
          <w:rFonts w:cs="Arial"/>
          <w:bCs/>
          <w:iCs/>
          <w:sz w:val="24"/>
          <w:szCs w:val="24"/>
          <w:lang w:val="sr-Latn-ME"/>
        </w:rPr>
        <w:t>a</w:t>
      </w:r>
      <w:r w:rsidR="00A403E9" w:rsidRPr="00A403E9">
        <w:rPr>
          <w:rFonts w:cs="Arial"/>
          <w:bCs/>
          <w:iCs/>
          <w:sz w:val="24"/>
          <w:szCs w:val="24"/>
          <w:lang w:val="sr-Latn-ME"/>
        </w:rPr>
        <w:t xml:space="preserve"> za</w:t>
      </w:r>
      <w:r w:rsidR="002656FF">
        <w:rPr>
          <w:rFonts w:cs="Arial"/>
          <w:bCs/>
          <w:iCs/>
          <w:sz w:val="24"/>
          <w:szCs w:val="24"/>
          <w:lang w:val="sr-Latn-ME"/>
        </w:rPr>
        <w:t xml:space="preserve"> različite kategorije </w:t>
      </w:r>
      <w:r w:rsidR="00EB2F1D">
        <w:rPr>
          <w:rFonts w:cs="Arial"/>
          <w:bCs/>
          <w:iCs/>
          <w:sz w:val="24"/>
          <w:szCs w:val="24"/>
          <w:lang w:val="sr-Latn-ME"/>
        </w:rPr>
        <w:t>korisnika/korisnica</w:t>
      </w:r>
      <w:r w:rsidR="00A403E9" w:rsidRPr="00A403E9">
        <w:rPr>
          <w:rFonts w:cs="Arial"/>
          <w:bCs/>
          <w:iCs/>
          <w:sz w:val="24"/>
          <w:szCs w:val="24"/>
          <w:lang w:val="sr-Latn-ME"/>
        </w:rPr>
        <w:t>, međutim</w:t>
      </w:r>
      <w:r w:rsidR="0045527C">
        <w:rPr>
          <w:rFonts w:cs="Arial"/>
          <w:bCs/>
          <w:iCs/>
          <w:sz w:val="24"/>
          <w:szCs w:val="24"/>
          <w:lang w:val="sr-Latn-ME"/>
        </w:rPr>
        <w:t>,</w:t>
      </w:r>
      <w:r w:rsidR="00A403E9" w:rsidRPr="00A403E9">
        <w:rPr>
          <w:rFonts w:cs="Arial"/>
          <w:bCs/>
          <w:iCs/>
          <w:sz w:val="24"/>
          <w:szCs w:val="24"/>
          <w:lang w:val="sr-Latn-ME"/>
        </w:rPr>
        <w:t xml:space="preserve"> mora se voditi računa da nije prihvatljivo da se </w:t>
      </w:r>
      <w:r w:rsidR="009A6373">
        <w:rPr>
          <w:rFonts w:cs="Arial"/>
          <w:bCs/>
          <w:iCs/>
          <w:sz w:val="24"/>
          <w:szCs w:val="24"/>
          <w:lang w:val="sr-Latn-ME"/>
        </w:rPr>
        <w:t>k</w:t>
      </w:r>
      <w:r w:rsidR="00B53B8D">
        <w:rPr>
          <w:rFonts w:cs="Arial"/>
          <w:bCs/>
          <w:iCs/>
          <w:sz w:val="24"/>
          <w:szCs w:val="24"/>
          <w:lang w:val="sr-Latn-ME"/>
        </w:rPr>
        <w:t>orisnici/korisnice</w:t>
      </w:r>
      <w:r w:rsidR="00A403E9" w:rsidRPr="00A403E9">
        <w:rPr>
          <w:rFonts w:cs="Arial"/>
          <w:bCs/>
          <w:iCs/>
          <w:sz w:val="24"/>
          <w:szCs w:val="24"/>
          <w:lang w:val="sr-Latn-ME"/>
        </w:rPr>
        <w:t xml:space="preserve"> iz velike ustanove </w:t>
      </w:r>
      <w:r w:rsidR="009A6373">
        <w:rPr>
          <w:rFonts w:cs="Arial"/>
          <w:bCs/>
          <w:iCs/>
          <w:sz w:val="24"/>
          <w:szCs w:val="24"/>
          <w:lang w:val="sr-Latn-ME"/>
        </w:rPr>
        <w:t>premještaju</w:t>
      </w:r>
      <w:r w:rsidR="00A403E9" w:rsidRPr="00A403E9">
        <w:rPr>
          <w:rFonts w:cs="Arial"/>
          <w:bCs/>
          <w:iCs/>
          <w:sz w:val="24"/>
          <w:szCs w:val="24"/>
          <w:lang w:val="sr-Latn-ME"/>
        </w:rPr>
        <w:t xml:space="preserve"> u malu, već treba raditi na razvoju </w:t>
      </w:r>
      <w:r w:rsidR="009A6373">
        <w:rPr>
          <w:rFonts w:cs="Arial"/>
          <w:bCs/>
          <w:iCs/>
          <w:sz w:val="24"/>
          <w:szCs w:val="24"/>
          <w:lang w:val="sr-Latn-ME"/>
        </w:rPr>
        <w:t>usluga koje podržavaju život u zajednici</w:t>
      </w:r>
      <w:r w:rsidR="00A403E9" w:rsidRPr="00A403E9">
        <w:rPr>
          <w:rFonts w:cs="Arial"/>
          <w:bCs/>
          <w:iCs/>
          <w:sz w:val="24"/>
          <w:szCs w:val="24"/>
          <w:lang w:val="sr-Latn-ME"/>
        </w:rPr>
        <w:t>.</w:t>
      </w:r>
      <w:r w:rsidR="002F6FA2" w:rsidRPr="004F15F9">
        <w:rPr>
          <w:rFonts w:cs="Arial"/>
          <w:bCs/>
          <w:iCs/>
          <w:sz w:val="24"/>
          <w:szCs w:val="24"/>
          <w:lang w:val="sr-Latn-ME"/>
        </w:rPr>
        <w:t xml:space="preserve"> </w:t>
      </w:r>
    </w:p>
    <w:p w14:paraId="24C6C583" w14:textId="77777777" w:rsidR="009A6373" w:rsidRPr="004F15F9" w:rsidRDefault="009A6373" w:rsidP="00780738">
      <w:pPr>
        <w:spacing w:before="40"/>
        <w:jc w:val="both"/>
        <w:rPr>
          <w:rFonts w:cs="Arial"/>
          <w:bCs/>
          <w:iCs/>
          <w:sz w:val="24"/>
          <w:szCs w:val="24"/>
          <w:lang w:val="sr-Latn-ME"/>
        </w:rPr>
      </w:pPr>
    </w:p>
    <w:p w14:paraId="7893FB31" w14:textId="77777777" w:rsidR="00BF5320" w:rsidRPr="00F96844" w:rsidRDefault="00BF5320" w:rsidP="00780738">
      <w:pPr>
        <w:jc w:val="both"/>
        <w:rPr>
          <w:rFonts w:cs="Arial"/>
          <w:bCs/>
          <w:iCs/>
          <w:sz w:val="24"/>
          <w:szCs w:val="24"/>
          <w:lang w:val="sr-Latn-ME"/>
        </w:rPr>
      </w:pPr>
      <w:r w:rsidRPr="00F96844">
        <w:rPr>
          <w:rFonts w:cs="Arial"/>
          <w:b/>
          <w:bCs/>
          <w:iCs/>
          <w:sz w:val="24"/>
          <w:szCs w:val="24"/>
          <w:lang w:val="sr-Latn-ME"/>
        </w:rPr>
        <w:t>Smještaj djece i mladih</w:t>
      </w:r>
      <w:r w:rsidR="004C5D23">
        <w:rPr>
          <w:rFonts w:cs="Arial"/>
          <w:b/>
          <w:bCs/>
          <w:iCs/>
          <w:sz w:val="24"/>
          <w:szCs w:val="24"/>
          <w:lang w:val="sr-Latn-ME"/>
        </w:rPr>
        <w:t xml:space="preserve"> s p</w:t>
      </w:r>
      <w:r w:rsidRPr="00F96844">
        <w:rPr>
          <w:rFonts w:cs="Arial"/>
          <w:b/>
          <w:bCs/>
          <w:iCs/>
          <w:sz w:val="24"/>
          <w:szCs w:val="24"/>
          <w:lang w:val="sr-Latn-ME"/>
        </w:rPr>
        <w:t>roblemima u ponašanju –</w:t>
      </w:r>
      <w:r w:rsidR="00331C1F">
        <w:rPr>
          <w:rFonts w:cs="Arial"/>
          <w:b/>
          <w:bCs/>
          <w:iCs/>
          <w:sz w:val="24"/>
          <w:szCs w:val="24"/>
          <w:lang w:val="sr-Latn-ME"/>
        </w:rPr>
        <w:t xml:space="preserve"> </w:t>
      </w:r>
      <w:r>
        <w:rPr>
          <w:rFonts w:cs="Arial"/>
          <w:bCs/>
          <w:iCs/>
          <w:sz w:val="24"/>
          <w:szCs w:val="24"/>
          <w:lang w:val="sr-Latn-ME"/>
        </w:rPr>
        <w:t>obezbjeđuje</w:t>
      </w:r>
      <w:r w:rsidRPr="00F96844">
        <w:rPr>
          <w:rFonts w:cs="Arial"/>
          <w:bCs/>
          <w:iCs/>
          <w:sz w:val="24"/>
          <w:szCs w:val="24"/>
          <w:lang w:val="sr-Latn-ME"/>
        </w:rPr>
        <w:t xml:space="preserve"> </w:t>
      </w:r>
      <w:r w:rsidR="006915C6">
        <w:rPr>
          <w:rFonts w:cs="Arial"/>
          <w:bCs/>
          <w:iCs/>
          <w:sz w:val="24"/>
          <w:szCs w:val="24"/>
          <w:lang w:val="sr-Latn-ME"/>
        </w:rPr>
        <w:t xml:space="preserve">se </w:t>
      </w:r>
      <w:r w:rsidRPr="00F96844">
        <w:rPr>
          <w:rFonts w:cs="Arial"/>
          <w:bCs/>
          <w:iCs/>
          <w:sz w:val="24"/>
          <w:szCs w:val="24"/>
          <w:lang w:val="sr-Latn-ME"/>
        </w:rPr>
        <w:t>u JU Centar „Ljubović</w:t>
      </w:r>
      <w:r w:rsidR="006915C6" w:rsidRPr="006915C6">
        <w:rPr>
          <w:rFonts w:cs="Arial"/>
          <w:bCs/>
          <w:iCs/>
          <w:sz w:val="24"/>
          <w:szCs w:val="24"/>
          <w:lang w:val="sr-Latn-ME"/>
        </w:rPr>
        <w:t>”</w:t>
      </w:r>
      <w:r w:rsidR="006915C6">
        <w:rPr>
          <w:rFonts w:cs="Arial"/>
          <w:bCs/>
          <w:iCs/>
          <w:sz w:val="24"/>
          <w:szCs w:val="24"/>
          <w:lang w:val="sr-Latn-ME"/>
        </w:rPr>
        <w:t>,</w:t>
      </w:r>
      <w:r w:rsidRPr="00F96844">
        <w:rPr>
          <w:rFonts w:cs="Arial"/>
          <w:bCs/>
          <w:iCs/>
          <w:sz w:val="24"/>
          <w:szCs w:val="24"/>
          <w:lang w:val="sr-Latn-ME"/>
        </w:rPr>
        <w:t xml:space="preserve"> u kojoj se realizuje vaspitna mjera upućivanja u ustanovu nezavodskog tipa u trajanju od 6 mjeseci do 2 godine. U okviru djelatnosti Centra, izvršava se i mjera pojačan</w:t>
      </w:r>
      <w:r w:rsidR="006915C6">
        <w:rPr>
          <w:rFonts w:cs="Arial"/>
          <w:bCs/>
          <w:iCs/>
          <w:sz w:val="24"/>
          <w:szCs w:val="24"/>
          <w:lang w:val="sr-Latn-ME"/>
        </w:rPr>
        <w:t>og</w:t>
      </w:r>
      <w:r w:rsidRPr="00F96844">
        <w:rPr>
          <w:rFonts w:cs="Arial"/>
          <w:bCs/>
          <w:iCs/>
          <w:sz w:val="24"/>
          <w:szCs w:val="24"/>
          <w:lang w:val="sr-Latn-ME"/>
        </w:rPr>
        <w:t xml:space="preserve"> nadzor</w:t>
      </w:r>
      <w:r w:rsidR="006915C6">
        <w:rPr>
          <w:rFonts w:cs="Arial"/>
          <w:bCs/>
          <w:iCs/>
          <w:sz w:val="24"/>
          <w:szCs w:val="24"/>
          <w:lang w:val="sr-Latn-ME"/>
        </w:rPr>
        <w:t>a</w:t>
      </w:r>
      <w:r w:rsidRPr="00F96844">
        <w:rPr>
          <w:rFonts w:cs="Arial"/>
          <w:bCs/>
          <w:iCs/>
          <w:sz w:val="24"/>
          <w:szCs w:val="24"/>
          <w:lang w:val="sr-Latn-ME"/>
        </w:rPr>
        <w:t xml:space="preserve"> organa starateljstva uz dnevni boravak u vaspitnoj ustanovi, kao i mjera privremenog smještaja, do okončanja pripremnog postupka po odluci nadležnog suda. U JU Centar </w:t>
      </w:r>
      <w:r w:rsidR="006915C6" w:rsidRPr="006915C6">
        <w:rPr>
          <w:rFonts w:cs="Arial"/>
          <w:bCs/>
          <w:iCs/>
          <w:sz w:val="24"/>
          <w:szCs w:val="24"/>
          <w:lang w:val="sr-Latn-ME"/>
        </w:rPr>
        <w:t>„</w:t>
      </w:r>
      <w:r w:rsidRPr="00F96844">
        <w:rPr>
          <w:rFonts w:cs="Arial"/>
          <w:bCs/>
          <w:iCs/>
          <w:sz w:val="24"/>
          <w:szCs w:val="24"/>
          <w:lang w:val="sr-Latn-ME"/>
        </w:rPr>
        <w:t>Ljubovic” krajem 2023. godine boravilo je 1</w:t>
      </w:r>
      <w:r w:rsidR="00C44B1D">
        <w:rPr>
          <w:rFonts w:cs="Arial"/>
          <w:bCs/>
          <w:iCs/>
          <w:sz w:val="24"/>
          <w:szCs w:val="24"/>
          <w:lang w:val="sr-Latn-ME"/>
        </w:rPr>
        <w:t>9</w:t>
      </w:r>
      <w:r w:rsidRPr="00F96844">
        <w:rPr>
          <w:rFonts w:cs="Arial"/>
          <w:bCs/>
          <w:iCs/>
          <w:sz w:val="24"/>
          <w:szCs w:val="24"/>
          <w:lang w:val="sr-Latn-ME"/>
        </w:rPr>
        <w:t xml:space="preserve"> </w:t>
      </w:r>
      <w:r w:rsidR="00EB2F1D">
        <w:rPr>
          <w:rFonts w:cs="Arial"/>
          <w:bCs/>
          <w:iCs/>
          <w:sz w:val="24"/>
          <w:szCs w:val="24"/>
          <w:lang w:val="sr-Latn-ME"/>
        </w:rPr>
        <w:t>korisnika/korisnica</w:t>
      </w:r>
      <w:r w:rsidRPr="00F96844">
        <w:rPr>
          <w:rFonts w:cs="Arial"/>
          <w:bCs/>
          <w:iCs/>
          <w:sz w:val="24"/>
          <w:szCs w:val="24"/>
          <w:lang w:val="sr-Latn-ME"/>
        </w:rPr>
        <w:t xml:space="preserve"> od kojih su 13 djece (10 </w:t>
      </w:r>
      <w:r>
        <w:rPr>
          <w:rFonts w:cs="Arial"/>
          <w:bCs/>
          <w:iCs/>
          <w:sz w:val="24"/>
          <w:szCs w:val="24"/>
          <w:lang w:val="sr-Latn-ME"/>
        </w:rPr>
        <w:t>dječaka</w:t>
      </w:r>
      <w:r w:rsidRPr="00F96844">
        <w:rPr>
          <w:rFonts w:cs="Arial"/>
          <w:bCs/>
          <w:iCs/>
          <w:sz w:val="24"/>
          <w:szCs w:val="24"/>
          <w:lang w:val="sr-Latn-ME"/>
        </w:rPr>
        <w:t xml:space="preserve"> i 3 </w:t>
      </w:r>
      <w:r>
        <w:rPr>
          <w:rFonts w:cs="Arial"/>
          <w:bCs/>
          <w:iCs/>
          <w:sz w:val="24"/>
          <w:szCs w:val="24"/>
          <w:lang w:val="sr-Latn-ME"/>
        </w:rPr>
        <w:t>djevojčica</w:t>
      </w:r>
      <w:r w:rsidRPr="00F96844">
        <w:rPr>
          <w:rFonts w:cs="Arial"/>
          <w:bCs/>
          <w:iCs/>
          <w:sz w:val="24"/>
          <w:szCs w:val="24"/>
          <w:lang w:val="sr-Latn-ME"/>
        </w:rPr>
        <w:t xml:space="preserve">) i </w:t>
      </w:r>
      <w:r w:rsidR="00C44B1D">
        <w:rPr>
          <w:rFonts w:cs="Arial"/>
          <w:bCs/>
          <w:iCs/>
          <w:sz w:val="24"/>
          <w:szCs w:val="24"/>
          <w:lang w:val="sr-Latn-ME"/>
        </w:rPr>
        <w:t>4</w:t>
      </w:r>
      <w:r w:rsidRPr="00F96844">
        <w:rPr>
          <w:rFonts w:cs="Arial"/>
          <w:bCs/>
          <w:iCs/>
          <w:sz w:val="24"/>
          <w:szCs w:val="24"/>
          <w:lang w:val="sr-Latn-ME"/>
        </w:rPr>
        <w:t xml:space="preserve"> mladih (</w:t>
      </w:r>
      <w:r w:rsidR="00C44B1D">
        <w:rPr>
          <w:rFonts w:cs="Arial"/>
          <w:bCs/>
          <w:iCs/>
          <w:sz w:val="24"/>
          <w:szCs w:val="24"/>
          <w:lang w:val="sr-Latn-ME"/>
        </w:rPr>
        <w:t>muškog pola</w:t>
      </w:r>
      <w:r w:rsidRPr="00F96844">
        <w:rPr>
          <w:rFonts w:cs="Arial"/>
          <w:bCs/>
          <w:iCs/>
          <w:sz w:val="24"/>
          <w:szCs w:val="24"/>
          <w:lang w:val="sr-Latn-ME"/>
        </w:rPr>
        <w:t>).</w:t>
      </w:r>
    </w:p>
    <w:p w14:paraId="60188760" w14:textId="77777777" w:rsidR="00BF5320" w:rsidRPr="00F96844" w:rsidRDefault="00BF5320" w:rsidP="00780738">
      <w:pPr>
        <w:jc w:val="both"/>
        <w:rPr>
          <w:rFonts w:cs="Arial"/>
          <w:bCs/>
          <w:iCs/>
          <w:sz w:val="24"/>
          <w:szCs w:val="24"/>
          <w:lang w:val="sr-Latn-ME"/>
        </w:rPr>
      </w:pPr>
      <w:r w:rsidRPr="00F96844">
        <w:rPr>
          <w:rFonts w:cs="Arial"/>
          <w:bCs/>
          <w:iCs/>
          <w:sz w:val="24"/>
          <w:szCs w:val="24"/>
          <w:lang w:val="sr-Latn-ME"/>
        </w:rPr>
        <w:t xml:space="preserve"> </w:t>
      </w:r>
    </w:p>
    <w:p w14:paraId="280E6264" w14:textId="77777777" w:rsidR="00CC6137" w:rsidRPr="00F96844" w:rsidRDefault="00CC6137" w:rsidP="00780738">
      <w:pPr>
        <w:jc w:val="both"/>
        <w:rPr>
          <w:rFonts w:cs="Arial"/>
          <w:sz w:val="24"/>
          <w:szCs w:val="24"/>
          <w:lang w:val="sr-Latn-ME"/>
        </w:rPr>
      </w:pPr>
      <w:r w:rsidRPr="00F96844">
        <w:rPr>
          <w:rFonts w:cs="Arial"/>
          <w:b/>
          <w:sz w:val="24"/>
          <w:szCs w:val="24"/>
          <w:lang w:val="sr-Latn-ME"/>
        </w:rPr>
        <w:t xml:space="preserve">Usluga porodičnog smještaja–hraniteljstva </w:t>
      </w:r>
      <w:r w:rsidRPr="00F96844">
        <w:rPr>
          <w:rFonts w:cs="Arial"/>
          <w:bCs/>
          <w:sz w:val="24"/>
          <w:szCs w:val="24"/>
          <w:lang w:val="sr-Latn-ME"/>
        </w:rPr>
        <w:t>obezbjeđuje se djeci i mladima bez roditeljskog staranja i djeci i mladima čiji je razvoj ometen porodičnim prilikama, radi čuvanja, njege i vaspitanja do povratka roditeljima, usvojenja, odnosno osamostaljivanja.</w:t>
      </w:r>
      <w:r w:rsidRPr="00F96844">
        <w:rPr>
          <w:rFonts w:cs="Arial"/>
          <w:b/>
          <w:sz w:val="24"/>
          <w:szCs w:val="24"/>
          <w:lang w:val="sr-Latn-ME"/>
        </w:rPr>
        <w:t xml:space="preserve"> </w:t>
      </w:r>
      <w:r w:rsidRPr="00F96844">
        <w:rPr>
          <w:rFonts w:cs="Arial"/>
          <w:sz w:val="24"/>
          <w:szCs w:val="24"/>
          <w:lang w:val="sr-Latn-ME"/>
        </w:rPr>
        <w:t>U decembru 2023.</w:t>
      </w:r>
      <w:r w:rsidR="00895CED">
        <w:rPr>
          <w:rFonts w:cs="Arial"/>
          <w:sz w:val="24"/>
          <w:szCs w:val="24"/>
          <w:lang w:val="sr-Latn-ME"/>
        </w:rPr>
        <w:t xml:space="preserve"> </w:t>
      </w:r>
      <w:r w:rsidRPr="00F96844">
        <w:rPr>
          <w:rFonts w:cs="Arial"/>
          <w:sz w:val="24"/>
          <w:szCs w:val="24"/>
          <w:lang w:val="sr-Latn-ME"/>
        </w:rPr>
        <w:t>godine, u srodničkim hraniteljskim porodicama bilo je smješteno 2</w:t>
      </w:r>
      <w:r>
        <w:rPr>
          <w:rFonts w:cs="Arial"/>
          <w:sz w:val="24"/>
          <w:szCs w:val="24"/>
          <w:lang w:val="sr-Latn-ME"/>
        </w:rPr>
        <w:t>7</w:t>
      </w:r>
      <w:r w:rsidRPr="00F96844">
        <w:rPr>
          <w:rFonts w:cs="Arial"/>
          <w:sz w:val="24"/>
          <w:szCs w:val="24"/>
          <w:lang w:val="sr-Latn-ME"/>
        </w:rPr>
        <w:t>1 dijete</w:t>
      </w:r>
      <w:r w:rsidR="006915C6">
        <w:rPr>
          <w:rFonts w:cs="Arial"/>
          <w:sz w:val="24"/>
          <w:szCs w:val="24"/>
          <w:lang w:val="sr-Latn-ME"/>
        </w:rPr>
        <w:t>,</w:t>
      </w:r>
      <w:r>
        <w:rPr>
          <w:rFonts w:cs="Arial"/>
          <w:sz w:val="24"/>
          <w:szCs w:val="24"/>
          <w:lang w:val="sr-Latn-ME"/>
        </w:rPr>
        <w:t xml:space="preserve"> od čega su 126 djevojčica i 145 dječaka</w:t>
      </w:r>
      <w:r w:rsidRPr="00F96844">
        <w:rPr>
          <w:rFonts w:cs="Arial"/>
          <w:sz w:val="24"/>
          <w:szCs w:val="24"/>
          <w:lang w:val="sr-Latn-ME"/>
        </w:rPr>
        <w:t xml:space="preserve">, a u nesrodničkim </w:t>
      </w:r>
      <w:r>
        <w:rPr>
          <w:rFonts w:cs="Arial"/>
          <w:sz w:val="24"/>
          <w:szCs w:val="24"/>
          <w:lang w:val="sr-Latn-ME"/>
        </w:rPr>
        <w:t>82</w:t>
      </w:r>
      <w:r w:rsidR="006915C6">
        <w:rPr>
          <w:rFonts w:cs="Arial"/>
          <w:sz w:val="24"/>
          <w:szCs w:val="24"/>
          <w:lang w:val="sr-Latn-ME"/>
        </w:rPr>
        <w:t>,</w:t>
      </w:r>
      <w:r>
        <w:rPr>
          <w:rFonts w:cs="Arial"/>
          <w:sz w:val="24"/>
          <w:szCs w:val="24"/>
          <w:lang w:val="sr-Latn-ME"/>
        </w:rPr>
        <w:t xml:space="preserve"> od čega 33 djevojčice i 49 dječaka</w:t>
      </w:r>
      <w:r w:rsidR="00895CED">
        <w:rPr>
          <w:rFonts w:cs="Arial"/>
          <w:sz w:val="24"/>
          <w:szCs w:val="24"/>
          <w:lang w:val="sr-Latn-ME"/>
        </w:rPr>
        <w:t xml:space="preserve">, što znači da je ukupno 353 djece smješteno u hraniteljske porodice. </w:t>
      </w:r>
      <w:r w:rsidRPr="00F96844">
        <w:rPr>
          <w:rFonts w:cs="Arial"/>
          <w:sz w:val="24"/>
          <w:szCs w:val="24"/>
          <w:lang w:val="sr-Latn-ME"/>
        </w:rPr>
        <w:t xml:space="preserve"> Iako je i dalje smještaj djece u srodničke hraniteljske porodice dominantan, pri čemu je kod srodnika smješteno 84% djece, u odnosu na 2010. godinu, došlo je da porasta djece na smještaju u nesrodničkim hraniteljskim porodicama. Pritom, važno je pomenuti da je u ovom trenutku u ustanovama većina djece sa smetnjama u razvoju, pri čemu je samo desetoro djece smješteno na </w:t>
      </w:r>
      <w:r w:rsidRPr="00F96844">
        <w:rPr>
          <w:rFonts w:cs="Arial"/>
          <w:b/>
          <w:bCs/>
          <w:sz w:val="24"/>
          <w:szCs w:val="24"/>
          <w:lang w:val="sr-Latn-ME"/>
        </w:rPr>
        <w:t xml:space="preserve">hraniteljstvu uz intenzivnu podršku </w:t>
      </w:r>
      <w:r w:rsidRPr="00F96844">
        <w:rPr>
          <w:rFonts w:cs="Arial"/>
          <w:sz w:val="24"/>
          <w:szCs w:val="24"/>
          <w:lang w:val="sr-Latn-ME"/>
        </w:rPr>
        <w:t>(obezbjeđuje se djetetu koje ima smetnje i teškoće u razvoju</w:t>
      </w:r>
      <w:r w:rsidR="00895CED">
        <w:rPr>
          <w:rFonts w:cs="Arial"/>
          <w:sz w:val="24"/>
          <w:szCs w:val="24"/>
          <w:lang w:val="sr-Latn-ME"/>
        </w:rPr>
        <w:t xml:space="preserve"> i djeci</w:t>
      </w:r>
      <w:r w:rsidR="004C5D23">
        <w:rPr>
          <w:rFonts w:cs="Arial"/>
          <w:sz w:val="24"/>
          <w:szCs w:val="24"/>
          <w:lang w:val="sr-Latn-ME"/>
        </w:rPr>
        <w:t xml:space="preserve"> s p</w:t>
      </w:r>
      <w:r w:rsidR="00895CED">
        <w:rPr>
          <w:rFonts w:cs="Arial"/>
          <w:sz w:val="24"/>
          <w:szCs w:val="24"/>
          <w:lang w:val="sr-Latn-ME"/>
        </w:rPr>
        <w:t>roblemima u ponašanju</w:t>
      </w:r>
      <w:r w:rsidRPr="00F96844">
        <w:rPr>
          <w:rFonts w:cs="Arial"/>
          <w:b/>
          <w:bCs/>
          <w:sz w:val="24"/>
          <w:szCs w:val="24"/>
          <w:lang w:val="sr-Latn-ME"/>
        </w:rPr>
        <w:t>).</w:t>
      </w:r>
      <w:r w:rsidRPr="00F96844">
        <w:rPr>
          <w:rFonts w:cs="Arial"/>
          <w:sz w:val="24"/>
          <w:szCs w:val="24"/>
          <w:lang w:val="sr-Latn-ME"/>
        </w:rPr>
        <w:t xml:space="preserve"> Broj hraniteljskih porodica u decembru 2023. godine je bio 263 (srodničke 222 a nesrodničke 41).</w:t>
      </w:r>
    </w:p>
    <w:p w14:paraId="4AE15B1D" w14:textId="77777777" w:rsidR="003A65CC" w:rsidRPr="003A65CC" w:rsidRDefault="003A65CC" w:rsidP="003A65CC">
      <w:pPr>
        <w:pStyle w:val="CommentText"/>
        <w:jc w:val="both"/>
        <w:rPr>
          <w:rFonts w:cs="Arial"/>
          <w:sz w:val="24"/>
          <w:szCs w:val="24"/>
        </w:rPr>
      </w:pPr>
      <w:r w:rsidRPr="003A65CC">
        <w:rPr>
          <w:rFonts w:cs="Arial"/>
          <w:sz w:val="24"/>
          <w:szCs w:val="24"/>
          <w:lang w:val="sr-Latn-ME"/>
        </w:rPr>
        <w:t>Postoji potreba za dodatnim razvojem hraniteljstva,</w:t>
      </w:r>
      <w:r w:rsidRPr="003A65CC">
        <w:rPr>
          <w:rFonts w:cs="Arial"/>
          <w:sz w:val="24"/>
          <w:szCs w:val="24"/>
        </w:rPr>
        <w:t xml:space="preserve"> posebno razvojem hraniteljstava</w:t>
      </w:r>
      <w:r>
        <w:rPr>
          <w:rFonts w:cs="Arial"/>
          <w:sz w:val="24"/>
          <w:szCs w:val="24"/>
        </w:rPr>
        <w:t xml:space="preserve"> uz intezivnu i dodatnu podršku</w:t>
      </w:r>
      <w:r w:rsidRPr="003A65CC">
        <w:rPr>
          <w:rFonts w:cs="Arial"/>
          <w:sz w:val="24"/>
          <w:szCs w:val="24"/>
        </w:rPr>
        <w:t xml:space="preserve"> i Centra za hraniteljstvo,</w:t>
      </w:r>
      <w:r w:rsidRPr="003A65CC">
        <w:rPr>
          <w:rFonts w:cs="Arial"/>
          <w:sz w:val="24"/>
          <w:szCs w:val="24"/>
          <w:lang w:val="sr-Latn-ME"/>
        </w:rPr>
        <w:t xml:space="preserve"> da bi se obezbijedila kvalitetnija priprema i procjena, kao i kontinuirana i intenzivna podrška hraniteljskim porodicama za očuvanje trenda povećanja broja djece koja se smještaju u hraniteljske porodice umjesto u ustanovu. </w:t>
      </w:r>
      <w:r w:rsidRPr="003A65CC">
        <w:rPr>
          <w:rFonts w:cs="Arial"/>
          <w:sz w:val="24"/>
          <w:szCs w:val="24"/>
          <w:lang w:val="hr-HR"/>
        </w:rPr>
        <w:t>Tokom sprovođenja ove Strategije neophodno je analizirati  podatak ko su hranitelji u odnosu na pol, koliko žena i muškaraca je spremno da preuzme ovu ulogu i u skladu sa tim koje su njihove potrebe u smislu podrške sagledati ih sa rodnog aspekta.</w:t>
      </w:r>
    </w:p>
    <w:p w14:paraId="427137A2" w14:textId="77777777" w:rsidR="00CC6137" w:rsidRPr="00F96844" w:rsidRDefault="00CC6137" w:rsidP="00780738">
      <w:pPr>
        <w:jc w:val="both"/>
        <w:rPr>
          <w:rFonts w:cs="Arial"/>
          <w:sz w:val="24"/>
          <w:szCs w:val="24"/>
          <w:lang w:val="sr-Latn-ME"/>
        </w:rPr>
      </w:pPr>
    </w:p>
    <w:p w14:paraId="0C70225D" w14:textId="77777777" w:rsidR="00BF5320" w:rsidRDefault="00BF5320" w:rsidP="00780738">
      <w:pPr>
        <w:jc w:val="both"/>
        <w:rPr>
          <w:rFonts w:cs="Arial"/>
          <w:sz w:val="24"/>
          <w:szCs w:val="24"/>
          <w:lang w:val="sr-Latn-ME"/>
        </w:rPr>
      </w:pPr>
    </w:p>
    <w:p w14:paraId="44E2FB76" w14:textId="77777777" w:rsidR="00535161" w:rsidRDefault="00535161" w:rsidP="00780738">
      <w:pPr>
        <w:jc w:val="both"/>
        <w:rPr>
          <w:rFonts w:eastAsia="Times New Roman" w:cs="Arial"/>
          <w:color w:val="000000" w:themeColor="text1"/>
          <w:sz w:val="24"/>
          <w:szCs w:val="24"/>
          <w:lang w:val="sr-Latn-ME"/>
        </w:rPr>
      </w:pPr>
      <w:r w:rsidRPr="00F96844">
        <w:rPr>
          <w:rFonts w:cs="Arial"/>
          <w:b/>
          <w:bCs/>
          <w:sz w:val="24"/>
          <w:szCs w:val="24"/>
          <w:lang w:val="sr-Latn-ME"/>
        </w:rPr>
        <w:t>Usluga</w:t>
      </w:r>
      <w:r w:rsidRPr="00F96844">
        <w:rPr>
          <w:rFonts w:cs="Arial"/>
          <w:sz w:val="24"/>
          <w:szCs w:val="24"/>
          <w:lang w:val="sr-Latn-ME"/>
        </w:rPr>
        <w:t xml:space="preserve"> </w:t>
      </w:r>
      <w:r w:rsidRPr="00F96844">
        <w:rPr>
          <w:rFonts w:cs="Arial"/>
          <w:b/>
          <w:bCs/>
          <w:sz w:val="24"/>
          <w:szCs w:val="24"/>
          <w:lang w:val="sr-Latn-ME"/>
        </w:rPr>
        <w:t>porodičnog smeštaja</w:t>
      </w:r>
      <w:r w:rsidRPr="00F96844">
        <w:rPr>
          <w:rFonts w:cs="Arial"/>
          <w:sz w:val="24"/>
          <w:szCs w:val="24"/>
          <w:lang w:val="sr-Latn-ME"/>
        </w:rPr>
        <w:t xml:space="preserve"> je namijenjena trudnici, samohranom roditelju s djetetom do navršene treće godine života, odraslom i starom licu, kojima je usljed socijalnih prilika potrebno zbrinjavanje.</w:t>
      </w:r>
      <w:r w:rsidRPr="00F96844">
        <w:rPr>
          <w:rFonts w:cs="Arial"/>
          <w:sz w:val="24"/>
          <w:szCs w:val="24"/>
          <w:vertAlign w:val="superscript"/>
          <w:lang w:val="sr-Latn-ME"/>
        </w:rPr>
        <w:footnoteReference w:id="82"/>
      </w:r>
      <w:r w:rsidRPr="00F96844">
        <w:rPr>
          <w:rFonts w:cs="Arial"/>
          <w:sz w:val="24"/>
          <w:szCs w:val="24"/>
          <w:lang w:val="sr-Latn-ME"/>
        </w:rPr>
        <w:t xml:space="preserve"> </w:t>
      </w:r>
      <w:r w:rsidRPr="00F96844">
        <w:rPr>
          <w:rFonts w:eastAsia="Times New Roman" w:cs="Arial"/>
          <w:color w:val="000000" w:themeColor="text1"/>
          <w:sz w:val="24"/>
          <w:szCs w:val="24"/>
          <w:lang w:val="sr-Latn-ME"/>
        </w:rPr>
        <w:t xml:space="preserve">Uslugu porodičnog smještaja u 2023. godini je koristilo 38 osoba, </w:t>
      </w:r>
      <w:r w:rsidRPr="00F96844">
        <w:rPr>
          <w:rFonts w:eastAsia="Times New Roman" w:cs="Arial"/>
          <w:color w:val="000000" w:themeColor="text1"/>
          <w:sz w:val="24"/>
          <w:szCs w:val="24"/>
          <w:lang w:val="sr-Latn-ME"/>
        </w:rPr>
        <w:lastRenderedPageBreak/>
        <w:t xml:space="preserve">od čega je uslugu standardnog porodičnog smještaja koristilo 12 </w:t>
      </w:r>
      <w:r w:rsidR="00EB2F1D">
        <w:rPr>
          <w:rFonts w:eastAsia="Times New Roman" w:cs="Arial"/>
          <w:color w:val="000000" w:themeColor="text1"/>
          <w:sz w:val="24"/>
          <w:szCs w:val="24"/>
          <w:lang w:val="sr-Latn-ME"/>
        </w:rPr>
        <w:t>korisnika/korisnica</w:t>
      </w:r>
      <w:r w:rsidRPr="00F96844">
        <w:rPr>
          <w:rFonts w:eastAsia="Times New Roman" w:cs="Arial"/>
          <w:color w:val="000000" w:themeColor="text1"/>
          <w:sz w:val="24"/>
          <w:szCs w:val="24"/>
          <w:lang w:val="sr-Latn-ME"/>
        </w:rPr>
        <w:t xml:space="preserve">, a porodični smještaj uz intenzivnu ili dodatnu podršku je koristilo 26 </w:t>
      </w:r>
      <w:r w:rsidR="00EB2F1D">
        <w:rPr>
          <w:rFonts w:eastAsia="Times New Roman" w:cs="Arial"/>
          <w:color w:val="000000" w:themeColor="text1"/>
          <w:sz w:val="24"/>
          <w:szCs w:val="24"/>
          <w:lang w:val="sr-Latn-ME"/>
        </w:rPr>
        <w:t>korisnika/korisnica</w:t>
      </w:r>
      <w:r w:rsidRPr="00F96844">
        <w:rPr>
          <w:rFonts w:eastAsia="Times New Roman" w:cs="Arial"/>
          <w:color w:val="000000" w:themeColor="text1"/>
          <w:sz w:val="24"/>
          <w:szCs w:val="24"/>
          <w:lang w:val="sr-Latn-ME"/>
        </w:rPr>
        <w:t xml:space="preserve">. </w:t>
      </w:r>
    </w:p>
    <w:p w14:paraId="52D5C81D" w14:textId="77777777" w:rsidR="00535161" w:rsidRDefault="00535161" w:rsidP="00535161">
      <w:pPr>
        <w:jc w:val="both"/>
        <w:rPr>
          <w:rFonts w:eastAsia="Times New Roman" w:cs="Arial"/>
          <w:color w:val="000000" w:themeColor="text1"/>
          <w:sz w:val="24"/>
          <w:szCs w:val="24"/>
          <w:lang w:val="sr-Latn-ME"/>
        </w:rPr>
      </w:pPr>
    </w:p>
    <w:p w14:paraId="6E6AF01A" w14:textId="77777777" w:rsidR="00535161" w:rsidRPr="00F96844" w:rsidRDefault="00535161" w:rsidP="00780738">
      <w:pPr>
        <w:jc w:val="both"/>
        <w:rPr>
          <w:rFonts w:eastAsia="Times New Roman" w:cs="Arial"/>
          <w:color w:val="000000" w:themeColor="text1"/>
          <w:sz w:val="24"/>
          <w:szCs w:val="24"/>
          <w:lang w:val="sr-Latn-ME"/>
        </w:rPr>
      </w:pPr>
      <w:r w:rsidRPr="00F96844">
        <w:rPr>
          <w:rFonts w:cs="Arial"/>
          <w:sz w:val="24"/>
          <w:szCs w:val="24"/>
          <w:lang w:val="sr-Latn-ME"/>
        </w:rPr>
        <w:t>Prema podacima ISSS-a, ukupni godišnji rashodi za porodični smještaj</w:t>
      </w:r>
      <w:r w:rsidR="006915C6">
        <w:rPr>
          <w:rFonts w:cs="Arial"/>
          <w:sz w:val="24"/>
          <w:szCs w:val="24"/>
          <w:lang w:val="sr-Latn-ME"/>
        </w:rPr>
        <w:t>‒</w:t>
      </w:r>
      <w:r w:rsidRPr="00F96844">
        <w:rPr>
          <w:rFonts w:cs="Arial"/>
          <w:sz w:val="24"/>
          <w:szCs w:val="24"/>
          <w:lang w:val="sr-Latn-ME"/>
        </w:rPr>
        <w:t xml:space="preserve">hraniteljstvo i porodični smještaj iznosili su približno </w:t>
      </w:r>
      <w:r w:rsidRPr="00F96844">
        <w:rPr>
          <w:rFonts w:cs="Arial"/>
          <w:color w:val="000000" w:themeColor="text1"/>
          <w:sz w:val="24"/>
          <w:szCs w:val="24"/>
          <w:lang w:val="sr-Latn-ME"/>
        </w:rPr>
        <w:t xml:space="preserve">2. 200.00, </w:t>
      </w:r>
      <w:r w:rsidR="00D725AC">
        <w:rPr>
          <w:rFonts w:cs="Arial"/>
          <w:color w:val="000000" w:themeColor="text1"/>
          <w:sz w:val="24"/>
          <w:szCs w:val="24"/>
          <w:lang w:val="sr-Latn-ME"/>
        </w:rPr>
        <w:t>0</w:t>
      </w:r>
      <w:r w:rsidRPr="00F96844">
        <w:rPr>
          <w:rFonts w:cs="Arial"/>
          <w:color w:val="000000" w:themeColor="text1"/>
          <w:sz w:val="24"/>
          <w:szCs w:val="24"/>
          <w:lang w:val="sr-Latn-ME"/>
        </w:rPr>
        <w:t>00 eura u 2023. godini. U strukturi rashoda dominiraju rashodi za porodični smještaj</w:t>
      </w:r>
      <w:r w:rsidR="006915C6">
        <w:rPr>
          <w:rFonts w:cs="Arial"/>
          <w:color w:val="000000" w:themeColor="text1"/>
          <w:sz w:val="24"/>
          <w:szCs w:val="24"/>
          <w:lang w:val="sr-Latn-ME"/>
        </w:rPr>
        <w:t>‒</w:t>
      </w:r>
      <w:r w:rsidRPr="00F96844">
        <w:rPr>
          <w:rFonts w:cs="Arial"/>
          <w:color w:val="000000" w:themeColor="text1"/>
          <w:sz w:val="24"/>
          <w:szCs w:val="24"/>
          <w:lang w:val="sr-Latn-ME"/>
        </w:rPr>
        <w:t xml:space="preserve">hraniteljstvo (92,4%). </w:t>
      </w:r>
    </w:p>
    <w:p w14:paraId="178A010C" w14:textId="77777777" w:rsidR="00E53258" w:rsidRPr="00F96844" w:rsidRDefault="00E53258" w:rsidP="00780738">
      <w:pPr>
        <w:jc w:val="both"/>
        <w:rPr>
          <w:rFonts w:cs="Arial"/>
          <w:sz w:val="24"/>
          <w:szCs w:val="24"/>
          <w:lang w:val="sr-Latn-ME"/>
        </w:rPr>
      </w:pPr>
    </w:p>
    <w:p w14:paraId="2456D68B" w14:textId="77777777" w:rsidR="003E548A" w:rsidRPr="008046B8" w:rsidRDefault="003E548A" w:rsidP="00780738">
      <w:pPr>
        <w:jc w:val="both"/>
        <w:rPr>
          <w:rFonts w:cs="Arial"/>
          <w:iCs/>
          <w:sz w:val="24"/>
          <w:szCs w:val="24"/>
          <w:lang w:val="sr-Latn-ME"/>
        </w:rPr>
      </w:pPr>
      <w:r w:rsidRPr="008046B8">
        <w:rPr>
          <w:rFonts w:cs="Arial"/>
          <w:iCs/>
          <w:sz w:val="24"/>
          <w:szCs w:val="24"/>
          <w:lang w:val="sr-Latn-ME"/>
        </w:rPr>
        <w:t xml:space="preserve">U narednom periodu sprovođenja strategije potrebno je adresirati sljedeće probleme u okviru pružanja ove usluge: </w:t>
      </w:r>
    </w:p>
    <w:p w14:paraId="32715A47" w14:textId="77777777" w:rsidR="00E53258" w:rsidRPr="008046B8" w:rsidRDefault="00E53258" w:rsidP="00780738">
      <w:pPr>
        <w:jc w:val="both"/>
        <w:rPr>
          <w:rFonts w:cs="Arial"/>
          <w:sz w:val="24"/>
          <w:szCs w:val="24"/>
          <w:lang w:val="sr-Latn-ME"/>
        </w:rPr>
      </w:pPr>
    </w:p>
    <w:p w14:paraId="41A13015" w14:textId="77777777" w:rsidR="008B2F62" w:rsidRPr="008046B8" w:rsidRDefault="008B2F62" w:rsidP="00780738">
      <w:pPr>
        <w:jc w:val="both"/>
        <w:rPr>
          <w:rFonts w:cs="Arial"/>
          <w:i/>
          <w:sz w:val="24"/>
          <w:szCs w:val="24"/>
          <w:lang w:val="sr-Latn-ME"/>
        </w:rPr>
      </w:pPr>
      <w:r w:rsidRPr="008046B8">
        <w:rPr>
          <w:rFonts w:cs="Arial"/>
          <w:i/>
          <w:sz w:val="24"/>
          <w:szCs w:val="24"/>
          <w:lang w:val="sr-Latn-ME"/>
        </w:rPr>
        <w:t>Problem je što su djeca bez roditeljskog staranja institucionalizovana zbog nemogućnosti roditelja da brinu o njima, nedovoljno su razvijene usluge podrške biološkim porodicama, tako da je podrška koja se pruža neadekvatna</w:t>
      </w:r>
      <w:r w:rsidRPr="002A3631">
        <w:rPr>
          <w:rFonts w:cs="Arial"/>
          <w:i/>
          <w:sz w:val="24"/>
          <w:szCs w:val="24"/>
          <w:lang w:val="sr-Latn-ME"/>
        </w:rPr>
        <w:t xml:space="preserve">. </w:t>
      </w:r>
      <w:r w:rsidR="002A3631" w:rsidRPr="002A3631">
        <w:rPr>
          <w:rFonts w:cs="Arial"/>
          <w:i/>
          <w:sz w:val="24"/>
          <w:szCs w:val="24"/>
          <w:lang w:val="sr-Latn-ME"/>
        </w:rPr>
        <w:t>N</w:t>
      </w:r>
      <w:r w:rsidRPr="002A3631">
        <w:rPr>
          <w:rFonts w:cs="Arial"/>
          <w:i/>
          <w:sz w:val="24"/>
          <w:szCs w:val="24"/>
          <w:lang w:val="sr-Latn-ME"/>
        </w:rPr>
        <w:t>edovoljno</w:t>
      </w:r>
      <w:r w:rsidRPr="008046B8">
        <w:rPr>
          <w:rFonts w:cs="Arial"/>
          <w:i/>
          <w:sz w:val="24"/>
          <w:szCs w:val="24"/>
          <w:lang w:val="sr-Latn-ME"/>
        </w:rPr>
        <w:t xml:space="preserve"> je razvijeno hraniteljstvo, neodgovarajuća je procjena i priprema hranitelja i djece, nedovoljan je broj nesrodničkih hraniteljskih porodica i neadekvatna podrška hraniteljima i djeci na hraniteljstvu, nedovoljan broj stručnjak</w:t>
      </w:r>
      <w:r w:rsidR="00B07604" w:rsidRPr="008046B8">
        <w:rPr>
          <w:rFonts w:cs="Arial"/>
          <w:i/>
          <w:sz w:val="24"/>
          <w:szCs w:val="24"/>
          <w:lang w:val="sr-Latn-ME"/>
        </w:rPr>
        <w:t>a.</w:t>
      </w:r>
    </w:p>
    <w:p w14:paraId="5FBE6ABF" w14:textId="77777777" w:rsidR="00E53258" w:rsidRPr="00F96844" w:rsidRDefault="00E53258" w:rsidP="00780738">
      <w:pPr>
        <w:jc w:val="both"/>
        <w:rPr>
          <w:rFonts w:cs="Arial"/>
          <w:i/>
          <w:sz w:val="24"/>
          <w:szCs w:val="24"/>
          <w:lang w:val="sr-Latn-ME"/>
        </w:rPr>
      </w:pPr>
    </w:p>
    <w:p w14:paraId="2712086A" w14:textId="77777777" w:rsidR="008B2F62" w:rsidRDefault="008B2F62" w:rsidP="00780738">
      <w:pPr>
        <w:jc w:val="both"/>
        <w:rPr>
          <w:rFonts w:cs="Arial"/>
          <w:bCs/>
          <w:sz w:val="24"/>
          <w:szCs w:val="24"/>
          <w:lang w:val="sr-Latn-ME"/>
        </w:rPr>
      </w:pPr>
      <w:r w:rsidRPr="00F96844">
        <w:rPr>
          <w:rFonts w:cs="Arial"/>
          <w:b/>
          <w:sz w:val="24"/>
          <w:szCs w:val="24"/>
          <w:lang w:val="sr-Latn-ME"/>
        </w:rPr>
        <w:t xml:space="preserve">Smještaj </w:t>
      </w:r>
      <w:r w:rsidR="009606DB">
        <w:rPr>
          <w:rFonts w:cs="Arial"/>
          <w:b/>
          <w:sz w:val="24"/>
          <w:szCs w:val="24"/>
          <w:lang w:val="sr-Latn-ME"/>
        </w:rPr>
        <w:t xml:space="preserve">odraslih i </w:t>
      </w:r>
      <w:r w:rsidRPr="00F96844">
        <w:rPr>
          <w:rFonts w:cs="Arial"/>
          <w:b/>
          <w:sz w:val="24"/>
          <w:szCs w:val="24"/>
          <w:lang w:val="sr-Latn-ME"/>
        </w:rPr>
        <w:t>stari</w:t>
      </w:r>
      <w:r w:rsidR="009606DB">
        <w:rPr>
          <w:rFonts w:cs="Arial"/>
          <w:b/>
          <w:sz w:val="24"/>
          <w:szCs w:val="24"/>
          <w:lang w:val="sr-Latn-ME"/>
        </w:rPr>
        <w:t>ji</w:t>
      </w:r>
      <w:r w:rsidRPr="00F96844">
        <w:rPr>
          <w:rFonts w:cs="Arial"/>
          <w:b/>
          <w:sz w:val="24"/>
          <w:szCs w:val="24"/>
          <w:lang w:val="sr-Latn-ME"/>
        </w:rPr>
        <w:t xml:space="preserve">h lica </w:t>
      </w:r>
      <w:r w:rsidR="006915C6">
        <w:rPr>
          <w:rFonts w:cs="Arial"/>
          <w:b/>
          <w:sz w:val="24"/>
          <w:szCs w:val="24"/>
          <w:lang w:val="sr-Latn-ME"/>
        </w:rPr>
        <w:t>‒</w:t>
      </w:r>
      <w:r w:rsidRPr="00F96844">
        <w:rPr>
          <w:rFonts w:cs="Arial"/>
          <w:b/>
          <w:sz w:val="24"/>
          <w:szCs w:val="24"/>
          <w:lang w:val="sr-Latn-ME"/>
        </w:rPr>
        <w:t xml:space="preserve"> </w:t>
      </w:r>
      <w:r w:rsidRPr="00F96844">
        <w:rPr>
          <w:rFonts w:cs="Arial"/>
          <w:bCs/>
          <w:sz w:val="24"/>
          <w:szCs w:val="24"/>
          <w:lang w:val="sr-Latn-ME"/>
        </w:rPr>
        <w:t xml:space="preserve">U Crnoj Gori </w:t>
      </w:r>
      <w:r w:rsidR="00A837C3">
        <w:rPr>
          <w:rFonts w:cs="Arial"/>
          <w:bCs/>
          <w:sz w:val="24"/>
          <w:szCs w:val="24"/>
          <w:lang w:val="sr-Latn-ME"/>
        </w:rPr>
        <w:t>postoji</w:t>
      </w:r>
      <w:r w:rsidRPr="00F96844">
        <w:rPr>
          <w:rFonts w:cs="Arial"/>
          <w:bCs/>
          <w:sz w:val="24"/>
          <w:szCs w:val="24"/>
          <w:lang w:val="sr-Latn-ME"/>
        </w:rPr>
        <w:t xml:space="preserve"> pet javnih ustanova – </w:t>
      </w:r>
      <w:r w:rsidR="002A3631">
        <w:rPr>
          <w:rFonts w:cs="Arial"/>
          <w:bCs/>
          <w:sz w:val="24"/>
          <w:szCs w:val="24"/>
          <w:lang w:val="sr-Latn-ME"/>
        </w:rPr>
        <w:t>d</w:t>
      </w:r>
      <w:r w:rsidRPr="00F96844">
        <w:rPr>
          <w:rFonts w:cs="Arial"/>
          <w:bCs/>
          <w:sz w:val="24"/>
          <w:szCs w:val="24"/>
          <w:lang w:val="sr-Latn-ME"/>
        </w:rPr>
        <w:t xml:space="preserve">omova starih (Dom starih </w:t>
      </w:r>
      <w:r w:rsidR="006915C6" w:rsidRPr="002A3631">
        <w:rPr>
          <w:rFonts w:cs="Arial"/>
          <w:bCs/>
          <w:sz w:val="24"/>
          <w:szCs w:val="24"/>
          <w:lang w:val="sr-Latn-ME"/>
        </w:rPr>
        <w:t>„</w:t>
      </w:r>
      <w:r w:rsidRPr="00F96844">
        <w:rPr>
          <w:rFonts w:cs="Arial"/>
          <w:bCs/>
          <w:sz w:val="24"/>
          <w:szCs w:val="24"/>
          <w:lang w:val="sr-Latn-ME"/>
        </w:rPr>
        <w:t>Grabovac</w:t>
      </w:r>
      <w:r w:rsidR="006915C6" w:rsidRPr="006915C6">
        <w:rPr>
          <w:rFonts w:cs="Arial"/>
          <w:bCs/>
          <w:iCs/>
          <w:sz w:val="24"/>
          <w:szCs w:val="24"/>
          <w:lang w:val="sr-Latn-ME"/>
        </w:rPr>
        <w:t>”</w:t>
      </w:r>
      <w:r w:rsidRPr="00F96844">
        <w:rPr>
          <w:rFonts w:cs="Arial"/>
          <w:bCs/>
          <w:sz w:val="24"/>
          <w:szCs w:val="24"/>
          <w:lang w:val="sr-Latn-ME"/>
        </w:rPr>
        <w:t xml:space="preserve"> Risan, Dom starih Bijelo Polje, Dom starih Pljevlja, Dom starih Nikšić i Dom starih Podgorica)</w:t>
      </w:r>
      <w:r w:rsidR="006915C6">
        <w:rPr>
          <w:rFonts w:cs="Arial"/>
          <w:bCs/>
          <w:sz w:val="24"/>
          <w:szCs w:val="24"/>
          <w:lang w:val="sr-Latn-ME"/>
        </w:rPr>
        <w:t>,</w:t>
      </w:r>
      <w:r w:rsidRPr="00F96844">
        <w:rPr>
          <w:rFonts w:cs="Arial"/>
          <w:bCs/>
          <w:sz w:val="24"/>
          <w:szCs w:val="24"/>
          <w:lang w:val="sr-Latn-ME"/>
        </w:rPr>
        <w:t xml:space="preserve"> i u njima je krajem 2023. godine boravilo 74</w:t>
      </w:r>
      <w:r w:rsidR="00901599">
        <w:rPr>
          <w:rFonts w:cs="Arial"/>
          <w:bCs/>
          <w:sz w:val="24"/>
          <w:szCs w:val="24"/>
          <w:lang w:val="sr-Latn-ME"/>
        </w:rPr>
        <w:t>5</w:t>
      </w:r>
      <w:r w:rsidRPr="00F96844">
        <w:rPr>
          <w:rFonts w:cs="Arial"/>
          <w:bCs/>
          <w:sz w:val="24"/>
          <w:szCs w:val="24"/>
          <w:lang w:val="sr-Latn-ME"/>
        </w:rPr>
        <w:t xml:space="preserve"> odraslih i starih lica</w:t>
      </w:r>
      <w:r w:rsidR="00375BDD">
        <w:rPr>
          <w:rFonts w:cs="Arial"/>
          <w:bCs/>
          <w:sz w:val="24"/>
          <w:szCs w:val="24"/>
          <w:lang w:val="sr-Latn-ME"/>
        </w:rPr>
        <w:t>, od kojih 425 žena i 320 muškaraca</w:t>
      </w:r>
      <w:r w:rsidRPr="00F96844">
        <w:rPr>
          <w:rFonts w:cs="Arial"/>
          <w:bCs/>
          <w:sz w:val="24"/>
          <w:szCs w:val="24"/>
          <w:lang w:val="sr-Latn-ME"/>
        </w:rPr>
        <w:t xml:space="preserve">. </w:t>
      </w:r>
      <w:r w:rsidR="006915C6">
        <w:rPr>
          <w:rFonts w:cs="Arial"/>
          <w:bCs/>
          <w:sz w:val="24"/>
          <w:szCs w:val="24"/>
          <w:lang w:val="sr-Latn-ME"/>
        </w:rPr>
        <w:t>U</w:t>
      </w:r>
      <w:r w:rsidRPr="00F96844">
        <w:rPr>
          <w:rFonts w:cs="Arial"/>
          <w:bCs/>
          <w:sz w:val="24"/>
          <w:szCs w:val="24"/>
          <w:lang w:val="sr-Latn-ME"/>
        </w:rPr>
        <w:t xml:space="preserve"> </w:t>
      </w:r>
      <w:r w:rsidR="006915C6">
        <w:rPr>
          <w:rFonts w:cs="Arial"/>
          <w:bCs/>
          <w:sz w:val="24"/>
          <w:szCs w:val="24"/>
          <w:lang w:val="sr-Latn-ME"/>
        </w:rPr>
        <w:t>d</w:t>
      </w:r>
      <w:r w:rsidRPr="00F96844">
        <w:rPr>
          <w:rFonts w:cs="Arial"/>
          <w:bCs/>
          <w:sz w:val="24"/>
          <w:szCs w:val="24"/>
          <w:lang w:val="sr-Latn-ME"/>
        </w:rPr>
        <w:t xml:space="preserve">om </w:t>
      </w:r>
      <w:r w:rsidR="006915C6">
        <w:rPr>
          <w:rFonts w:cs="Arial"/>
          <w:bCs/>
          <w:sz w:val="24"/>
          <w:szCs w:val="24"/>
          <w:lang w:val="sr-Latn-ME"/>
        </w:rPr>
        <w:t xml:space="preserve">je </w:t>
      </w:r>
      <w:r w:rsidRPr="00F96844">
        <w:rPr>
          <w:rFonts w:cs="Arial"/>
          <w:bCs/>
          <w:sz w:val="24"/>
          <w:szCs w:val="24"/>
          <w:lang w:val="sr-Latn-ME"/>
        </w:rPr>
        <w:t>smješteno</w:t>
      </w:r>
      <w:r w:rsidR="006915C6">
        <w:rPr>
          <w:rFonts w:cs="Arial"/>
          <w:bCs/>
          <w:sz w:val="24"/>
          <w:szCs w:val="24"/>
          <w:lang w:val="sr-Latn-ME"/>
        </w:rPr>
        <w:t xml:space="preserve"> </w:t>
      </w:r>
      <w:r w:rsidR="006915C6" w:rsidRPr="006915C6">
        <w:rPr>
          <w:rFonts w:cs="Arial"/>
          <w:bCs/>
          <w:sz w:val="24"/>
          <w:szCs w:val="24"/>
          <w:lang w:val="sr-Latn-ME"/>
        </w:rPr>
        <w:t>473 korisnika/korisnica</w:t>
      </w:r>
      <w:r w:rsidRPr="00F96844">
        <w:rPr>
          <w:rFonts w:cs="Arial"/>
          <w:bCs/>
          <w:sz w:val="24"/>
          <w:szCs w:val="24"/>
          <w:lang w:val="sr-Latn-ME"/>
        </w:rPr>
        <w:t xml:space="preserve"> na osnovu rješenja CSR</w:t>
      </w:r>
      <w:r w:rsidR="006915C6">
        <w:rPr>
          <w:rFonts w:cs="Arial"/>
          <w:bCs/>
          <w:sz w:val="24"/>
          <w:szCs w:val="24"/>
          <w:lang w:val="sr-Latn-ME"/>
        </w:rPr>
        <w:t>,</w:t>
      </w:r>
      <w:r w:rsidRPr="00F96844">
        <w:rPr>
          <w:rFonts w:cs="Arial"/>
          <w:bCs/>
          <w:sz w:val="24"/>
          <w:szCs w:val="24"/>
          <w:lang w:val="sr-Latn-ME"/>
        </w:rPr>
        <w:t xml:space="preserve"> a 272 korisnika je u </w:t>
      </w:r>
      <w:r w:rsidR="006915C6">
        <w:rPr>
          <w:rFonts w:cs="Arial"/>
          <w:bCs/>
          <w:sz w:val="24"/>
          <w:szCs w:val="24"/>
          <w:lang w:val="sr-Latn-ME"/>
        </w:rPr>
        <w:t>d</w:t>
      </w:r>
      <w:r w:rsidRPr="00F96844">
        <w:rPr>
          <w:rFonts w:cs="Arial"/>
          <w:bCs/>
          <w:sz w:val="24"/>
          <w:szCs w:val="24"/>
          <w:lang w:val="sr-Latn-ME"/>
        </w:rPr>
        <w:t xml:space="preserve">omu po ugovoru. U dvije privatne ustanove (Dom starih </w:t>
      </w:r>
      <w:r w:rsidRPr="00F96844">
        <w:rPr>
          <w:rFonts w:cs="Arial"/>
          <w:bCs/>
          <w:i/>
          <w:iCs/>
          <w:sz w:val="24"/>
          <w:szCs w:val="24"/>
          <w:lang w:val="sr-Latn-ME"/>
        </w:rPr>
        <w:t>Duga</w:t>
      </w:r>
      <w:r w:rsidRPr="00F96844">
        <w:rPr>
          <w:rFonts w:cs="Arial"/>
          <w:bCs/>
          <w:sz w:val="24"/>
          <w:szCs w:val="24"/>
          <w:lang w:val="sr-Latn-ME"/>
        </w:rPr>
        <w:t xml:space="preserve"> </w:t>
      </w:r>
      <w:r w:rsidR="006915C6">
        <w:rPr>
          <w:rFonts w:cs="Arial"/>
          <w:bCs/>
          <w:sz w:val="24"/>
          <w:szCs w:val="24"/>
          <w:lang w:val="sr-Latn-ME"/>
        </w:rPr>
        <w:t xml:space="preserve">‒ </w:t>
      </w:r>
      <w:r w:rsidRPr="00F96844">
        <w:rPr>
          <w:rFonts w:cs="Arial"/>
          <w:bCs/>
          <w:sz w:val="24"/>
          <w:szCs w:val="24"/>
          <w:lang w:val="sr-Latn-ME"/>
        </w:rPr>
        <w:t xml:space="preserve">Danilovgrad i Dom starih </w:t>
      </w:r>
      <w:r w:rsidRPr="00F96844">
        <w:rPr>
          <w:rFonts w:cs="Arial"/>
          <w:bCs/>
          <w:i/>
          <w:iCs/>
          <w:sz w:val="24"/>
          <w:szCs w:val="24"/>
          <w:lang w:val="sr-Latn-ME"/>
        </w:rPr>
        <w:t>Nana</w:t>
      </w:r>
      <w:r w:rsidRPr="00F96844">
        <w:rPr>
          <w:rFonts w:cs="Arial"/>
          <w:bCs/>
          <w:sz w:val="24"/>
          <w:szCs w:val="24"/>
          <w:lang w:val="sr-Latn-ME"/>
        </w:rPr>
        <w:t xml:space="preserve">) smješteno je 75 </w:t>
      </w:r>
      <w:r w:rsidR="00EB2F1D">
        <w:rPr>
          <w:rFonts w:cs="Arial"/>
          <w:bCs/>
          <w:sz w:val="24"/>
          <w:szCs w:val="24"/>
          <w:lang w:val="sr-Latn-ME"/>
        </w:rPr>
        <w:t>korisnika/korisnica</w:t>
      </w:r>
      <w:r w:rsidRPr="00F96844">
        <w:rPr>
          <w:rFonts w:cs="Arial"/>
          <w:bCs/>
          <w:sz w:val="24"/>
          <w:szCs w:val="24"/>
          <w:lang w:val="sr-Latn-ME"/>
        </w:rPr>
        <w:t>.</w:t>
      </w:r>
      <w:r w:rsidR="00A837C3">
        <w:rPr>
          <w:rFonts w:cs="Arial"/>
          <w:bCs/>
          <w:sz w:val="24"/>
          <w:szCs w:val="24"/>
          <w:lang w:val="sr-Latn-ME"/>
        </w:rPr>
        <w:t xml:space="preserve"> Izuzev usluge smještaja</w:t>
      </w:r>
      <w:r w:rsidR="006915C6">
        <w:rPr>
          <w:rFonts w:cs="Arial"/>
          <w:bCs/>
          <w:sz w:val="24"/>
          <w:szCs w:val="24"/>
          <w:lang w:val="sr-Latn-ME"/>
        </w:rPr>
        <w:t>,</w:t>
      </w:r>
      <w:r w:rsidR="00A837C3">
        <w:rPr>
          <w:rFonts w:cs="Arial"/>
          <w:bCs/>
          <w:sz w:val="24"/>
          <w:szCs w:val="24"/>
          <w:lang w:val="sr-Latn-ME"/>
        </w:rPr>
        <w:t xml:space="preserve"> navedene ustanove pružaju usl</w:t>
      </w:r>
      <w:r w:rsidR="006915C6">
        <w:rPr>
          <w:rFonts w:cs="Arial"/>
          <w:bCs/>
          <w:sz w:val="24"/>
          <w:szCs w:val="24"/>
          <w:lang w:val="sr-Latn-ME"/>
        </w:rPr>
        <w:t>u</w:t>
      </w:r>
      <w:r w:rsidR="00A837C3">
        <w:rPr>
          <w:rFonts w:cs="Arial"/>
          <w:bCs/>
          <w:sz w:val="24"/>
          <w:szCs w:val="24"/>
          <w:lang w:val="sr-Latn-ME"/>
        </w:rPr>
        <w:t>ge podrške za život u zajednici, uslugu savjetovanja i uslugu smještaja u prihvatiliš</w:t>
      </w:r>
      <w:r w:rsidR="006915C6">
        <w:rPr>
          <w:rFonts w:cs="Arial"/>
          <w:bCs/>
          <w:sz w:val="24"/>
          <w:szCs w:val="24"/>
          <w:lang w:val="sr-Latn-ME"/>
        </w:rPr>
        <w:t>t</w:t>
      </w:r>
      <w:r w:rsidR="00A837C3">
        <w:rPr>
          <w:rFonts w:cs="Arial"/>
          <w:bCs/>
          <w:sz w:val="24"/>
          <w:szCs w:val="24"/>
          <w:lang w:val="sr-Latn-ME"/>
        </w:rPr>
        <w:t>e</w:t>
      </w:r>
      <w:r w:rsidR="006915C6">
        <w:rPr>
          <w:rFonts w:cs="Arial"/>
          <w:bCs/>
          <w:sz w:val="24"/>
          <w:szCs w:val="24"/>
          <w:lang w:val="sr-Latn-ME"/>
        </w:rPr>
        <w:t>‒</w:t>
      </w:r>
      <w:r w:rsidR="00A837C3">
        <w:rPr>
          <w:rFonts w:cs="Arial"/>
          <w:bCs/>
          <w:sz w:val="24"/>
          <w:szCs w:val="24"/>
          <w:lang w:val="sr-Latn-ME"/>
        </w:rPr>
        <w:t xml:space="preserve"> sklonište. JU Dom starih „Grabovac</w:t>
      </w:r>
      <w:r w:rsidR="006915C6" w:rsidRPr="006915C6">
        <w:rPr>
          <w:rFonts w:cs="Arial"/>
          <w:bCs/>
          <w:iCs/>
          <w:sz w:val="24"/>
          <w:szCs w:val="24"/>
          <w:lang w:val="sr-Latn-ME"/>
        </w:rPr>
        <w:t>”</w:t>
      </w:r>
      <w:r w:rsidR="00A837C3">
        <w:rPr>
          <w:rFonts w:cs="Arial"/>
          <w:bCs/>
          <w:sz w:val="24"/>
          <w:szCs w:val="24"/>
          <w:lang w:val="sr-Latn-ME"/>
        </w:rPr>
        <w:t xml:space="preserve"> </w:t>
      </w:r>
      <w:r w:rsidR="006915C6">
        <w:rPr>
          <w:rFonts w:cs="Arial"/>
          <w:bCs/>
          <w:sz w:val="24"/>
          <w:szCs w:val="24"/>
          <w:lang w:val="sr-Latn-ME"/>
        </w:rPr>
        <w:t xml:space="preserve">‒ </w:t>
      </w:r>
      <w:r w:rsidR="00A837C3">
        <w:rPr>
          <w:rFonts w:cs="Arial"/>
          <w:bCs/>
          <w:sz w:val="24"/>
          <w:szCs w:val="24"/>
          <w:lang w:val="sr-Latn-ME"/>
        </w:rPr>
        <w:t>Risan licenciran je za pružanje usluge dnevni boravak, pomoć u kući, savjetovanje, smještaj u prihvatilište</w:t>
      </w:r>
      <w:r w:rsidR="006915C6">
        <w:rPr>
          <w:rFonts w:cs="Arial"/>
          <w:bCs/>
          <w:sz w:val="24"/>
          <w:szCs w:val="24"/>
          <w:lang w:val="sr-Latn-ME"/>
        </w:rPr>
        <w:t>‒</w:t>
      </w:r>
      <w:r w:rsidR="00A837C3">
        <w:rPr>
          <w:rFonts w:cs="Arial"/>
          <w:bCs/>
          <w:sz w:val="24"/>
          <w:szCs w:val="24"/>
          <w:lang w:val="sr-Latn-ME"/>
        </w:rPr>
        <w:t>sklonište za beskućnike. JU domovi starih Pljevlja, Bijelo Polje i Nikšić licencirani su za pružanje usluge dnevni boravak</w:t>
      </w:r>
      <w:r w:rsidR="00B627E1">
        <w:rPr>
          <w:rFonts w:cs="Arial"/>
          <w:bCs/>
          <w:sz w:val="24"/>
          <w:szCs w:val="24"/>
          <w:lang w:val="sr-Latn-ME"/>
        </w:rPr>
        <w:t xml:space="preserve">. </w:t>
      </w:r>
    </w:p>
    <w:p w14:paraId="79D99AFA" w14:textId="77777777" w:rsidR="005539C8" w:rsidRDefault="005539C8" w:rsidP="00780738">
      <w:pPr>
        <w:jc w:val="both"/>
        <w:rPr>
          <w:rFonts w:cs="Arial"/>
          <w:bCs/>
          <w:sz w:val="24"/>
          <w:szCs w:val="24"/>
          <w:lang w:val="sr-Latn-ME"/>
        </w:rPr>
      </w:pPr>
    </w:p>
    <w:p w14:paraId="2C1B6C2C" w14:textId="77777777" w:rsidR="005539C8" w:rsidRPr="005539C8" w:rsidRDefault="005539C8" w:rsidP="00780738">
      <w:pPr>
        <w:spacing w:after="160"/>
        <w:jc w:val="both"/>
        <w:rPr>
          <w:rFonts w:cs="Arial"/>
          <w:sz w:val="24"/>
          <w:szCs w:val="24"/>
        </w:rPr>
      </w:pPr>
      <w:r w:rsidRPr="005539C8">
        <w:rPr>
          <w:rFonts w:cs="Arial"/>
          <w:sz w:val="24"/>
          <w:szCs w:val="24"/>
        </w:rPr>
        <w:t xml:space="preserve">Ukupan broj </w:t>
      </w:r>
      <w:r w:rsidR="00EB2F1D">
        <w:rPr>
          <w:rFonts w:cs="Arial"/>
          <w:sz w:val="24"/>
          <w:szCs w:val="24"/>
        </w:rPr>
        <w:t>korisnika/korisnica</w:t>
      </w:r>
      <w:r w:rsidRPr="005539C8">
        <w:rPr>
          <w:rFonts w:cs="Arial"/>
          <w:sz w:val="24"/>
          <w:szCs w:val="24"/>
        </w:rPr>
        <w:t xml:space="preserve"> na kraju 2023. godine je 818. Broj </w:t>
      </w:r>
      <w:r w:rsidR="00EB2F1D">
        <w:rPr>
          <w:rFonts w:cs="Arial"/>
          <w:sz w:val="24"/>
          <w:szCs w:val="24"/>
        </w:rPr>
        <w:t>korisnika/korisnica</w:t>
      </w:r>
      <w:r w:rsidRPr="005539C8">
        <w:rPr>
          <w:rFonts w:cs="Arial"/>
          <w:sz w:val="24"/>
          <w:szCs w:val="24"/>
        </w:rPr>
        <w:t xml:space="preserve"> smještenih tokom 2023. godine je 595, a broj </w:t>
      </w:r>
      <w:r w:rsidR="00EB2F1D">
        <w:rPr>
          <w:rFonts w:cs="Arial"/>
          <w:sz w:val="24"/>
          <w:szCs w:val="24"/>
        </w:rPr>
        <w:t>korisnika/korisnica</w:t>
      </w:r>
      <w:r w:rsidRPr="005539C8">
        <w:rPr>
          <w:rFonts w:cs="Arial"/>
          <w:sz w:val="24"/>
          <w:szCs w:val="24"/>
        </w:rPr>
        <w:t xml:space="preserve"> kojima je prestao smještaj tokom 2023. godine je 309. Popunjenost kapaciteta nam govori da ne postoji više stigma kada je u pitanju domski smještaj, te da porodica sve manje može da odgovori na rastuće potrebe starijih, da stariji žele da imaju vršnjačku socijalizaciju i dugoročnu zdravstvenu njegu i da će uvijek biti određen broj </w:t>
      </w:r>
      <w:r w:rsidR="00EB2F1D">
        <w:rPr>
          <w:rFonts w:cs="Arial"/>
          <w:sz w:val="24"/>
          <w:szCs w:val="24"/>
        </w:rPr>
        <w:t>korisnika/korisnica</w:t>
      </w:r>
      <w:r w:rsidRPr="005539C8">
        <w:rPr>
          <w:rFonts w:cs="Arial"/>
          <w:sz w:val="24"/>
          <w:szCs w:val="24"/>
        </w:rPr>
        <w:t xml:space="preserve"> koji</w:t>
      </w:r>
      <w:r w:rsidR="00157358">
        <w:rPr>
          <w:rFonts w:cs="Arial"/>
          <w:sz w:val="24"/>
          <w:szCs w:val="24"/>
        </w:rPr>
        <w:t>/</w:t>
      </w:r>
      <w:r w:rsidR="000B2A93">
        <w:rPr>
          <w:rFonts w:cs="Arial"/>
          <w:sz w:val="24"/>
          <w:szCs w:val="24"/>
        </w:rPr>
        <w:t>koj</w:t>
      </w:r>
      <w:r w:rsidR="00157358">
        <w:rPr>
          <w:rFonts w:cs="Arial"/>
          <w:sz w:val="24"/>
          <w:szCs w:val="24"/>
        </w:rPr>
        <w:t>e</w:t>
      </w:r>
      <w:r w:rsidRPr="005539C8">
        <w:rPr>
          <w:rFonts w:cs="Arial"/>
          <w:sz w:val="24"/>
          <w:szCs w:val="24"/>
        </w:rPr>
        <w:t xml:space="preserve"> i pored razvoja usluga u zajedn</w:t>
      </w:r>
      <w:r w:rsidR="000B2A93">
        <w:rPr>
          <w:rFonts w:cs="Arial"/>
          <w:sz w:val="24"/>
          <w:szCs w:val="24"/>
        </w:rPr>
        <w:t>i</w:t>
      </w:r>
      <w:r w:rsidRPr="005539C8">
        <w:rPr>
          <w:rFonts w:cs="Arial"/>
          <w:sz w:val="24"/>
          <w:szCs w:val="24"/>
        </w:rPr>
        <w:t>ci neće svoje potrebe, prije svega zdravstvene prirode</w:t>
      </w:r>
      <w:r w:rsidR="000B2A93">
        <w:rPr>
          <w:rFonts w:cs="Arial"/>
          <w:sz w:val="24"/>
          <w:szCs w:val="24"/>
        </w:rPr>
        <w:t>,</w:t>
      </w:r>
      <w:r w:rsidRPr="005539C8">
        <w:rPr>
          <w:rFonts w:cs="Arial"/>
          <w:sz w:val="24"/>
          <w:szCs w:val="24"/>
        </w:rPr>
        <w:t xml:space="preserve"> moći da zadovolje u kućnim uslovima, nego će im biti neophodan institucionalni smj</w:t>
      </w:r>
      <w:r w:rsidR="000B2A93">
        <w:rPr>
          <w:rFonts w:cs="Arial"/>
          <w:sz w:val="24"/>
          <w:szCs w:val="24"/>
        </w:rPr>
        <w:t>e</w:t>
      </w:r>
      <w:r w:rsidRPr="005539C8">
        <w:rPr>
          <w:rFonts w:cs="Arial"/>
          <w:sz w:val="24"/>
          <w:szCs w:val="24"/>
        </w:rPr>
        <w:t>štaj.  Dominiraju korisnici</w:t>
      </w:r>
      <w:r w:rsidR="00157358">
        <w:rPr>
          <w:rFonts w:cs="Arial"/>
          <w:sz w:val="24"/>
          <w:szCs w:val="24"/>
        </w:rPr>
        <w:t>/</w:t>
      </w:r>
      <w:r w:rsidR="000B2A93">
        <w:rPr>
          <w:rFonts w:cs="Arial"/>
          <w:sz w:val="24"/>
          <w:szCs w:val="24"/>
        </w:rPr>
        <w:t>korisnic</w:t>
      </w:r>
      <w:r w:rsidR="00157358">
        <w:rPr>
          <w:rFonts w:cs="Arial"/>
          <w:sz w:val="24"/>
          <w:szCs w:val="24"/>
        </w:rPr>
        <w:t>e</w:t>
      </w:r>
      <w:r w:rsidRPr="005539C8">
        <w:rPr>
          <w:rFonts w:cs="Arial"/>
          <w:sz w:val="24"/>
          <w:szCs w:val="24"/>
        </w:rPr>
        <w:t xml:space="preserve"> starosti od 65 do 79 godina i to 39,49%</w:t>
      </w:r>
      <w:r w:rsidR="000B2A93">
        <w:rPr>
          <w:rFonts w:cs="Arial"/>
          <w:sz w:val="24"/>
          <w:szCs w:val="24"/>
        </w:rPr>
        <w:t>,</w:t>
      </w:r>
      <w:r w:rsidRPr="005539C8">
        <w:rPr>
          <w:rFonts w:cs="Arial"/>
          <w:sz w:val="24"/>
          <w:szCs w:val="24"/>
        </w:rPr>
        <w:t xml:space="preserve"> kao i korisnici</w:t>
      </w:r>
      <w:r w:rsidR="00157358">
        <w:rPr>
          <w:rFonts w:cs="Arial"/>
          <w:sz w:val="24"/>
          <w:szCs w:val="24"/>
        </w:rPr>
        <w:t>/</w:t>
      </w:r>
      <w:r w:rsidR="000B2A93">
        <w:rPr>
          <w:rFonts w:cs="Arial"/>
          <w:sz w:val="24"/>
          <w:szCs w:val="24"/>
        </w:rPr>
        <w:t>korisnic</w:t>
      </w:r>
      <w:r w:rsidR="00157358">
        <w:rPr>
          <w:rFonts w:cs="Arial"/>
          <w:sz w:val="24"/>
          <w:szCs w:val="24"/>
        </w:rPr>
        <w:t>e</w:t>
      </w:r>
      <w:r w:rsidR="002542E0">
        <w:rPr>
          <w:rFonts w:cs="Arial"/>
          <w:sz w:val="24"/>
          <w:szCs w:val="24"/>
        </w:rPr>
        <w:t xml:space="preserve"> preko 80 godina i to 39,00%</w:t>
      </w:r>
      <w:r w:rsidRPr="005539C8">
        <w:rPr>
          <w:rFonts w:cs="Arial"/>
          <w:sz w:val="24"/>
          <w:szCs w:val="24"/>
        </w:rPr>
        <w:t>, zatim korisnici</w:t>
      </w:r>
      <w:r w:rsidR="00157358">
        <w:rPr>
          <w:rFonts w:cs="Arial"/>
          <w:sz w:val="24"/>
          <w:szCs w:val="24"/>
        </w:rPr>
        <w:t>/</w:t>
      </w:r>
      <w:r w:rsidR="000B2A93">
        <w:rPr>
          <w:rFonts w:cs="Arial"/>
          <w:sz w:val="24"/>
          <w:szCs w:val="24"/>
        </w:rPr>
        <w:t>korisnic</w:t>
      </w:r>
      <w:r w:rsidR="00157358">
        <w:rPr>
          <w:rFonts w:cs="Arial"/>
          <w:sz w:val="24"/>
          <w:szCs w:val="24"/>
        </w:rPr>
        <w:t>e</w:t>
      </w:r>
      <w:r w:rsidRPr="005539C8">
        <w:rPr>
          <w:rFonts w:cs="Arial"/>
          <w:sz w:val="24"/>
          <w:szCs w:val="24"/>
        </w:rPr>
        <w:t xml:space="preserve"> od 51 do 64 godine starosti 17,36%.  Korisnici</w:t>
      </w:r>
      <w:r w:rsidR="00157358">
        <w:rPr>
          <w:rFonts w:cs="Arial"/>
          <w:sz w:val="24"/>
          <w:szCs w:val="24"/>
        </w:rPr>
        <w:t>/</w:t>
      </w:r>
      <w:r w:rsidR="000B2A93">
        <w:rPr>
          <w:rFonts w:cs="Arial"/>
          <w:sz w:val="24"/>
          <w:szCs w:val="24"/>
        </w:rPr>
        <w:t>korisnic</w:t>
      </w:r>
      <w:r w:rsidR="00157358">
        <w:rPr>
          <w:rFonts w:cs="Arial"/>
          <w:sz w:val="24"/>
          <w:szCs w:val="24"/>
        </w:rPr>
        <w:t>e</w:t>
      </w:r>
      <w:r w:rsidRPr="005539C8">
        <w:rPr>
          <w:rFonts w:cs="Arial"/>
          <w:sz w:val="24"/>
          <w:szCs w:val="24"/>
        </w:rPr>
        <w:t xml:space="preserve"> koji</w:t>
      </w:r>
      <w:r w:rsidR="00157358">
        <w:rPr>
          <w:rFonts w:cs="Arial"/>
          <w:sz w:val="24"/>
          <w:szCs w:val="24"/>
        </w:rPr>
        <w:t>/</w:t>
      </w:r>
      <w:r w:rsidR="000B2A93">
        <w:rPr>
          <w:rFonts w:cs="Arial"/>
          <w:sz w:val="24"/>
          <w:szCs w:val="24"/>
        </w:rPr>
        <w:t>koj</w:t>
      </w:r>
      <w:r w:rsidR="00157358">
        <w:rPr>
          <w:rFonts w:cs="Arial"/>
          <w:sz w:val="24"/>
          <w:szCs w:val="24"/>
        </w:rPr>
        <w:t>e</w:t>
      </w:r>
      <w:r w:rsidRPr="005539C8">
        <w:rPr>
          <w:rFonts w:cs="Arial"/>
          <w:sz w:val="24"/>
          <w:szCs w:val="24"/>
        </w:rPr>
        <w:t xml:space="preserve"> su mlađi</w:t>
      </w:r>
      <w:r w:rsidR="00157358">
        <w:rPr>
          <w:rFonts w:cs="Arial"/>
          <w:sz w:val="24"/>
          <w:szCs w:val="24"/>
        </w:rPr>
        <w:t>/</w:t>
      </w:r>
      <w:r w:rsidR="000B2A93">
        <w:rPr>
          <w:rFonts w:cs="Arial"/>
          <w:sz w:val="24"/>
          <w:szCs w:val="24"/>
        </w:rPr>
        <w:t>mlađ</w:t>
      </w:r>
      <w:r w:rsidR="00157358">
        <w:rPr>
          <w:rFonts w:cs="Arial"/>
          <w:sz w:val="24"/>
          <w:szCs w:val="24"/>
        </w:rPr>
        <w:t>e</w:t>
      </w:r>
      <w:r w:rsidRPr="005539C8">
        <w:rPr>
          <w:rFonts w:cs="Arial"/>
          <w:sz w:val="24"/>
          <w:szCs w:val="24"/>
        </w:rPr>
        <w:t xml:space="preserve"> od 50 godina zastupljeni</w:t>
      </w:r>
      <w:r w:rsidR="00157358">
        <w:rPr>
          <w:rFonts w:cs="Arial"/>
          <w:sz w:val="24"/>
          <w:szCs w:val="24"/>
        </w:rPr>
        <w:t>/</w:t>
      </w:r>
      <w:r w:rsidR="000B2A93">
        <w:rPr>
          <w:rFonts w:cs="Arial"/>
          <w:sz w:val="24"/>
          <w:szCs w:val="24"/>
        </w:rPr>
        <w:t>zastupljen</w:t>
      </w:r>
      <w:r w:rsidR="00157358">
        <w:rPr>
          <w:rFonts w:cs="Arial"/>
          <w:sz w:val="24"/>
          <w:szCs w:val="24"/>
        </w:rPr>
        <w:t>e</w:t>
      </w:r>
      <w:r w:rsidRPr="005539C8">
        <w:rPr>
          <w:rFonts w:cs="Arial"/>
          <w:sz w:val="24"/>
          <w:szCs w:val="24"/>
        </w:rPr>
        <w:t xml:space="preserve"> su s 4,16%. U ustanovama dominiraju žen</w:t>
      </w:r>
      <w:r w:rsidR="002542E0">
        <w:rPr>
          <w:rFonts w:cs="Arial"/>
          <w:sz w:val="24"/>
          <w:szCs w:val="24"/>
        </w:rPr>
        <w:t>e.  Evidentne su razlike između muškaraca</w:t>
      </w:r>
      <w:r w:rsidR="000B2A93">
        <w:rPr>
          <w:rFonts w:cs="Arial"/>
          <w:sz w:val="24"/>
          <w:szCs w:val="24"/>
        </w:rPr>
        <w:t xml:space="preserve"> i</w:t>
      </w:r>
      <w:r w:rsidR="002542E0">
        <w:rPr>
          <w:rFonts w:cs="Arial"/>
          <w:sz w:val="24"/>
          <w:szCs w:val="24"/>
        </w:rPr>
        <w:t xml:space="preserve"> </w:t>
      </w:r>
      <w:r w:rsidRPr="005539C8">
        <w:rPr>
          <w:rFonts w:cs="Arial"/>
          <w:sz w:val="24"/>
          <w:szCs w:val="24"/>
        </w:rPr>
        <w:t xml:space="preserve">žena, žene duže žive, češće su udovice, imaju niže obrazovanje od muškaraca.  Oko 50% </w:t>
      </w:r>
      <w:r w:rsidR="00EB2F1D">
        <w:rPr>
          <w:rFonts w:cs="Arial"/>
          <w:sz w:val="24"/>
          <w:szCs w:val="24"/>
        </w:rPr>
        <w:t>korisnika/korisnica</w:t>
      </w:r>
      <w:r w:rsidR="002542E0">
        <w:rPr>
          <w:rFonts w:cs="Arial"/>
          <w:sz w:val="24"/>
          <w:szCs w:val="24"/>
        </w:rPr>
        <w:t xml:space="preserve"> </w:t>
      </w:r>
      <w:r w:rsidRPr="005539C8">
        <w:rPr>
          <w:rFonts w:cs="Arial"/>
          <w:sz w:val="24"/>
          <w:szCs w:val="24"/>
        </w:rPr>
        <w:t>prije smještaja su živjeli</w:t>
      </w:r>
      <w:r w:rsidR="00157358">
        <w:rPr>
          <w:rFonts w:cs="Arial"/>
          <w:sz w:val="24"/>
          <w:szCs w:val="24"/>
        </w:rPr>
        <w:t>/</w:t>
      </w:r>
      <w:r w:rsidR="000B2A93">
        <w:rPr>
          <w:rFonts w:cs="Arial"/>
          <w:sz w:val="24"/>
          <w:szCs w:val="24"/>
        </w:rPr>
        <w:t>živjel</w:t>
      </w:r>
      <w:r w:rsidR="00157358">
        <w:rPr>
          <w:rFonts w:cs="Arial"/>
          <w:sz w:val="24"/>
          <w:szCs w:val="24"/>
        </w:rPr>
        <w:t>e</w:t>
      </w:r>
      <w:r w:rsidRPr="005539C8">
        <w:rPr>
          <w:rFonts w:cs="Arial"/>
          <w:sz w:val="24"/>
          <w:szCs w:val="24"/>
        </w:rPr>
        <w:t xml:space="preserve"> sami</w:t>
      </w:r>
      <w:r w:rsidR="00157358">
        <w:rPr>
          <w:rFonts w:cs="Arial"/>
          <w:sz w:val="24"/>
          <w:szCs w:val="24"/>
        </w:rPr>
        <w:t>/</w:t>
      </w:r>
      <w:r w:rsidR="000B2A93">
        <w:rPr>
          <w:rFonts w:cs="Arial"/>
          <w:sz w:val="24"/>
          <w:szCs w:val="24"/>
        </w:rPr>
        <w:t>sam</w:t>
      </w:r>
      <w:r w:rsidR="00157358">
        <w:rPr>
          <w:rFonts w:cs="Arial"/>
          <w:sz w:val="24"/>
          <w:szCs w:val="24"/>
        </w:rPr>
        <w:t>e</w:t>
      </w:r>
      <w:r w:rsidRPr="005539C8">
        <w:rPr>
          <w:rFonts w:cs="Arial"/>
          <w:sz w:val="24"/>
          <w:szCs w:val="24"/>
        </w:rPr>
        <w:t xml:space="preserve">. Najveći broj </w:t>
      </w:r>
      <w:r w:rsidR="00EB2F1D">
        <w:rPr>
          <w:rFonts w:cs="Arial"/>
          <w:sz w:val="24"/>
          <w:szCs w:val="24"/>
        </w:rPr>
        <w:t>korisnika/korisnica</w:t>
      </w:r>
      <w:r w:rsidRPr="005539C8">
        <w:rPr>
          <w:rFonts w:cs="Arial"/>
          <w:sz w:val="24"/>
          <w:szCs w:val="24"/>
        </w:rPr>
        <w:t xml:space="preserve"> 44,01% je sa srednjim obrazovanjem, 76,53% imaju penziju. Najveći broj </w:t>
      </w:r>
      <w:r w:rsidR="00EB2F1D">
        <w:rPr>
          <w:rFonts w:cs="Arial"/>
          <w:sz w:val="24"/>
          <w:szCs w:val="24"/>
        </w:rPr>
        <w:t>korisnika/korisnica</w:t>
      </w:r>
      <w:r w:rsidRPr="005539C8">
        <w:rPr>
          <w:rFonts w:cs="Arial"/>
          <w:sz w:val="24"/>
          <w:szCs w:val="24"/>
        </w:rPr>
        <w:t xml:space="preserve"> i to 23,59% finansira smještaj jednim dijelom iz </w:t>
      </w:r>
      <w:r w:rsidRPr="005539C8">
        <w:rPr>
          <w:rFonts w:cs="Arial"/>
          <w:sz w:val="24"/>
          <w:szCs w:val="24"/>
        </w:rPr>
        <w:lastRenderedPageBreak/>
        <w:t>svojih sredstava</w:t>
      </w:r>
      <w:r w:rsidR="000B2A93">
        <w:rPr>
          <w:rFonts w:cs="Arial"/>
          <w:sz w:val="24"/>
          <w:szCs w:val="24"/>
        </w:rPr>
        <w:t>,</w:t>
      </w:r>
      <w:r w:rsidRPr="005539C8">
        <w:rPr>
          <w:rFonts w:cs="Arial"/>
          <w:sz w:val="24"/>
          <w:szCs w:val="24"/>
        </w:rPr>
        <w:t xml:space="preserve"> plus dijelom srodnici. Dominantni razlog smještaja je lični izbor k</w:t>
      </w:r>
      <w:r w:rsidR="00B53B8D">
        <w:rPr>
          <w:rFonts w:cs="Arial"/>
          <w:sz w:val="24"/>
          <w:szCs w:val="24"/>
        </w:rPr>
        <w:t>orisnika/korisnice</w:t>
      </w:r>
      <w:r w:rsidRPr="005539C8">
        <w:rPr>
          <w:rFonts w:cs="Arial"/>
          <w:sz w:val="24"/>
          <w:szCs w:val="24"/>
        </w:rPr>
        <w:t xml:space="preserve"> i to 29,58%. </w:t>
      </w:r>
    </w:p>
    <w:p w14:paraId="3311977F" w14:textId="77777777" w:rsidR="005539C8" w:rsidRPr="005539C8" w:rsidRDefault="005539C8" w:rsidP="00780738">
      <w:pPr>
        <w:spacing w:after="160"/>
        <w:jc w:val="both"/>
        <w:rPr>
          <w:rFonts w:cs="Arial"/>
          <w:sz w:val="24"/>
          <w:szCs w:val="24"/>
        </w:rPr>
      </w:pPr>
      <w:r w:rsidRPr="005539C8">
        <w:rPr>
          <w:rFonts w:cs="Arial"/>
          <w:sz w:val="24"/>
          <w:szCs w:val="24"/>
        </w:rPr>
        <w:t xml:space="preserve">Ukupan broj </w:t>
      </w:r>
      <w:r w:rsidR="00EB2F1D">
        <w:rPr>
          <w:rFonts w:cs="Arial"/>
          <w:sz w:val="24"/>
          <w:szCs w:val="24"/>
        </w:rPr>
        <w:t>korisnika/korisnica</w:t>
      </w:r>
      <w:r w:rsidRPr="005539C8">
        <w:rPr>
          <w:rFonts w:cs="Arial"/>
          <w:sz w:val="24"/>
          <w:szCs w:val="24"/>
        </w:rPr>
        <w:t xml:space="preserve"> kojima je tokom 2023. godine prestao smještaj je 309 ili 37,78% ukupne populacije </w:t>
      </w:r>
      <w:r w:rsidR="00EB2F1D">
        <w:rPr>
          <w:rFonts w:cs="Arial"/>
          <w:sz w:val="24"/>
          <w:szCs w:val="24"/>
        </w:rPr>
        <w:t>korisnika/korisnica</w:t>
      </w:r>
      <w:r w:rsidRPr="005539C8">
        <w:rPr>
          <w:rFonts w:cs="Arial"/>
          <w:sz w:val="24"/>
          <w:szCs w:val="24"/>
        </w:rPr>
        <w:t>. Najčešći razlog prestanka smještaja je smrt k</w:t>
      </w:r>
      <w:r w:rsidR="00B53B8D">
        <w:rPr>
          <w:rFonts w:cs="Arial"/>
          <w:sz w:val="24"/>
          <w:szCs w:val="24"/>
        </w:rPr>
        <w:t>orisnika/korisnice</w:t>
      </w:r>
      <w:r w:rsidRPr="005539C8">
        <w:rPr>
          <w:rFonts w:cs="Arial"/>
          <w:sz w:val="24"/>
          <w:szCs w:val="24"/>
        </w:rPr>
        <w:t xml:space="preserve"> i to 196 </w:t>
      </w:r>
      <w:r w:rsidR="00EB2F1D">
        <w:rPr>
          <w:rFonts w:cs="Arial"/>
          <w:sz w:val="24"/>
          <w:szCs w:val="24"/>
        </w:rPr>
        <w:t>korisnika/korisnica</w:t>
      </w:r>
      <w:r w:rsidRPr="005539C8">
        <w:rPr>
          <w:rFonts w:cs="Arial"/>
          <w:sz w:val="24"/>
          <w:szCs w:val="24"/>
        </w:rPr>
        <w:t xml:space="preserve"> ili 63,43%. Domski smještaj je usluga koju k</w:t>
      </w:r>
      <w:r w:rsidR="00017587">
        <w:rPr>
          <w:rFonts w:cs="Arial"/>
          <w:sz w:val="24"/>
          <w:szCs w:val="24"/>
        </w:rPr>
        <w:t>orisnik/korisnica</w:t>
      </w:r>
      <w:r w:rsidRPr="005539C8">
        <w:rPr>
          <w:rFonts w:cs="Arial"/>
          <w:sz w:val="24"/>
          <w:szCs w:val="24"/>
        </w:rPr>
        <w:t xml:space="preserve"> i porodica biraju kao trajni vid zbrinjavanja. Zato je i mali broj </w:t>
      </w:r>
      <w:r w:rsidR="00EB2F1D">
        <w:rPr>
          <w:rFonts w:cs="Arial"/>
          <w:sz w:val="24"/>
          <w:szCs w:val="24"/>
        </w:rPr>
        <w:t>korisnika/korisnica</w:t>
      </w:r>
      <w:r w:rsidR="000B2A93">
        <w:rPr>
          <w:rFonts w:cs="Arial"/>
          <w:sz w:val="24"/>
          <w:szCs w:val="24"/>
        </w:rPr>
        <w:t>,</w:t>
      </w:r>
      <w:r w:rsidRPr="005539C8">
        <w:rPr>
          <w:rFonts w:cs="Arial"/>
          <w:sz w:val="24"/>
          <w:szCs w:val="24"/>
        </w:rPr>
        <w:t xml:space="preserve"> 28 ili 9,06%</w:t>
      </w:r>
      <w:r w:rsidR="000B2A93">
        <w:rPr>
          <w:rFonts w:cs="Arial"/>
          <w:sz w:val="24"/>
          <w:szCs w:val="24"/>
        </w:rPr>
        <w:t>,</w:t>
      </w:r>
      <w:r w:rsidRPr="005539C8">
        <w:rPr>
          <w:rFonts w:cs="Arial"/>
          <w:sz w:val="24"/>
          <w:szCs w:val="24"/>
        </w:rPr>
        <w:t xml:space="preserve"> koji odluče da se vrate u svoju porodicu. K</w:t>
      </w:r>
      <w:r w:rsidR="00B53B8D">
        <w:rPr>
          <w:rFonts w:cs="Arial"/>
          <w:sz w:val="24"/>
          <w:szCs w:val="24"/>
        </w:rPr>
        <w:t>orisnici/korisnice</w:t>
      </w:r>
      <w:r w:rsidRPr="005539C8">
        <w:rPr>
          <w:rFonts w:cs="Arial"/>
          <w:sz w:val="24"/>
          <w:szCs w:val="24"/>
        </w:rPr>
        <w:t xml:space="preserve"> koji</w:t>
      </w:r>
      <w:r w:rsidR="00157358">
        <w:rPr>
          <w:rFonts w:cs="Arial"/>
          <w:sz w:val="24"/>
          <w:szCs w:val="24"/>
        </w:rPr>
        <w:t>/</w:t>
      </w:r>
      <w:r w:rsidR="000B2A93">
        <w:rPr>
          <w:rFonts w:cs="Arial"/>
          <w:sz w:val="24"/>
          <w:szCs w:val="24"/>
        </w:rPr>
        <w:t>koj</w:t>
      </w:r>
      <w:r w:rsidR="00157358">
        <w:rPr>
          <w:rFonts w:cs="Arial"/>
          <w:sz w:val="24"/>
          <w:szCs w:val="24"/>
        </w:rPr>
        <w:t>e</w:t>
      </w:r>
      <w:r w:rsidRPr="005539C8">
        <w:rPr>
          <w:rFonts w:cs="Arial"/>
          <w:sz w:val="24"/>
          <w:szCs w:val="24"/>
        </w:rPr>
        <w:t xml:space="preserve"> su premješteni</w:t>
      </w:r>
      <w:r w:rsidR="00157358">
        <w:rPr>
          <w:rFonts w:cs="Arial"/>
          <w:sz w:val="24"/>
          <w:szCs w:val="24"/>
        </w:rPr>
        <w:t>/</w:t>
      </w:r>
      <w:r w:rsidR="000B2A93">
        <w:rPr>
          <w:rFonts w:cs="Arial"/>
          <w:sz w:val="24"/>
          <w:szCs w:val="24"/>
        </w:rPr>
        <w:t>premješten</w:t>
      </w:r>
      <w:r w:rsidR="00157358">
        <w:rPr>
          <w:rFonts w:cs="Arial"/>
          <w:sz w:val="24"/>
          <w:szCs w:val="24"/>
        </w:rPr>
        <w:t>e</w:t>
      </w:r>
      <w:r w:rsidRPr="005539C8">
        <w:rPr>
          <w:rFonts w:cs="Arial"/>
          <w:sz w:val="24"/>
          <w:szCs w:val="24"/>
        </w:rPr>
        <w:t xml:space="preserve"> u drugu ustanovu tokom godine bilo je 54 ili 17,48%. Na lični zahtjev je </w:t>
      </w:r>
      <w:r w:rsidR="000B2A93" w:rsidRPr="005539C8">
        <w:rPr>
          <w:rFonts w:cs="Arial"/>
          <w:sz w:val="24"/>
          <w:szCs w:val="24"/>
        </w:rPr>
        <w:t xml:space="preserve">ustanove </w:t>
      </w:r>
      <w:r w:rsidRPr="005539C8">
        <w:rPr>
          <w:rFonts w:cs="Arial"/>
          <w:sz w:val="24"/>
          <w:szCs w:val="24"/>
        </w:rPr>
        <w:t xml:space="preserve">napustilo 28 </w:t>
      </w:r>
      <w:r w:rsidR="00EB2F1D">
        <w:rPr>
          <w:rFonts w:cs="Arial"/>
          <w:sz w:val="24"/>
          <w:szCs w:val="24"/>
        </w:rPr>
        <w:t>korisnika/korisnica</w:t>
      </w:r>
      <w:r w:rsidRPr="005539C8">
        <w:rPr>
          <w:rFonts w:cs="Arial"/>
          <w:sz w:val="24"/>
          <w:szCs w:val="24"/>
        </w:rPr>
        <w:t xml:space="preserve"> ili 9,06%. Nema nijednog slučaja da je k</w:t>
      </w:r>
      <w:r w:rsidR="00017587">
        <w:rPr>
          <w:rFonts w:cs="Arial"/>
          <w:sz w:val="24"/>
          <w:szCs w:val="24"/>
        </w:rPr>
        <w:t>orisnik/korisnica</w:t>
      </w:r>
      <w:r w:rsidRPr="005539C8">
        <w:rPr>
          <w:rFonts w:cs="Arial"/>
          <w:sz w:val="24"/>
          <w:szCs w:val="24"/>
        </w:rPr>
        <w:t xml:space="preserve"> upućen</w:t>
      </w:r>
      <w:r w:rsidR="008E1855">
        <w:rPr>
          <w:rFonts w:cs="Arial"/>
          <w:sz w:val="24"/>
          <w:szCs w:val="24"/>
        </w:rPr>
        <w:t>/a</w:t>
      </w:r>
      <w:r w:rsidRPr="005539C8">
        <w:rPr>
          <w:rFonts w:cs="Arial"/>
          <w:sz w:val="24"/>
          <w:szCs w:val="24"/>
        </w:rPr>
        <w:t xml:space="preserve"> na uslugu porodičnog smještaja. </w:t>
      </w:r>
    </w:p>
    <w:p w14:paraId="44EDAFDD" w14:textId="77777777" w:rsidR="005539C8" w:rsidRPr="00E35D8F" w:rsidRDefault="00780738" w:rsidP="005539C8">
      <w:pPr>
        <w:spacing w:after="160" w:line="360" w:lineRule="auto"/>
        <w:rPr>
          <w:rFonts w:cs="Arial"/>
          <w:b/>
          <w:i/>
          <w:sz w:val="24"/>
          <w:szCs w:val="24"/>
        </w:rPr>
      </w:pPr>
      <w:r>
        <w:rPr>
          <w:rFonts w:cs="Arial"/>
          <w:b/>
          <w:i/>
          <w:sz w:val="24"/>
          <w:szCs w:val="24"/>
        </w:rPr>
        <w:t>Grafik</w:t>
      </w:r>
      <w:r w:rsidR="003E69C5">
        <w:rPr>
          <w:rFonts w:cs="Arial"/>
          <w:b/>
          <w:i/>
          <w:sz w:val="24"/>
          <w:szCs w:val="24"/>
        </w:rPr>
        <w:t>on</w:t>
      </w:r>
      <w:r>
        <w:rPr>
          <w:rFonts w:cs="Arial"/>
          <w:b/>
          <w:i/>
          <w:sz w:val="24"/>
          <w:szCs w:val="24"/>
        </w:rPr>
        <w:t xml:space="preserve"> br</w:t>
      </w:r>
      <w:r w:rsidR="00CC512A">
        <w:rPr>
          <w:rFonts w:cs="Arial"/>
          <w:b/>
          <w:i/>
          <w:sz w:val="24"/>
          <w:szCs w:val="24"/>
        </w:rPr>
        <w:t xml:space="preserve">. </w:t>
      </w:r>
      <w:r>
        <w:rPr>
          <w:rFonts w:cs="Arial"/>
          <w:b/>
          <w:i/>
          <w:sz w:val="24"/>
          <w:szCs w:val="24"/>
        </w:rPr>
        <w:t>7</w:t>
      </w:r>
      <w:r w:rsidR="00E35D8F" w:rsidRPr="00E35D8F">
        <w:rPr>
          <w:rFonts w:cs="Arial"/>
          <w:b/>
          <w:i/>
          <w:sz w:val="24"/>
          <w:szCs w:val="24"/>
        </w:rPr>
        <w:t xml:space="preserve">   Prikaz </w:t>
      </w:r>
      <w:r w:rsidR="00EB2F1D">
        <w:rPr>
          <w:rFonts w:cs="Arial"/>
          <w:b/>
          <w:i/>
          <w:sz w:val="24"/>
          <w:szCs w:val="24"/>
        </w:rPr>
        <w:t>korisnika/korisnica</w:t>
      </w:r>
      <w:r w:rsidR="00E35D8F" w:rsidRPr="00E35D8F">
        <w:rPr>
          <w:rFonts w:cs="Arial"/>
          <w:b/>
          <w:i/>
          <w:sz w:val="24"/>
          <w:szCs w:val="24"/>
        </w:rPr>
        <w:t xml:space="preserve"> prema vrsti invaliditeta</w:t>
      </w:r>
    </w:p>
    <w:p w14:paraId="6D808B1F" w14:textId="77777777" w:rsidR="005539C8" w:rsidRPr="005539C8" w:rsidRDefault="005539C8" w:rsidP="005539C8">
      <w:pPr>
        <w:spacing w:after="160" w:line="360" w:lineRule="auto"/>
        <w:rPr>
          <w:rFonts w:asciiTheme="minorHAnsi" w:hAnsiTheme="minorHAnsi"/>
          <w:sz w:val="28"/>
          <w:szCs w:val="28"/>
        </w:rPr>
      </w:pPr>
      <w:r w:rsidRPr="005539C8">
        <w:rPr>
          <w:rFonts w:ascii="Times New Roman" w:hAnsi="Times New Roman" w:cs="Times New Roman"/>
          <w:noProof/>
          <w:sz w:val="28"/>
          <w:szCs w:val="28"/>
          <w:lang w:val="sr-Latn-ME" w:eastAsia="sr-Latn-ME"/>
        </w:rPr>
        <w:drawing>
          <wp:inline distT="0" distB="0" distL="0" distR="0" wp14:anchorId="5F325C4A" wp14:editId="2A0B7D78">
            <wp:extent cx="5876925" cy="23145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7661C4B" w14:textId="77777777" w:rsidR="005539C8" w:rsidRPr="005539C8" w:rsidRDefault="005539C8" w:rsidP="00780738">
      <w:pPr>
        <w:spacing w:after="160"/>
        <w:jc w:val="both"/>
        <w:rPr>
          <w:rFonts w:cs="Arial"/>
          <w:sz w:val="24"/>
          <w:szCs w:val="24"/>
        </w:rPr>
      </w:pPr>
      <w:r w:rsidRPr="005539C8">
        <w:rPr>
          <w:rFonts w:cs="Arial"/>
          <w:sz w:val="24"/>
          <w:szCs w:val="24"/>
        </w:rPr>
        <w:t xml:space="preserve">Sa stanovišta zbrinjavanja </w:t>
      </w:r>
      <w:r w:rsidR="00EB2F1D">
        <w:rPr>
          <w:rFonts w:cs="Arial"/>
          <w:sz w:val="24"/>
          <w:szCs w:val="24"/>
        </w:rPr>
        <w:t>korisnika/korisnica</w:t>
      </w:r>
      <w:r w:rsidRPr="005539C8">
        <w:rPr>
          <w:rFonts w:cs="Arial"/>
          <w:sz w:val="24"/>
          <w:szCs w:val="24"/>
        </w:rPr>
        <w:t xml:space="preserve"> i organizovanja svakodnevnog života u ustanovama, podaci o vrsti invaliditeta i stanja mentalnog zdravlja su indikatori od presudnog značaja. Od 818 </w:t>
      </w:r>
      <w:r w:rsidR="00EB2F1D">
        <w:rPr>
          <w:rFonts w:cs="Arial"/>
          <w:sz w:val="24"/>
          <w:szCs w:val="24"/>
        </w:rPr>
        <w:t>korisnika/korisnica</w:t>
      </w:r>
      <w:r w:rsidRPr="005539C8">
        <w:rPr>
          <w:rFonts w:cs="Arial"/>
          <w:sz w:val="24"/>
          <w:szCs w:val="24"/>
        </w:rPr>
        <w:t xml:space="preserve"> koji su u ustanovama boravili na dan 31.</w:t>
      </w:r>
      <w:r w:rsidR="00536AB2">
        <w:rPr>
          <w:rFonts w:cs="Arial"/>
          <w:sz w:val="24"/>
          <w:szCs w:val="24"/>
        </w:rPr>
        <w:t xml:space="preserve"> </w:t>
      </w:r>
      <w:r w:rsidRPr="005539C8">
        <w:rPr>
          <w:rFonts w:cs="Arial"/>
          <w:sz w:val="24"/>
          <w:szCs w:val="24"/>
        </w:rPr>
        <w:t>12.</w:t>
      </w:r>
      <w:r w:rsidR="00536AB2">
        <w:rPr>
          <w:rFonts w:cs="Arial"/>
          <w:sz w:val="24"/>
          <w:szCs w:val="24"/>
        </w:rPr>
        <w:t xml:space="preserve"> </w:t>
      </w:r>
      <w:r w:rsidRPr="005539C8">
        <w:rPr>
          <w:rFonts w:cs="Arial"/>
          <w:sz w:val="24"/>
          <w:szCs w:val="24"/>
        </w:rPr>
        <w:t xml:space="preserve">2023. godine, 217 ili 26,53% </w:t>
      </w:r>
      <w:r w:rsidR="00EB2F1D">
        <w:rPr>
          <w:rFonts w:cs="Arial"/>
          <w:sz w:val="24"/>
          <w:szCs w:val="24"/>
        </w:rPr>
        <w:t>korisnika/korisnica</w:t>
      </w:r>
      <w:r w:rsidRPr="005539C8">
        <w:rPr>
          <w:rFonts w:cs="Arial"/>
          <w:sz w:val="24"/>
          <w:szCs w:val="24"/>
        </w:rPr>
        <w:t xml:space="preserve"> je</w:t>
      </w:r>
      <w:r w:rsidR="00867803">
        <w:rPr>
          <w:rFonts w:cs="Arial"/>
          <w:sz w:val="24"/>
          <w:szCs w:val="24"/>
        </w:rPr>
        <w:t xml:space="preserve"> s m</w:t>
      </w:r>
      <w:r w:rsidRPr="005539C8">
        <w:rPr>
          <w:rFonts w:cs="Arial"/>
          <w:sz w:val="24"/>
          <w:szCs w:val="24"/>
        </w:rPr>
        <w:t xml:space="preserve">entalnim teškoćama. Zatim, 185 </w:t>
      </w:r>
      <w:r w:rsidR="00EB2F1D">
        <w:rPr>
          <w:rFonts w:cs="Arial"/>
          <w:sz w:val="24"/>
          <w:szCs w:val="24"/>
        </w:rPr>
        <w:t>korisnika/korisnica</w:t>
      </w:r>
      <w:r w:rsidRPr="005539C8">
        <w:rPr>
          <w:rFonts w:cs="Arial"/>
          <w:sz w:val="24"/>
          <w:szCs w:val="24"/>
        </w:rPr>
        <w:t xml:space="preserve"> ili 22,62% nema tjelesni, senzorni invaliditet, mentalne i intelektualne teškoće.  Od ukupnog broja </w:t>
      </w:r>
      <w:r w:rsidR="00EB2F1D">
        <w:rPr>
          <w:rFonts w:cs="Arial"/>
          <w:sz w:val="24"/>
          <w:szCs w:val="24"/>
        </w:rPr>
        <w:t>korisnika/korisnica</w:t>
      </w:r>
      <w:r w:rsidR="00331C1F">
        <w:rPr>
          <w:rFonts w:cs="Arial"/>
          <w:sz w:val="24"/>
          <w:szCs w:val="24"/>
        </w:rPr>
        <w:t>,</w:t>
      </w:r>
      <w:r w:rsidRPr="005539C8">
        <w:rPr>
          <w:rFonts w:cs="Arial"/>
          <w:sz w:val="24"/>
          <w:szCs w:val="24"/>
        </w:rPr>
        <w:t xml:space="preserve"> 153 ili 18,70% je s višestrukim teškoćama. Broj </w:t>
      </w:r>
      <w:r w:rsidR="00EB2F1D">
        <w:rPr>
          <w:rFonts w:cs="Arial"/>
          <w:sz w:val="24"/>
          <w:szCs w:val="24"/>
        </w:rPr>
        <w:t>korisnika/korisnica</w:t>
      </w:r>
      <w:r w:rsidRPr="005539C8">
        <w:rPr>
          <w:rFonts w:cs="Arial"/>
          <w:sz w:val="24"/>
          <w:szCs w:val="24"/>
        </w:rPr>
        <w:t xml:space="preserve"> s tjelesnim invaliditetom je 130 ili 15,89%. Broj </w:t>
      </w:r>
      <w:r w:rsidR="00EB2F1D">
        <w:rPr>
          <w:rFonts w:cs="Arial"/>
          <w:sz w:val="24"/>
          <w:szCs w:val="24"/>
        </w:rPr>
        <w:t>korisnika/korisnica</w:t>
      </w:r>
      <w:r w:rsidR="00867803">
        <w:rPr>
          <w:rFonts w:cs="Arial"/>
          <w:sz w:val="24"/>
          <w:szCs w:val="24"/>
        </w:rPr>
        <w:t xml:space="preserve"> s i</w:t>
      </w:r>
      <w:r w:rsidRPr="005539C8">
        <w:rPr>
          <w:rFonts w:cs="Arial"/>
          <w:sz w:val="24"/>
          <w:szCs w:val="24"/>
        </w:rPr>
        <w:t>ntelektualnim teškoćama je 57 ili 6,97%. Zatim</w:t>
      </w:r>
      <w:r w:rsidR="00331C1F">
        <w:rPr>
          <w:rFonts w:cs="Arial"/>
          <w:sz w:val="24"/>
          <w:szCs w:val="24"/>
        </w:rPr>
        <w:t>,</w:t>
      </w:r>
      <w:r w:rsidRPr="005539C8">
        <w:rPr>
          <w:rFonts w:cs="Arial"/>
          <w:sz w:val="24"/>
          <w:szCs w:val="24"/>
        </w:rPr>
        <w:t xml:space="preserve"> 44 k</w:t>
      </w:r>
      <w:r w:rsidR="00B53B8D">
        <w:rPr>
          <w:rFonts w:cs="Arial"/>
          <w:sz w:val="24"/>
          <w:szCs w:val="24"/>
        </w:rPr>
        <w:t>orisnika/korisnice</w:t>
      </w:r>
      <w:r w:rsidR="00331C1F">
        <w:rPr>
          <w:rFonts w:cs="Arial"/>
          <w:sz w:val="24"/>
          <w:szCs w:val="24"/>
        </w:rPr>
        <w:t>,</w:t>
      </w:r>
      <w:r w:rsidRPr="005539C8">
        <w:rPr>
          <w:rFonts w:cs="Arial"/>
          <w:sz w:val="24"/>
          <w:szCs w:val="24"/>
        </w:rPr>
        <w:t xml:space="preserve"> odnosno 5,38%</w:t>
      </w:r>
      <w:r w:rsidR="00331C1F">
        <w:rPr>
          <w:rFonts w:cs="Arial"/>
          <w:sz w:val="24"/>
          <w:szCs w:val="24"/>
        </w:rPr>
        <w:t>,</w:t>
      </w:r>
      <w:r w:rsidRPr="005539C8">
        <w:rPr>
          <w:rFonts w:cs="Arial"/>
          <w:sz w:val="24"/>
          <w:szCs w:val="24"/>
        </w:rPr>
        <w:t xml:space="preserve"> sa senzornim </w:t>
      </w:r>
      <w:r w:rsidR="00331C1F" w:rsidRPr="005539C8">
        <w:rPr>
          <w:rFonts w:cs="Arial"/>
          <w:sz w:val="24"/>
          <w:szCs w:val="24"/>
        </w:rPr>
        <w:t xml:space="preserve">je </w:t>
      </w:r>
      <w:r w:rsidRPr="005539C8">
        <w:rPr>
          <w:rFonts w:cs="Arial"/>
          <w:sz w:val="24"/>
          <w:szCs w:val="24"/>
        </w:rPr>
        <w:t xml:space="preserve">invaliditetom. </w:t>
      </w:r>
    </w:p>
    <w:p w14:paraId="23586927" w14:textId="77777777" w:rsidR="005539C8" w:rsidRPr="005539C8" w:rsidRDefault="005539C8" w:rsidP="00780738">
      <w:pPr>
        <w:spacing w:after="160"/>
        <w:jc w:val="both"/>
        <w:rPr>
          <w:rFonts w:cs="Arial"/>
          <w:sz w:val="24"/>
          <w:szCs w:val="24"/>
          <w:lang w:val="sr-Latn-ME"/>
        </w:rPr>
      </w:pPr>
      <w:r w:rsidRPr="005539C8">
        <w:rPr>
          <w:rFonts w:cs="Arial"/>
          <w:sz w:val="24"/>
          <w:szCs w:val="24"/>
        </w:rPr>
        <w:t>Imajući u vidu da su tokom 2023. godine počeli</w:t>
      </w:r>
      <w:r w:rsidR="004C5D23">
        <w:rPr>
          <w:rFonts w:cs="Arial"/>
          <w:sz w:val="24"/>
          <w:szCs w:val="24"/>
        </w:rPr>
        <w:t xml:space="preserve"> s r</w:t>
      </w:r>
      <w:r w:rsidRPr="005539C8">
        <w:rPr>
          <w:rFonts w:cs="Arial"/>
          <w:sz w:val="24"/>
          <w:szCs w:val="24"/>
        </w:rPr>
        <w:t xml:space="preserve">adom JU Dom starih </w:t>
      </w:r>
      <w:r w:rsidR="00331C1F">
        <w:rPr>
          <w:rFonts w:cs="Arial"/>
          <w:sz w:val="24"/>
          <w:szCs w:val="24"/>
          <w:lang w:val="sr-Cyrl-ME"/>
        </w:rPr>
        <w:t>„</w:t>
      </w:r>
      <w:r w:rsidRPr="005539C8">
        <w:rPr>
          <w:rFonts w:cs="Arial"/>
          <w:sz w:val="24"/>
          <w:szCs w:val="24"/>
        </w:rPr>
        <w:t xml:space="preserve">Podgorica” i JU Dom starih </w:t>
      </w:r>
      <w:r w:rsidR="00331C1F">
        <w:rPr>
          <w:rFonts w:cs="Arial"/>
          <w:sz w:val="24"/>
          <w:szCs w:val="24"/>
          <w:lang w:val="sr-Cyrl-ME"/>
        </w:rPr>
        <w:t>„</w:t>
      </w:r>
      <w:r w:rsidRPr="005539C8">
        <w:rPr>
          <w:rFonts w:cs="Arial"/>
          <w:sz w:val="24"/>
          <w:szCs w:val="24"/>
        </w:rPr>
        <w:t>Nikšić”</w:t>
      </w:r>
      <w:r w:rsidR="00331C1F">
        <w:rPr>
          <w:rFonts w:cs="Arial"/>
          <w:sz w:val="24"/>
          <w:szCs w:val="24"/>
        </w:rPr>
        <w:t>,</w:t>
      </w:r>
      <w:r w:rsidRPr="005539C8">
        <w:rPr>
          <w:rFonts w:cs="Arial"/>
          <w:sz w:val="24"/>
          <w:szCs w:val="24"/>
        </w:rPr>
        <w:t xml:space="preserve"> struktura smještajnih kapaciteta se promijenila u odnosu na pre</w:t>
      </w:r>
      <w:r w:rsidR="00B53B8D">
        <w:rPr>
          <w:rFonts w:cs="Arial"/>
          <w:sz w:val="24"/>
          <w:szCs w:val="24"/>
        </w:rPr>
        <w:t>t</w:t>
      </w:r>
      <w:r w:rsidRPr="005539C8">
        <w:rPr>
          <w:rFonts w:cs="Arial"/>
          <w:sz w:val="24"/>
          <w:szCs w:val="24"/>
        </w:rPr>
        <w:t>hodni period.</w:t>
      </w:r>
    </w:p>
    <w:tbl>
      <w:tblPr>
        <w:tblStyle w:val="TableGrid2"/>
        <w:tblW w:w="9401" w:type="dxa"/>
        <w:tblLook w:val="04A0" w:firstRow="1" w:lastRow="0" w:firstColumn="1" w:lastColumn="0" w:noHBand="0" w:noVBand="1"/>
      </w:tblPr>
      <w:tblGrid>
        <w:gridCol w:w="265"/>
        <w:gridCol w:w="1267"/>
        <w:gridCol w:w="3077"/>
        <w:gridCol w:w="2806"/>
        <w:gridCol w:w="1986"/>
      </w:tblGrid>
      <w:tr w:rsidR="005539C8" w:rsidRPr="005539C8" w14:paraId="7C115D4C" w14:textId="77777777" w:rsidTr="005539C8">
        <w:trPr>
          <w:trHeight w:val="668"/>
        </w:trPr>
        <w:tc>
          <w:tcPr>
            <w:tcW w:w="265" w:type="dxa"/>
            <w:tcBorders>
              <w:top w:val="single" w:sz="4" w:space="0" w:color="auto"/>
              <w:left w:val="single" w:sz="4" w:space="0" w:color="auto"/>
              <w:bottom w:val="single" w:sz="4" w:space="0" w:color="auto"/>
              <w:right w:val="nil"/>
            </w:tcBorders>
            <w:hideMark/>
          </w:tcPr>
          <w:p w14:paraId="11C6B30B" w14:textId="77777777" w:rsidR="005539C8" w:rsidRPr="005539C8" w:rsidRDefault="005539C8" w:rsidP="005539C8">
            <w:pPr>
              <w:rPr>
                <w:rFonts w:ascii="Times New Roman" w:hAnsi="Times New Roman" w:cs="Times New Roman"/>
                <w:sz w:val="28"/>
                <w:szCs w:val="28"/>
              </w:rPr>
            </w:pPr>
          </w:p>
        </w:tc>
        <w:tc>
          <w:tcPr>
            <w:tcW w:w="1267" w:type="dxa"/>
            <w:tcBorders>
              <w:top w:val="single" w:sz="4" w:space="0" w:color="auto"/>
              <w:left w:val="nil"/>
              <w:bottom w:val="single" w:sz="4" w:space="0" w:color="auto"/>
              <w:right w:val="single" w:sz="4" w:space="0" w:color="auto"/>
            </w:tcBorders>
            <w:hideMark/>
          </w:tcPr>
          <w:p w14:paraId="0ECF777A" w14:textId="77777777" w:rsidR="005539C8" w:rsidRPr="00A613FB" w:rsidRDefault="005539C8" w:rsidP="005539C8">
            <w:pPr>
              <w:rPr>
                <w:rFonts w:cs="Arial"/>
                <w:b/>
              </w:rPr>
            </w:pPr>
            <w:r w:rsidRPr="00A613FB">
              <w:rPr>
                <w:rFonts w:cs="Arial"/>
                <w:b/>
              </w:rPr>
              <w:t>Kapacitet</w:t>
            </w:r>
          </w:p>
          <w:p w14:paraId="48274BED" w14:textId="77777777" w:rsidR="005539C8" w:rsidRPr="00A613FB" w:rsidRDefault="005539C8" w:rsidP="005539C8">
            <w:pPr>
              <w:rPr>
                <w:rFonts w:cs="Arial"/>
                <w:b/>
              </w:rPr>
            </w:pPr>
            <w:r w:rsidRPr="00A613FB">
              <w:rPr>
                <w:rFonts w:cs="Arial"/>
                <w:b/>
              </w:rPr>
              <w:t>ustanova</w:t>
            </w:r>
          </w:p>
        </w:tc>
        <w:tc>
          <w:tcPr>
            <w:tcW w:w="3077" w:type="dxa"/>
            <w:tcBorders>
              <w:top w:val="single" w:sz="4" w:space="0" w:color="auto"/>
              <w:left w:val="single" w:sz="4" w:space="0" w:color="auto"/>
              <w:bottom w:val="single" w:sz="4" w:space="0" w:color="auto"/>
              <w:right w:val="single" w:sz="4" w:space="0" w:color="auto"/>
            </w:tcBorders>
            <w:hideMark/>
          </w:tcPr>
          <w:p w14:paraId="26989D50" w14:textId="77777777" w:rsidR="005539C8" w:rsidRPr="00A613FB" w:rsidRDefault="005539C8" w:rsidP="005539C8">
            <w:pPr>
              <w:rPr>
                <w:rFonts w:cs="Arial"/>
                <w:b/>
              </w:rPr>
            </w:pPr>
            <w:r w:rsidRPr="00A613FB">
              <w:rPr>
                <w:rFonts w:cs="Arial"/>
                <w:b/>
              </w:rPr>
              <w:t>Broj korisnika smještenih tokom 2023. godine</w:t>
            </w:r>
          </w:p>
        </w:tc>
        <w:tc>
          <w:tcPr>
            <w:tcW w:w="2806" w:type="dxa"/>
            <w:tcBorders>
              <w:top w:val="single" w:sz="4" w:space="0" w:color="auto"/>
              <w:left w:val="single" w:sz="4" w:space="0" w:color="auto"/>
              <w:bottom w:val="single" w:sz="4" w:space="0" w:color="auto"/>
              <w:right w:val="single" w:sz="4" w:space="0" w:color="auto"/>
            </w:tcBorders>
            <w:hideMark/>
          </w:tcPr>
          <w:p w14:paraId="47D7D436" w14:textId="77777777" w:rsidR="005539C8" w:rsidRPr="00A613FB" w:rsidRDefault="005539C8" w:rsidP="005539C8">
            <w:pPr>
              <w:rPr>
                <w:rFonts w:cs="Arial"/>
                <w:b/>
              </w:rPr>
            </w:pPr>
            <w:r w:rsidRPr="00A613FB">
              <w:rPr>
                <w:rFonts w:cs="Arial"/>
                <w:b/>
              </w:rPr>
              <w:t>Broj korisnika kojima je prestao smještaj tokom 2023. godine</w:t>
            </w:r>
          </w:p>
        </w:tc>
        <w:tc>
          <w:tcPr>
            <w:tcW w:w="1986" w:type="dxa"/>
            <w:tcBorders>
              <w:top w:val="single" w:sz="4" w:space="0" w:color="auto"/>
              <w:left w:val="single" w:sz="4" w:space="0" w:color="auto"/>
              <w:bottom w:val="single" w:sz="4" w:space="0" w:color="auto"/>
              <w:right w:val="single" w:sz="4" w:space="0" w:color="auto"/>
            </w:tcBorders>
            <w:hideMark/>
          </w:tcPr>
          <w:p w14:paraId="3DF506C4" w14:textId="77777777" w:rsidR="005539C8" w:rsidRPr="00A613FB" w:rsidRDefault="005539C8" w:rsidP="005539C8">
            <w:pPr>
              <w:rPr>
                <w:rFonts w:cs="Arial"/>
                <w:b/>
              </w:rPr>
            </w:pPr>
            <w:r w:rsidRPr="00A613FB">
              <w:rPr>
                <w:rFonts w:cs="Arial"/>
                <w:b/>
              </w:rPr>
              <w:t>Ukupan broj korisnika na dan 31.</w:t>
            </w:r>
            <w:r w:rsidR="00536AB2">
              <w:rPr>
                <w:rFonts w:cs="Arial"/>
                <w:b/>
              </w:rPr>
              <w:t xml:space="preserve"> </w:t>
            </w:r>
            <w:r w:rsidRPr="00A613FB">
              <w:rPr>
                <w:rFonts w:cs="Arial"/>
                <w:b/>
              </w:rPr>
              <w:t>12.</w:t>
            </w:r>
            <w:r w:rsidR="00536AB2">
              <w:rPr>
                <w:rFonts w:cs="Arial"/>
                <w:b/>
              </w:rPr>
              <w:t xml:space="preserve"> </w:t>
            </w:r>
            <w:r w:rsidRPr="00A613FB">
              <w:rPr>
                <w:rFonts w:cs="Arial"/>
                <w:b/>
              </w:rPr>
              <w:t>2023.</w:t>
            </w:r>
          </w:p>
        </w:tc>
      </w:tr>
      <w:tr w:rsidR="005539C8" w:rsidRPr="005539C8" w14:paraId="396C743E" w14:textId="77777777" w:rsidTr="005539C8">
        <w:trPr>
          <w:trHeight w:val="414"/>
        </w:trPr>
        <w:tc>
          <w:tcPr>
            <w:tcW w:w="265" w:type="dxa"/>
            <w:tcBorders>
              <w:top w:val="single" w:sz="4" w:space="0" w:color="auto"/>
              <w:left w:val="single" w:sz="4" w:space="0" w:color="auto"/>
              <w:bottom w:val="single" w:sz="4" w:space="0" w:color="auto"/>
              <w:right w:val="nil"/>
            </w:tcBorders>
          </w:tcPr>
          <w:p w14:paraId="4135337B" w14:textId="77777777" w:rsidR="005539C8" w:rsidRPr="005539C8" w:rsidRDefault="005539C8" w:rsidP="005539C8">
            <w:pPr>
              <w:rPr>
                <w:rFonts w:ascii="Times New Roman" w:hAnsi="Times New Roman" w:cs="Times New Roman"/>
                <w:sz w:val="24"/>
                <w:szCs w:val="24"/>
              </w:rPr>
            </w:pPr>
          </w:p>
        </w:tc>
        <w:tc>
          <w:tcPr>
            <w:tcW w:w="1267" w:type="dxa"/>
            <w:tcBorders>
              <w:top w:val="single" w:sz="4" w:space="0" w:color="auto"/>
              <w:left w:val="nil"/>
              <w:bottom w:val="single" w:sz="4" w:space="0" w:color="auto"/>
              <w:right w:val="single" w:sz="4" w:space="0" w:color="auto"/>
            </w:tcBorders>
            <w:hideMark/>
          </w:tcPr>
          <w:p w14:paraId="3104CDBA" w14:textId="77777777" w:rsidR="005539C8" w:rsidRPr="00A613FB" w:rsidRDefault="005539C8" w:rsidP="005539C8">
            <w:pPr>
              <w:rPr>
                <w:rFonts w:cs="Arial"/>
              </w:rPr>
            </w:pPr>
            <w:r w:rsidRPr="00A613FB">
              <w:rPr>
                <w:rFonts w:cs="Arial"/>
              </w:rPr>
              <w:t>1.060</w:t>
            </w:r>
          </w:p>
        </w:tc>
        <w:tc>
          <w:tcPr>
            <w:tcW w:w="3077" w:type="dxa"/>
            <w:tcBorders>
              <w:top w:val="single" w:sz="4" w:space="0" w:color="auto"/>
              <w:left w:val="single" w:sz="4" w:space="0" w:color="auto"/>
              <w:bottom w:val="single" w:sz="4" w:space="0" w:color="auto"/>
              <w:right w:val="single" w:sz="4" w:space="0" w:color="auto"/>
            </w:tcBorders>
            <w:hideMark/>
          </w:tcPr>
          <w:p w14:paraId="20551C75" w14:textId="77777777" w:rsidR="005539C8" w:rsidRPr="00A613FB" w:rsidRDefault="005539C8" w:rsidP="005539C8">
            <w:pPr>
              <w:rPr>
                <w:rFonts w:cs="Arial"/>
              </w:rPr>
            </w:pPr>
            <w:r w:rsidRPr="00A613FB">
              <w:rPr>
                <w:rFonts w:cs="Arial"/>
              </w:rPr>
              <w:t>595</w:t>
            </w:r>
          </w:p>
        </w:tc>
        <w:tc>
          <w:tcPr>
            <w:tcW w:w="2806" w:type="dxa"/>
            <w:tcBorders>
              <w:top w:val="single" w:sz="4" w:space="0" w:color="auto"/>
              <w:left w:val="single" w:sz="4" w:space="0" w:color="auto"/>
              <w:bottom w:val="single" w:sz="4" w:space="0" w:color="auto"/>
              <w:right w:val="single" w:sz="4" w:space="0" w:color="auto"/>
            </w:tcBorders>
            <w:hideMark/>
          </w:tcPr>
          <w:p w14:paraId="7C317DB5" w14:textId="77777777" w:rsidR="005539C8" w:rsidRPr="00A613FB" w:rsidRDefault="005539C8" w:rsidP="005539C8">
            <w:pPr>
              <w:rPr>
                <w:rFonts w:cs="Arial"/>
              </w:rPr>
            </w:pPr>
            <w:r w:rsidRPr="00A613FB">
              <w:rPr>
                <w:rFonts w:cs="Arial"/>
              </w:rPr>
              <w:t>309</w:t>
            </w:r>
          </w:p>
        </w:tc>
        <w:tc>
          <w:tcPr>
            <w:tcW w:w="1986" w:type="dxa"/>
            <w:tcBorders>
              <w:top w:val="single" w:sz="4" w:space="0" w:color="auto"/>
              <w:left w:val="single" w:sz="4" w:space="0" w:color="auto"/>
              <w:bottom w:val="single" w:sz="4" w:space="0" w:color="auto"/>
              <w:right w:val="single" w:sz="4" w:space="0" w:color="auto"/>
            </w:tcBorders>
            <w:hideMark/>
          </w:tcPr>
          <w:p w14:paraId="11B0745B" w14:textId="77777777" w:rsidR="005539C8" w:rsidRPr="00A613FB" w:rsidRDefault="005539C8" w:rsidP="005539C8">
            <w:pPr>
              <w:rPr>
                <w:rFonts w:cs="Arial"/>
              </w:rPr>
            </w:pPr>
            <w:r w:rsidRPr="00A613FB">
              <w:rPr>
                <w:rFonts w:cs="Arial"/>
              </w:rPr>
              <w:t>818</w:t>
            </w:r>
          </w:p>
        </w:tc>
      </w:tr>
    </w:tbl>
    <w:p w14:paraId="10B4364F" w14:textId="77777777" w:rsidR="00E53258" w:rsidRPr="00F96844" w:rsidRDefault="00E53258" w:rsidP="005114FD">
      <w:pPr>
        <w:jc w:val="both"/>
        <w:rPr>
          <w:rFonts w:cs="Arial"/>
          <w:bCs/>
          <w:sz w:val="24"/>
          <w:szCs w:val="24"/>
          <w:lang w:val="sr-Latn-ME"/>
        </w:rPr>
      </w:pPr>
    </w:p>
    <w:p w14:paraId="6C94289F" w14:textId="77777777" w:rsidR="008B2F62" w:rsidRDefault="008B2F62" w:rsidP="00780738">
      <w:pPr>
        <w:jc w:val="both"/>
        <w:rPr>
          <w:rFonts w:cs="Arial"/>
          <w:bCs/>
          <w:sz w:val="24"/>
          <w:szCs w:val="24"/>
          <w:lang w:val="sr-Latn-ME"/>
        </w:rPr>
      </w:pPr>
      <w:r w:rsidRPr="00F96844">
        <w:rPr>
          <w:rFonts w:cs="Arial"/>
          <w:b/>
          <w:sz w:val="24"/>
          <w:szCs w:val="24"/>
          <w:lang w:val="sr-Latn-ME"/>
        </w:rPr>
        <w:lastRenderedPageBreak/>
        <w:t>Smještaj lica</w:t>
      </w:r>
      <w:r w:rsidR="00867803">
        <w:rPr>
          <w:rFonts w:cs="Arial"/>
          <w:b/>
          <w:sz w:val="24"/>
          <w:szCs w:val="24"/>
          <w:lang w:val="sr-Latn-ME"/>
        </w:rPr>
        <w:t xml:space="preserve"> s i</w:t>
      </w:r>
      <w:r w:rsidRPr="00F96844">
        <w:rPr>
          <w:rFonts w:cs="Arial"/>
          <w:b/>
          <w:sz w:val="24"/>
          <w:szCs w:val="24"/>
          <w:lang w:val="sr-Latn-ME"/>
        </w:rPr>
        <w:t>nvaliditetom</w:t>
      </w:r>
      <w:r w:rsidRPr="00F96844">
        <w:rPr>
          <w:rFonts w:cs="Arial"/>
          <w:bCs/>
          <w:sz w:val="24"/>
          <w:szCs w:val="24"/>
          <w:lang w:val="sr-Latn-ME"/>
        </w:rPr>
        <w:t xml:space="preserve"> </w:t>
      </w:r>
      <w:r w:rsidR="00331C1F">
        <w:rPr>
          <w:rFonts w:cs="Arial"/>
          <w:bCs/>
          <w:sz w:val="24"/>
          <w:szCs w:val="24"/>
          <w:lang w:val="sr-Latn-ME"/>
        </w:rPr>
        <w:t>‒</w:t>
      </w:r>
      <w:r w:rsidRPr="00F96844">
        <w:rPr>
          <w:rFonts w:cs="Arial"/>
          <w:bCs/>
          <w:sz w:val="24"/>
          <w:szCs w:val="24"/>
          <w:lang w:val="sr-Latn-ME"/>
        </w:rPr>
        <w:t xml:space="preserve"> Odrasla lica</w:t>
      </w:r>
      <w:r w:rsidR="00867803">
        <w:rPr>
          <w:rFonts w:cs="Arial"/>
          <w:bCs/>
          <w:sz w:val="24"/>
          <w:szCs w:val="24"/>
          <w:lang w:val="sr-Latn-ME"/>
        </w:rPr>
        <w:t xml:space="preserve"> s i</w:t>
      </w:r>
      <w:r w:rsidRPr="00F96844">
        <w:rPr>
          <w:rFonts w:cs="Arial"/>
          <w:bCs/>
          <w:sz w:val="24"/>
          <w:szCs w:val="24"/>
          <w:lang w:val="sr-Latn-ME"/>
        </w:rPr>
        <w:t>nvaliditetom su smještena u</w:t>
      </w:r>
      <w:r w:rsidRPr="00F96844">
        <w:rPr>
          <w:rFonts w:cs="Arial"/>
          <w:bCs/>
          <w:iCs/>
          <w:sz w:val="24"/>
          <w:szCs w:val="24"/>
          <w:lang w:val="sr-Latn-ME"/>
        </w:rPr>
        <w:t xml:space="preserve"> </w:t>
      </w:r>
      <w:r w:rsidRPr="00F96844">
        <w:rPr>
          <w:rFonts w:cs="Arial"/>
          <w:bCs/>
          <w:sz w:val="24"/>
          <w:szCs w:val="24"/>
          <w:lang w:val="sr-Latn-ME"/>
        </w:rPr>
        <w:t>JU „</w:t>
      </w:r>
      <w:r w:rsidRPr="00F96844">
        <w:rPr>
          <w:rFonts w:cs="Arial"/>
          <w:bCs/>
          <w:iCs/>
          <w:sz w:val="24"/>
          <w:szCs w:val="24"/>
          <w:lang w:val="sr-Latn-ME"/>
        </w:rPr>
        <w:t xml:space="preserve">Komanski most“. U decembru 2023. godine u JU „Komanski most“ je bilo 114 </w:t>
      </w:r>
      <w:r w:rsidR="00EB2F1D">
        <w:rPr>
          <w:rFonts w:cs="Arial"/>
          <w:bCs/>
          <w:iCs/>
          <w:sz w:val="24"/>
          <w:szCs w:val="24"/>
          <w:lang w:val="sr-Latn-ME"/>
        </w:rPr>
        <w:t>korisnika/korisnica</w:t>
      </w:r>
      <w:r w:rsidR="001E652C">
        <w:rPr>
          <w:rFonts w:cs="Arial"/>
          <w:bCs/>
          <w:iCs/>
          <w:sz w:val="24"/>
          <w:szCs w:val="24"/>
          <w:lang w:val="sr-Latn-ME"/>
        </w:rPr>
        <w:t>, od kojih 52 žene i 62 muškarca</w:t>
      </w:r>
      <w:r w:rsidRPr="00F96844">
        <w:rPr>
          <w:rFonts w:cs="Arial"/>
          <w:bCs/>
          <w:iCs/>
          <w:sz w:val="24"/>
          <w:szCs w:val="24"/>
          <w:lang w:val="sr-Latn-ME"/>
        </w:rPr>
        <w:t xml:space="preserve"> (mladih lica 12, a odraslih i starih lica 102). U</w:t>
      </w:r>
      <w:r w:rsidRPr="00F96844">
        <w:rPr>
          <w:rFonts w:cs="Arial"/>
          <w:bCs/>
          <w:sz w:val="24"/>
          <w:szCs w:val="24"/>
          <w:lang w:val="sr-Latn-ME"/>
        </w:rPr>
        <w:t xml:space="preserve"> ustanovama u inostranstvu bilo je 33 k</w:t>
      </w:r>
      <w:r w:rsidR="00B53B8D">
        <w:rPr>
          <w:rFonts w:cs="Arial"/>
          <w:bCs/>
          <w:sz w:val="24"/>
          <w:szCs w:val="24"/>
          <w:lang w:val="sr-Latn-ME"/>
        </w:rPr>
        <w:t>orisnika/korisnice</w:t>
      </w:r>
      <w:r w:rsidRPr="00F96844">
        <w:rPr>
          <w:rFonts w:cs="Arial"/>
          <w:bCs/>
          <w:sz w:val="24"/>
          <w:szCs w:val="24"/>
          <w:lang w:val="sr-Latn-ME"/>
        </w:rPr>
        <w:t>. U okviru plana transformacije ove ustanove predviđen je razvoj usluge stanovanje uz podršku, male grupne zajednice, usluge savjetovanja i pomoći u kući.</w:t>
      </w:r>
      <w:r w:rsidRPr="00F96844">
        <w:rPr>
          <w:rFonts w:cs="Arial"/>
          <w:sz w:val="24"/>
          <w:szCs w:val="24"/>
          <w:vertAlign w:val="superscript"/>
          <w:lang w:val="sr-Latn-ME"/>
        </w:rPr>
        <w:footnoteReference w:id="83"/>
      </w:r>
      <w:r w:rsidRPr="00F96844">
        <w:rPr>
          <w:rFonts w:cs="Arial"/>
          <w:bCs/>
          <w:sz w:val="24"/>
          <w:szCs w:val="24"/>
          <w:lang w:val="sr-Latn-ME"/>
        </w:rPr>
        <w:t xml:space="preserve"> Iako je planom transformacije planirana realizacija mjera od 2020.</w:t>
      </w:r>
      <w:r w:rsidR="00B627E1">
        <w:rPr>
          <w:rFonts w:cs="Arial"/>
          <w:bCs/>
          <w:sz w:val="24"/>
          <w:szCs w:val="24"/>
          <w:lang w:val="sr-Latn-ME"/>
        </w:rPr>
        <w:t xml:space="preserve"> godine</w:t>
      </w:r>
      <w:r w:rsidRPr="00F96844">
        <w:rPr>
          <w:rFonts w:cs="Arial"/>
          <w:bCs/>
          <w:sz w:val="24"/>
          <w:szCs w:val="24"/>
          <w:lang w:val="sr-Latn-ME"/>
        </w:rPr>
        <w:t xml:space="preserve"> do 2024.</w:t>
      </w:r>
      <w:r w:rsidR="00B627E1">
        <w:rPr>
          <w:rFonts w:cs="Arial"/>
          <w:bCs/>
          <w:sz w:val="24"/>
          <w:szCs w:val="24"/>
          <w:lang w:val="sr-Latn-ME"/>
        </w:rPr>
        <w:t xml:space="preserve"> godine</w:t>
      </w:r>
      <w:r w:rsidR="00331C1F">
        <w:rPr>
          <w:rFonts w:cs="Arial"/>
          <w:bCs/>
          <w:sz w:val="24"/>
          <w:szCs w:val="24"/>
          <w:lang w:val="sr-Latn-ME"/>
        </w:rPr>
        <w:t>,</w:t>
      </w:r>
      <w:r w:rsidRPr="00F96844">
        <w:rPr>
          <w:rFonts w:cs="Arial"/>
          <w:bCs/>
          <w:sz w:val="24"/>
          <w:szCs w:val="24"/>
          <w:lang w:val="sr-Latn-ME"/>
        </w:rPr>
        <w:t xml:space="preserve"> ove mjere nisu realizovane do kraja 2023. godine. </w:t>
      </w:r>
    </w:p>
    <w:p w14:paraId="0AE7573F" w14:textId="77777777" w:rsidR="00E53258" w:rsidRPr="00F96844" w:rsidRDefault="00E53258" w:rsidP="00780738">
      <w:pPr>
        <w:jc w:val="both"/>
        <w:rPr>
          <w:rFonts w:cs="Arial"/>
          <w:bCs/>
          <w:sz w:val="24"/>
          <w:szCs w:val="24"/>
          <w:lang w:val="sr-Latn-ME"/>
        </w:rPr>
      </w:pPr>
    </w:p>
    <w:p w14:paraId="680ACC8C" w14:textId="77777777" w:rsidR="008B2F62" w:rsidRPr="00F96844" w:rsidRDefault="008B2F62" w:rsidP="00780738">
      <w:pPr>
        <w:shd w:val="clear" w:color="auto" w:fill="FFFFFF"/>
        <w:jc w:val="both"/>
        <w:rPr>
          <w:rFonts w:eastAsia="Calibri" w:cs="Arial"/>
          <w:color w:val="000000"/>
          <w:sz w:val="24"/>
          <w:szCs w:val="24"/>
          <w:lang w:val="sr-Latn-ME"/>
        </w:rPr>
      </w:pPr>
      <w:r w:rsidRPr="00F96844">
        <w:rPr>
          <w:rFonts w:cs="Arial"/>
          <w:b/>
          <w:bCs/>
          <w:iCs/>
          <w:sz w:val="24"/>
          <w:szCs w:val="24"/>
          <w:lang w:val="sr-Latn-ME"/>
        </w:rPr>
        <w:t>Prihvatilište–sklonište</w:t>
      </w:r>
      <w:r w:rsidR="006E1428">
        <w:rPr>
          <w:rFonts w:cs="Arial"/>
          <w:b/>
          <w:bCs/>
          <w:iCs/>
          <w:sz w:val="24"/>
          <w:szCs w:val="24"/>
          <w:lang w:val="sr-Latn-ME"/>
        </w:rPr>
        <w:t xml:space="preserve"> </w:t>
      </w:r>
      <w:r w:rsidR="006E1428" w:rsidRPr="006E1428">
        <w:rPr>
          <w:rFonts w:cs="Arial"/>
          <w:iCs/>
          <w:sz w:val="24"/>
          <w:szCs w:val="24"/>
          <w:lang w:val="sr-Latn-ME"/>
        </w:rPr>
        <w:t>je usluga koja se pruža k</w:t>
      </w:r>
      <w:r w:rsidR="00B53B8D">
        <w:rPr>
          <w:rFonts w:cs="Arial"/>
          <w:iCs/>
          <w:sz w:val="24"/>
          <w:szCs w:val="24"/>
          <w:lang w:val="sr-Latn-ME"/>
        </w:rPr>
        <w:t>orisnicima/korisnicama</w:t>
      </w:r>
      <w:r w:rsidR="006E1428" w:rsidRPr="006E1428">
        <w:rPr>
          <w:rFonts w:cs="Arial"/>
          <w:iCs/>
          <w:sz w:val="24"/>
          <w:szCs w:val="24"/>
          <w:lang w:val="sr-Latn-ME"/>
        </w:rPr>
        <w:t xml:space="preserve"> kojima su ugr</w:t>
      </w:r>
      <w:r w:rsidR="00031692">
        <w:rPr>
          <w:rFonts w:cs="Arial"/>
          <w:iCs/>
          <w:sz w:val="24"/>
          <w:szCs w:val="24"/>
          <w:lang w:val="sr-Latn-ME"/>
        </w:rPr>
        <w:t xml:space="preserve">oženi </w:t>
      </w:r>
      <w:r w:rsidR="006E1428" w:rsidRPr="006E1428">
        <w:rPr>
          <w:rFonts w:cs="Arial"/>
          <w:iCs/>
          <w:sz w:val="24"/>
          <w:szCs w:val="24"/>
          <w:lang w:val="sr-Latn-ME"/>
        </w:rPr>
        <w:t xml:space="preserve">bezbjednost, život i zdravlje. </w:t>
      </w:r>
      <w:r w:rsidR="006E1428">
        <w:rPr>
          <w:rFonts w:cs="Arial"/>
          <w:iCs/>
          <w:sz w:val="24"/>
          <w:szCs w:val="24"/>
          <w:lang w:val="sr-Latn-ME"/>
        </w:rPr>
        <w:t>S</w:t>
      </w:r>
      <w:r w:rsidR="006E1428" w:rsidRPr="006E1428">
        <w:rPr>
          <w:rFonts w:cs="Arial"/>
          <w:iCs/>
          <w:sz w:val="24"/>
          <w:szCs w:val="24"/>
          <w:lang w:val="sr-Latn-ME"/>
        </w:rPr>
        <w:t>mještaj u prihvatilištu</w:t>
      </w:r>
      <w:r w:rsidR="00331C1F">
        <w:rPr>
          <w:rFonts w:cs="Arial"/>
          <w:iCs/>
          <w:sz w:val="24"/>
          <w:szCs w:val="24"/>
          <w:lang w:val="sr-Latn-ME"/>
        </w:rPr>
        <w:t>‒</w:t>
      </w:r>
      <w:r w:rsidR="006E1428" w:rsidRPr="006E1428">
        <w:rPr>
          <w:rFonts w:cs="Arial"/>
          <w:iCs/>
          <w:sz w:val="24"/>
          <w:szCs w:val="24"/>
          <w:lang w:val="sr-Latn-ME"/>
        </w:rPr>
        <w:t>skloništu pruža se najduže 12 mjeseci</w:t>
      </w:r>
      <w:r w:rsidR="008E1855">
        <w:rPr>
          <w:rFonts w:cs="Arial"/>
          <w:iCs/>
          <w:sz w:val="24"/>
          <w:szCs w:val="24"/>
          <w:lang w:val="sr-Latn-ME"/>
        </w:rPr>
        <w:t>,</w:t>
      </w:r>
      <w:r w:rsidR="006E1428" w:rsidRPr="006E1428">
        <w:rPr>
          <w:rFonts w:cs="Arial"/>
          <w:iCs/>
          <w:sz w:val="24"/>
          <w:szCs w:val="24"/>
          <w:lang w:val="sr-Latn-ME"/>
        </w:rPr>
        <w:t xml:space="preserve"> a povremeni smještaj najduže 7 dana.</w:t>
      </w:r>
      <w:r w:rsidR="006E1428">
        <w:rPr>
          <w:rFonts w:cs="Arial"/>
          <w:b/>
          <w:bCs/>
          <w:iCs/>
          <w:sz w:val="24"/>
          <w:szCs w:val="24"/>
          <w:lang w:val="sr-Latn-ME"/>
        </w:rPr>
        <w:t xml:space="preserve"> </w:t>
      </w:r>
      <w:r w:rsidRPr="00F96844">
        <w:rPr>
          <w:rFonts w:cs="Arial"/>
          <w:b/>
          <w:bCs/>
          <w:iCs/>
          <w:sz w:val="24"/>
          <w:szCs w:val="24"/>
          <w:lang w:val="sr-Latn-ME"/>
        </w:rPr>
        <w:t xml:space="preserve"> </w:t>
      </w:r>
      <w:r w:rsidRPr="00F96844">
        <w:rPr>
          <w:rFonts w:eastAsia="Calibri" w:cs="Arial"/>
          <w:color w:val="000000"/>
          <w:sz w:val="24"/>
          <w:szCs w:val="24"/>
          <w:lang w:val="sr-Latn-ME"/>
        </w:rPr>
        <w:t>Za ovu uslugu je krajem 2023. godine bilo licencirano 8 pružalaca usluge.</w:t>
      </w:r>
    </w:p>
    <w:p w14:paraId="01560DB3" w14:textId="77777777" w:rsidR="00E53258" w:rsidRPr="00F96844" w:rsidRDefault="00E53258" w:rsidP="00780738">
      <w:pPr>
        <w:shd w:val="clear" w:color="auto" w:fill="FFFFFF"/>
        <w:jc w:val="both"/>
        <w:rPr>
          <w:rFonts w:eastAsia="Calibri" w:cs="Arial"/>
          <w:color w:val="000000"/>
          <w:sz w:val="24"/>
          <w:szCs w:val="24"/>
          <w:lang w:val="sr-Latn-ME"/>
        </w:rPr>
      </w:pPr>
    </w:p>
    <w:p w14:paraId="5D5842A6" w14:textId="77777777" w:rsidR="008B2F62" w:rsidRDefault="00FD2280" w:rsidP="00780738">
      <w:pPr>
        <w:jc w:val="both"/>
        <w:rPr>
          <w:rFonts w:cs="Arial"/>
          <w:bCs/>
          <w:sz w:val="24"/>
          <w:szCs w:val="24"/>
          <w:lang w:val="sr-Latn-ME"/>
        </w:rPr>
      </w:pPr>
      <w:r>
        <w:rPr>
          <w:rFonts w:cs="Arial"/>
          <w:b/>
          <w:bCs/>
          <w:sz w:val="24"/>
          <w:szCs w:val="24"/>
          <w:lang w:val="sr-Latn-ME"/>
        </w:rPr>
        <w:t>Sklonište za djecu žrtve nasilja u porodici</w:t>
      </w:r>
      <w:r w:rsidR="008B2F62" w:rsidRPr="00F96844">
        <w:rPr>
          <w:rFonts w:cs="Arial"/>
          <w:bCs/>
          <w:sz w:val="24"/>
          <w:szCs w:val="24"/>
          <w:lang w:val="sr-Latn-ME"/>
        </w:rPr>
        <w:t xml:space="preserve"> funkcioniše u </w:t>
      </w:r>
      <w:r w:rsidR="00D71EF2">
        <w:rPr>
          <w:rFonts w:cs="Arial"/>
          <w:bCs/>
          <w:sz w:val="24"/>
          <w:szCs w:val="24"/>
          <w:lang w:val="sr-Latn-ME"/>
        </w:rPr>
        <w:t>okviru</w:t>
      </w:r>
      <w:r w:rsidR="008B2F62" w:rsidRPr="00F96844">
        <w:rPr>
          <w:rFonts w:cs="Arial"/>
          <w:b/>
          <w:bCs/>
          <w:sz w:val="24"/>
          <w:szCs w:val="24"/>
          <w:lang w:val="sr-Latn-ME"/>
        </w:rPr>
        <w:t xml:space="preserve"> </w:t>
      </w:r>
      <w:r w:rsidR="008B2F62" w:rsidRPr="00D71EF2">
        <w:rPr>
          <w:rFonts w:cs="Arial"/>
          <w:sz w:val="24"/>
          <w:szCs w:val="24"/>
          <w:lang w:val="sr-Latn-ME"/>
        </w:rPr>
        <w:t xml:space="preserve">JU Dječji Dom </w:t>
      </w:r>
      <w:r w:rsidR="00331C1F">
        <w:rPr>
          <w:rFonts w:cs="Arial"/>
          <w:sz w:val="24"/>
          <w:szCs w:val="24"/>
          <w:lang w:val="sr-Latn-ME"/>
        </w:rPr>
        <w:t>„</w:t>
      </w:r>
      <w:r w:rsidR="008B2F62" w:rsidRPr="00D71EF2">
        <w:rPr>
          <w:rFonts w:cs="Arial"/>
          <w:sz w:val="24"/>
          <w:szCs w:val="24"/>
          <w:lang w:val="sr-Latn-ME"/>
        </w:rPr>
        <w:t>Mladost</w:t>
      </w:r>
      <w:r w:rsidR="00331C1F" w:rsidRPr="00331C1F">
        <w:rPr>
          <w:rFonts w:cs="Arial"/>
          <w:bCs/>
          <w:sz w:val="24"/>
          <w:szCs w:val="24"/>
          <w:lang w:val="sr-Latn-ME"/>
        </w:rPr>
        <w:t>”</w:t>
      </w:r>
      <w:r w:rsidR="008B2F62" w:rsidRPr="00F96844">
        <w:rPr>
          <w:rFonts w:cs="Arial"/>
          <w:b/>
          <w:bCs/>
          <w:sz w:val="24"/>
          <w:szCs w:val="24"/>
          <w:lang w:val="sr-Latn-ME"/>
        </w:rPr>
        <w:t xml:space="preserve">. </w:t>
      </w:r>
      <w:r w:rsidR="008B2F62" w:rsidRPr="00F96844">
        <w:rPr>
          <w:rFonts w:cs="Arial"/>
          <w:bCs/>
          <w:sz w:val="24"/>
          <w:szCs w:val="24"/>
          <w:lang w:val="sr-Latn-ME"/>
        </w:rPr>
        <w:t>U decembru 2023.</w:t>
      </w:r>
      <w:r w:rsidR="00536AB2">
        <w:rPr>
          <w:rFonts w:cs="Arial"/>
          <w:bCs/>
          <w:sz w:val="24"/>
          <w:szCs w:val="24"/>
          <w:lang w:val="sr-Latn-ME"/>
        </w:rPr>
        <w:t xml:space="preserve"> </w:t>
      </w:r>
      <w:r w:rsidR="008B2F62" w:rsidRPr="00F96844">
        <w:rPr>
          <w:rFonts w:cs="Arial"/>
          <w:bCs/>
          <w:sz w:val="24"/>
          <w:szCs w:val="24"/>
          <w:lang w:val="sr-Latn-ME"/>
        </w:rPr>
        <w:t>godine u prihvatilištu je bilo 5 djece, od čega su dva dječa</w:t>
      </w:r>
      <w:r w:rsidR="006E1428">
        <w:rPr>
          <w:rFonts w:cs="Arial"/>
          <w:bCs/>
          <w:sz w:val="24"/>
          <w:szCs w:val="24"/>
          <w:lang w:val="sr-Latn-ME"/>
        </w:rPr>
        <w:t>ka</w:t>
      </w:r>
      <w:r w:rsidR="008B2F62" w:rsidRPr="00F96844">
        <w:rPr>
          <w:rFonts w:cs="Arial"/>
          <w:bCs/>
          <w:sz w:val="24"/>
          <w:szCs w:val="24"/>
          <w:lang w:val="sr-Latn-ME"/>
        </w:rPr>
        <w:t>, a tri djevojčice.</w:t>
      </w:r>
      <w:r w:rsidR="000C544B">
        <w:rPr>
          <w:rFonts w:cs="Arial"/>
          <w:bCs/>
          <w:sz w:val="24"/>
          <w:szCs w:val="24"/>
          <w:lang w:val="sr-Latn-ME"/>
        </w:rPr>
        <w:t xml:space="preserve"> </w:t>
      </w:r>
      <w:r w:rsidR="000C544B">
        <w:rPr>
          <w:rFonts w:cs="Arial"/>
          <w:color w:val="000000" w:themeColor="text1"/>
          <w:sz w:val="24"/>
          <w:szCs w:val="24"/>
          <w:lang w:val="sr-Latn-ME"/>
        </w:rPr>
        <w:t>Za funkcionisanje skloništa</w:t>
      </w:r>
      <w:r w:rsidR="000C544B" w:rsidRPr="00F96844">
        <w:rPr>
          <w:rFonts w:cs="Arial"/>
          <w:color w:val="000000" w:themeColor="text1"/>
          <w:sz w:val="24"/>
          <w:szCs w:val="24"/>
          <w:lang w:val="sr-Latn-ME"/>
        </w:rPr>
        <w:t xml:space="preserve"> </w:t>
      </w:r>
      <w:r w:rsidR="000C544B">
        <w:rPr>
          <w:rFonts w:cs="Arial"/>
          <w:color w:val="000000" w:themeColor="text1"/>
          <w:sz w:val="24"/>
          <w:szCs w:val="24"/>
          <w:lang w:val="sr-Latn-ME"/>
        </w:rPr>
        <w:t>u toku 2023. godine izdvojeno je  18.000,00 eura.</w:t>
      </w:r>
    </w:p>
    <w:p w14:paraId="1E01C41B" w14:textId="77777777" w:rsidR="00196379" w:rsidRDefault="00196379" w:rsidP="00780738">
      <w:pPr>
        <w:jc w:val="both"/>
        <w:rPr>
          <w:rFonts w:cs="Arial"/>
          <w:bCs/>
          <w:sz w:val="24"/>
          <w:szCs w:val="24"/>
          <w:lang w:val="sr-Latn-ME"/>
        </w:rPr>
      </w:pPr>
      <w:r>
        <w:rPr>
          <w:rFonts w:cs="Arial"/>
          <w:bCs/>
          <w:sz w:val="24"/>
          <w:szCs w:val="24"/>
          <w:lang w:val="sr-Latn-ME"/>
        </w:rPr>
        <w:t xml:space="preserve"> </w:t>
      </w:r>
    </w:p>
    <w:p w14:paraId="44CD1108" w14:textId="4430F89E" w:rsidR="00196379" w:rsidRDefault="00196379" w:rsidP="00780738">
      <w:pPr>
        <w:jc w:val="both"/>
        <w:rPr>
          <w:rFonts w:cs="Arial"/>
          <w:bCs/>
          <w:sz w:val="24"/>
          <w:szCs w:val="24"/>
          <w:lang w:val="sr-Latn-ME"/>
        </w:rPr>
      </w:pPr>
      <w:r w:rsidRPr="00196379">
        <w:rPr>
          <w:rFonts w:cs="Arial"/>
          <w:b/>
          <w:sz w:val="24"/>
          <w:szCs w:val="24"/>
          <w:lang w:val="sr-Latn-ME"/>
        </w:rPr>
        <w:t>Sklonište</w:t>
      </w:r>
      <w:r w:rsidR="00331C1F">
        <w:rPr>
          <w:rFonts w:cs="Arial"/>
          <w:b/>
          <w:sz w:val="24"/>
          <w:szCs w:val="24"/>
          <w:lang w:val="sr-Cyrl-ME"/>
        </w:rPr>
        <w:t>‒</w:t>
      </w:r>
      <w:r w:rsidRPr="00196379">
        <w:rPr>
          <w:rFonts w:cs="Arial"/>
          <w:b/>
          <w:sz w:val="24"/>
          <w:szCs w:val="24"/>
          <w:lang w:val="sr-Latn-ME"/>
        </w:rPr>
        <w:t>prihvatilište za djecu i mlade žrtve trgovine ljudima</w:t>
      </w:r>
      <w:r>
        <w:rPr>
          <w:rFonts w:cs="Arial"/>
          <w:bCs/>
          <w:sz w:val="24"/>
          <w:szCs w:val="24"/>
          <w:lang w:val="sr-Latn-ME"/>
        </w:rPr>
        <w:t xml:space="preserve"> uspostavljeno je u sklopu </w:t>
      </w:r>
      <w:r w:rsidRPr="00F96844">
        <w:rPr>
          <w:rFonts w:cs="Arial"/>
          <w:bCs/>
          <w:sz w:val="24"/>
          <w:szCs w:val="24"/>
          <w:lang w:val="sr-Latn-ME"/>
        </w:rPr>
        <w:t xml:space="preserve">JU Centar </w:t>
      </w:r>
      <w:r w:rsidR="00331C1F">
        <w:rPr>
          <w:rFonts w:cs="Arial"/>
          <w:bCs/>
          <w:sz w:val="24"/>
          <w:szCs w:val="24"/>
          <w:lang w:val="sr-Latn-ME"/>
        </w:rPr>
        <w:t>„</w:t>
      </w:r>
      <w:r w:rsidRPr="00F96844">
        <w:rPr>
          <w:rFonts w:cs="Arial"/>
          <w:bCs/>
          <w:sz w:val="24"/>
          <w:szCs w:val="24"/>
          <w:lang w:val="sr-Latn-ME"/>
        </w:rPr>
        <w:t>Ljubović”</w:t>
      </w:r>
      <w:r>
        <w:rPr>
          <w:rFonts w:cs="Arial"/>
          <w:bCs/>
          <w:sz w:val="24"/>
          <w:szCs w:val="24"/>
          <w:lang w:val="sr-Latn-ME"/>
        </w:rPr>
        <w:t xml:space="preserve"> u martu 2024. godine</w:t>
      </w:r>
      <w:r w:rsidRPr="00736811">
        <w:rPr>
          <w:rFonts w:cs="Arial"/>
          <w:bCs/>
          <w:sz w:val="24"/>
          <w:szCs w:val="24"/>
          <w:lang w:val="sr-Latn-ME"/>
        </w:rPr>
        <w:t>.</w:t>
      </w:r>
      <w:r w:rsidR="00EC57EB" w:rsidRPr="00736811">
        <w:rPr>
          <w:rFonts w:cs="Arial"/>
          <w:bCs/>
          <w:sz w:val="24"/>
          <w:szCs w:val="24"/>
          <w:lang w:val="sr-Latn-ME"/>
        </w:rPr>
        <w:t xml:space="preserve">  Ministarstvo </w:t>
      </w:r>
      <w:r w:rsidR="00422BC1" w:rsidRPr="00736811">
        <w:rPr>
          <w:rFonts w:cs="Arial"/>
          <w:bCs/>
          <w:sz w:val="24"/>
          <w:szCs w:val="24"/>
          <w:lang w:val="sr-Latn-ME"/>
        </w:rPr>
        <w:t>socijalnog staranja, brig</w:t>
      </w:r>
      <w:r w:rsidR="00736811" w:rsidRPr="00736811">
        <w:rPr>
          <w:rFonts w:cs="Arial"/>
          <w:bCs/>
          <w:sz w:val="24"/>
          <w:szCs w:val="24"/>
          <w:lang w:val="sr-Latn-ME"/>
        </w:rPr>
        <w:t>e</w:t>
      </w:r>
      <w:r w:rsidR="00422BC1" w:rsidRPr="00736811">
        <w:rPr>
          <w:rFonts w:cs="Arial"/>
          <w:bCs/>
          <w:sz w:val="24"/>
          <w:szCs w:val="24"/>
          <w:lang w:val="sr-Latn-ME"/>
        </w:rPr>
        <w:t xml:space="preserve"> o porodici i demografij</w:t>
      </w:r>
      <w:r w:rsidR="00736811" w:rsidRPr="00736811">
        <w:rPr>
          <w:rFonts w:cs="Arial"/>
          <w:bCs/>
          <w:sz w:val="24"/>
          <w:szCs w:val="24"/>
          <w:lang w:val="sr-Latn-ME"/>
        </w:rPr>
        <w:t>e</w:t>
      </w:r>
      <w:r w:rsidR="00422BC1" w:rsidRPr="00736811">
        <w:rPr>
          <w:rFonts w:cs="Arial"/>
          <w:bCs/>
          <w:sz w:val="24"/>
          <w:szCs w:val="24"/>
          <w:lang w:val="sr-Latn-ME"/>
        </w:rPr>
        <w:t xml:space="preserve"> </w:t>
      </w:r>
      <w:r w:rsidR="00EC57EB" w:rsidRPr="00736811">
        <w:rPr>
          <w:rFonts w:cs="Arial"/>
          <w:bCs/>
          <w:sz w:val="24"/>
          <w:szCs w:val="24"/>
          <w:lang w:val="sr-Latn-ME"/>
        </w:rPr>
        <w:t>je u iznalaženju rješenja koje će moći najefikasnije i u najkraćem roku da odgovori ovoj potrebi, opredijelilo objekat u okviru kompleksa JU Centar Ljubović se adaptiralo u skladu sa Pravilnikom o bližim uslovima za pružanje i korišćenje, normativima i minimalnim standardima usluge smještaja</w:t>
      </w:r>
      <w:r w:rsidR="00EC57EB" w:rsidRPr="00674286">
        <w:rPr>
          <w:rFonts w:cs="Arial"/>
          <w:bCs/>
          <w:sz w:val="24"/>
          <w:szCs w:val="24"/>
          <w:lang w:val="sr-Latn-ME"/>
        </w:rPr>
        <w:t xml:space="preserve"> u prihvatilištu-skloništu.</w:t>
      </w:r>
      <w:r>
        <w:rPr>
          <w:rFonts w:cs="Arial"/>
          <w:bCs/>
          <w:sz w:val="24"/>
          <w:szCs w:val="24"/>
          <w:lang w:val="sr-Latn-ME"/>
        </w:rPr>
        <w:t xml:space="preserve"> U skloništ</w:t>
      </w:r>
      <w:r w:rsidR="00DE20CE">
        <w:rPr>
          <w:rFonts w:cs="Arial"/>
          <w:bCs/>
          <w:sz w:val="24"/>
          <w:szCs w:val="24"/>
          <w:lang w:val="sr-Cyrl-ME"/>
        </w:rPr>
        <w:t>е</w:t>
      </w:r>
      <w:r>
        <w:rPr>
          <w:rFonts w:cs="Arial"/>
          <w:bCs/>
          <w:sz w:val="24"/>
          <w:szCs w:val="24"/>
          <w:lang w:val="sr-Latn-ME"/>
        </w:rPr>
        <w:t xml:space="preserve"> će se smještati žrtve ugovorenih brakova, žrtve trgovine ljudima</w:t>
      </w:r>
      <w:r w:rsidR="00DE20CE">
        <w:rPr>
          <w:rFonts w:cs="Arial"/>
          <w:bCs/>
          <w:sz w:val="24"/>
          <w:szCs w:val="24"/>
          <w:lang w:val="sr-Cyrl-ME"/>
        </w:rPr>
        <w:t>,</w:t>
      </w:r>
      <w:r>
        <w:rPr>
          <w:rFonts w:cs="Arial"/>
          <w:bCs/>
          <w:sz w:val="24"/>
          <w:szCs w:val="24"/>
          <w:lang w:val="sr-Latn-ME"/>
        </w:rPr>
        <w:t xml:space="preserve"> uključujući djecu zatečenu u prosjačenju. Sklonište je kapaciteta za 10 korisnika. </w:t>
      </w:r>
      <w:r w:rsidR="006B1180">
        <w:rPr>
          <w:rFonts w:cs="Arial"/>
          <w:bCs/>
          <w:sz w:val="24"/>
          <w:szCs w:val="24"/>
          <w:lang w:val="sr-Latn-ME"/>
        </w:rPr>
        <w:t xml:space="preserve">Ovo sklonište je </w:t>
      </w:r>
      <w:r w:rsidR="006B1180" w:rsidRPr="006B1180">
        <w:rPr>
          <w:rFonts w:cs="Arial"/>
          <w:bCs/>
          <w:sz w:val="24"/>
          <w:szCs w:val="24"/>
          <w:lang w:val="sr-Latn-ME"/>
        </w:rPr>
        <w:t xml:space="preserve">privremenog karaktera do </w:t>
      </w:r>
      <w:r w:rsidR="006B1180">
        <w:rPr>
          <w:rFonts w:cs="Arial"/>
          <w:bCs/>
          <w:sz w:val="24"/>
          <w:szCs w:val="24"/>
          <w:lang w:val="sr-Latn-ME"/>
        </w:rPr>
        <w:t xml:space="preserve">pronalaska adekvatne lokacije za </w:t>
      </w:r>
      <w:r w:rsidR="006B1180" w:rsidRPr="006B1180">
        <w:rPr>
          <w:rFonts w:cs="Arial"/>
          <w:bCs/>
          <w:sz w:val="24"/>
          <w:szCs w:val="24"/>
          <w:lang w:val="sr-Latn-ME"/>
        </w:rPr>
        <w:t>uspostavljanja skloništa koje bi bilo trajno rješenje</w:t>
      </w:r>
      <w:r w:rsidR="006B1180">
        <w:rPr>
          <w:rFonts w:cs="Arial"/>
          <w:bCs/>
          <w:sz w:val="24"/>
          <w:szCs w:val="24"/>
          <w:lang w:val="sr-Latn-ME"/>
        </w:rPr>
        <w:t>.</w:t>
      </w:r>
    </w:p>
    <w:p w14:paraId="0A1335DA" w14:textId="77777777" w:rsidR="00DD69A7" w:rsidRDefault="00DD69A7" w:rsidP="00780738">
      <w:pPr>
        <w:jc w:val="both"/>
        <w:rPr>
          <w:rFonts w:cs="Arial"/>
          <w:bCs/>
          <w:sz w:val="24"/>
          <w:szCs w:val="24"/>
          <w:lang w:val="sr-Latn-ME"/>
        </w:rPr>
      </w:pPr>
    </w:p>
    <w:p w14:paraId="1E05ACC9" w14:textId="77777777" w:rsidR="00AB56AB" w:rsidRPr="00152259" w:rsidRDefault="00DD69A7" w:rsidP="00780738">
      <w:pPr>
        <w:jc w:val="both"/>
        <w:rPr>
          <w:rFonts w:cs="Arial"/>
          <w:sz w:val="24"/>
          <w:szCs w:val="24"/>
          <w:lang w:val="sr-Latn-ME"/>
        </w:rPr>
      </w:pPr>
      <w:r>
        <w:rPr>
          <w:rFonts w:cs="Arial"/>
          <w:b/>
          <w:bCs/>
          <w:iCs/>
          <w:sz w:val="24"/>
          <w:szCs w:val="24"/>
          <w:lang w:val="sr-Latn-ME"/>
        </w:rPr>
        <w:t>S</w:t>
      </w:r>
      <w:r w:rsidRPr="00F96844">
        <w:rPr>
          <w:rFonts w:cs="Arial"/>
          <w:b/>
          <w:bCs/>
          <w:iCs/>
          <w:sz w:val="24"/>
          <w:szCs w:val="24"/>
          <w:lang w:val="sr-Latn-ME"/>
        </w:rPr>
        <w:t>klonište</w:t>
      </w:r>
      <w:r>
        <w:rPr>
          <w:rFonts w:cs="Arial"/>
          <w:b/>
          <w:bCs/>
          <w:iCs/>
          <w:sz w:val="24"/>
          <w:szCs w:val="24"/>
          <w:lang w:val="sr-Latn-ME"/>
        </w:rPr>
        <w:t>–</w:t>
      </w:r>
      <w:r w:rsidRPr="00F96844">
        <w:rPr>
          <w:rFonts w:cs="Arial"/>
          <w:b/>
          <w:bCs/>
          <w:iCs/>
          <w:sz w:val="24"/>
          <w:szCs w:val="24"/>
          <w:lang w:val="sr-Latn-ME"/>
        </w:rPr>
        <w:t>prihvatilište</w:t>
      </w:r>
      <w:r>
        <w:rPr>
          <w:rFonts w:cs="Arial"/>
          <w:b/>
          <w:bCs/>
          <w:iCs/>
          <w:sz w:val="24"/>
          <w:szCs w:val="24"/>
          <w:lang w:val="sr-Latn-ME"/>
        </w:rPr>
        <w:t xml:space="preserve"> </w:t>
      </w:r>
      <w:r w:rsidR="00922535">
        <w:rPr>
          <w:rFonts w:cs="Arial"/>
          <w:b/>
          <w:bCs/>
          <w:iCs/>
          <w:sz w:val="24"/>
          <w:szCs w:val="24"/>
          <w:lang w:val="sr-Latn-ME"/>
        </w:rPr>
        <w:t xml:space="preserve">za žene i djecu žrtve nasilja </w:t>
      </w:r>
      <w:r w:rsidRPr="00F96844">
        <w:rPr>
          <w:rFonts w:cs="Arial"/>
          <w:sz w:val="24"/>
          <w:szCs w:val="24"/>
          <w:lang w:val="sr-Latn-ME"/>
        </w:rPr>
        <w:t xml:space="preserve">pruža se </w:t>
      </w:r>
      <w:r w:rsidR="00CE3945">
        <w:rPr>
          <w:rFonts w:cs="Arial"/>
          <w:sz w:val="24"/>
          <w:szCs w:val="24"/>
          <w:lang w:val="sr-Latn-ME"/>
        </w:rPr>
        <w:t>djeci i ženama koje su žrtve ili svjedoci zlostavljanja, zanemarivanja, rodno zasnovanog nasilja, nasilja u porodici i eksplo</w:t>
      </w:r>
      <w:r w:rsidR="0008323B">
        <w:rPr>
          <w:rFonts w:cs="Arial"/>
          <w:sz w:val="24"/>
          <w:szCs w:val="24"/>
          <w:lang w:val="sr-Latn-ME"/>
        </w:rPr>
        <w:t>a</w:t>
      </w:r>
      <w:r w:rsidR="00CE3945">
        <w:rPr>
          <w:rFonts w:cs="Arial"/>
          <w:sz w:val="24"/>
          <w:szCs w:val="24"/>
          <w:lang w:val="sr-Latn-ME"/>
        </w:rPr>
        <w:t>tacije ili kod kojih postoji opasnost da će postati žrtve.</w:t>
      </w:r>
      <w:r w:rsidRPr="00F96844">
        <w:rPr>
          <w:rFonts w:cs="Arial"/>
          <w:sz w:val="24"/>
          <w:szCs w:val="24"/>
          <w:vertAlign w:val="superscript"/>
          <w:lang w:val="sr-Latn-ME"/>
        </w:rPr>
        <w:footnoteReference w:id="84"/>
      </w:r>
      <w:r w:rsidRPr="00F96844">
        <w:rPr>
          <w:rFonts w:cs="Arial"/>
          <w:sz w:val="24"/>
          <w:szCs w:val="24"/>
          <w:lang w:val="sr-Latn-ME"/>
        </w:rPr>
        <w:t xml:space="preserve"> Za uslugu smještaja u prihvatilište–sklonište </w:t>
      </w:r>
      <w:r w:rsidRPr="00152259">
        <w:rPr>
          <w:rFonts w:cs="Arial"/>
          <w:sz w:val="24"/>
          <w:szCs w:val="24"/>
          <w:lang w:val="sr-Latn-ME"/>
        </w:rPr>
        <w:t xml:space="preserve">licencirano je </w:t>
      </w:r>
      <w:r w:rsidR="00C56854" w:rsidRPr="00152259">
        <w:rPr>
          <w:rFonts w:cs="Arial"/>
          <w:sz w:val="24"/>
          <w:szCs w:val="24"/>
          <w:lang w:val="sr-Latn-ME"/>
        </w:rPr>
        <w:t xml:space="preserve">sedam </w:t>
      </w:r>
      <w:r w:rsidRPr="00152259">
        <w:rPr>
          <w:rFonts w:cs="Arial"/>
          <w:sz w:val="24"/>
          <w:szCs w:val="24"/>
          <w:lang w:val="sr-Latn-ME"/>
        </w:rPr>
        <w:t>pruža</w:t>
      </w:r>
      <w:r w:rsidR="00DE20CE">
        <w:rPr>
          <w:rFonts w:cs="Arial"/>
          <w:sz w:val="24"/>
          <w:szCs w:val="24"/>
          <w:lang w:val="hr-HR"/>
        </w:rPr>
        <w:t>la</w:t>
      </w:r>
      <w:r w:rsidRPr="00152259">
        <w:rPr>
          <w:rFonts w:cs="Arial"/>
          <w:sz w:val="24"/>
          <w:szCs w:val="24"/>
          <w:lang w:val="sr-Latn-ME"/>
        </w:rPr>
        <w:t xml:space="preserve">ca usluga. Ukupan broj </w:t>
      </w:r>
      <w:r w:rsidR="00EB2F1D">
        <w:rPr>
          <w:rFonts w:cs="Arial"/>
          <w:sz w:val="24"/>
          <w:szCs w:val="24"/>
          <w:lang w:val="sr-Latn-ME"/>
        </w:rPr>
        <w:t>korisnika/korisnica</w:t>
      </w:r>
      <w:r w:rsidRPr="00152259">
        <w:rPr>
          <w:rFonts w:cs="Arial"/>
          <w:sz w:val="24"/>
          <w:szCs w:val="24"/>
          <w:lang w:val="sr-Latn-ME"/>
        </w:rPr>
        <w:t xml:space="preserve"> tokom</w:t>
      </w:r>
      <w:r w:rsidRPr="00152259">
        <w:rPr>
          <w:rFonts w:cs="Arial"/>
          <w:color w:val="000000" w:themeColor="text1"/>
          <w:sz w:val="24"/>
          <w:szCs w:val="24"/>
          <w:lang w:val="sr-Latn-ME"/>
        </w:rPr>
        <w:t xml:space="preserve"> 2023</w:t>
      </w:r>
      <w:r w:rsidRPr="00152259">
        <w:rPr>
          <w:rFonts w:cs="Arial"/>
          <w:sz w:val="24"/>
          <w:szCs w:val="24"/>
          <w:lang w:val="sr-Latn-ME"/>
        </w:rPr>
        <w:t xml:space="preserve">. </w:t>
      </w:r>
      <w:r w:rsidR="00C56854" w:rsidRPr="00152259">
        <w:rPr>
          <w:rFonts w:cs="Arial"/>
          <w:sz w:val="24"/>
          <w:szCs w:val="24"/>
          <w:lang w:val="sr-Latn-ME"/>
        </w:rPr>
        <w:t xml:space="preserve">godine </w:t>
      </w:r>
      <w:r w:rsidRPr="00152259">
        <w:rPr>
          <w:rFonts w:cs="Arial"/>
          <w:sz w:val="24"/>
          <w:szCs w:val="24"/>
          <w:lang w:val="sr-Latn-ME"/>
        </w:rPr>
        <w:t xml:space="preserve">je </w:t>
      </w:r>
      <w:r w:rsidRPr="00152259">
        <w:rPr>
          <w:rFonts w:cs="Arial"/>
          <w:color w:val="000000" w:themeColor="text1"/>
          <w:sz w:val="24"/>
          <w:szCs w:val="24"/>
          <w:lang w:val="sr-Latn-ME"/>
        </w:rPr>
        <w:t>191.</w:t>
      </w:r>
      <w:r w:rsidR="009606DB" w:rsidRPr="00152259">
        <w:rPr>
          <w:rFonts w:cs="Arial"/>
          <w:color w:val="000000" w:themeColor="text1"/>
          <w:sz w:val="24"/>
          <w:szCs w:val="24"/>
          <w:lang w:val="sr-Latn-ME"/>
        </w:rPr>
        <w:t xml:space="preserve"> </w:t>
      </w:r>
      <w:r w:rsidR="005E5223" w:rsidRPr="00152259">
        <w:rPr>
          <w:rFonts w:cs="Arial"/>
          <w:color w:val="000000" w:themeColor="text1"/>
          <w:sz w:val="24"/>
          <w:szCs w:val="24"/>
          <w:lang w:val="sr-Latn-ME"/>
        </w:rPr>
        <w:t>Dva prihvatilišta</w:t>
      </w:r>
      <w:r w:rsidR="00DE20CE">
        <w:rPr>
          <w:rFonts w:cs="Arial"/>
          <w:color w:val="000000" w:themeColor="text1"/>
          <w:sz w:val="24"/>
          <w:szCs w:val="24"/>
          <w:lang w:val="sr-Latn-ME"/>
        </w:rPr>
        <w:t>‒</w:t>
      </w:r>
      <w:r w:rsidR="005E5223" w:rsidRPr="00152259">
        <w:rPr>
          <w:rFonts w:cs="Arial"/>
          <w:color w:val="000000" w:themeColor="text1"/>
          <w:sz w:val="24"/>
          <w:szCs w:val="24"/>
          <w:lang w:val="sr-Latn-ME"/>
        </w:rPr>
        <w:t>skloništa su fizički pristupačna za osobe</w:t>
      </w:r>
      <w:r w:rsidR="00867803">
        <w:rPr>
          <w:rFonts w:cs="Arial"/>
          <w:color w:val="000000" w:themeColor="text1"/>
          <w:sz w:val="24"/>
          <w:szCs w:val="24"/>
          <w:lang w:val="sr-Latn-ME"/>
        </w:rPr>
        <w:t xml:space="preserve"> s i</w:t>
      </w:r>
      <w:r w:rsidR="005E5223" w:rsidRPr="00152259">
        <w:rPr>
          <w:rFonts w:cs="Arial"/>
          <w:color w:val="000000" w:themeColor="text1"/>
          <w:sz w:val="24"/>
          <w:szCs w:val="24"/>
          <w:lang w:val="sr-Latn-ME"/>
        </w:rPr>
        <w:t>nvalid</w:t>
      </w:r>
      <w:r w:rsidR="00DE20CE">
        <w:rPr>
          <w:rFonts w:cs="Arial"/>
          <w:color w:val="000000" w:themeColor="text1"/>
          <w:sz w:val="24"/>
          <w:szCs w:val="24"/>
          <w:lang w:val="sr-Latn-ME"/>
        </w:rPr>
        <w:t>i</w:t>
      </w:r>
      <w:r w:rsidR="005E5223" w:rsidRPr="00152259">
        <w:rPr>
          <w:rFonts w:cs="Arial"/>
          <w:color w:val="000000" w:themeColor="text1"/>
          <w:sz w:val="24"/>
          <w:szCs w:val="24"/>
          <w:lang w:val="sr-Latn-ME"/>
        </w:rPr>
        <w:t xml:space="preserve">tetom, dok ne postoji pristupačnost informacija </w:t>
      </w:r>
      <w:r w:rsidR="00DE20CE">
        <w:rPr>
          <w:rFonts w:cs="Arial"/>
          <w:color w:val="000000" w:themeColor="text1"/>
          <w:sz w:val="24"/>
          <w:szCs w:val="24"/>
          <w:lang w:val="sr-Latn-ME"/>
        </w:rPr>
        <w:t>‒</w:t>
      </w:r>
      <w:r w:rsidR="005E5223" w:rsidRPr="00152259">
        <w:rPr>
          <w:rFonts w:cs="Arial"/>
          <w:color w:val="000000" w:themeColor="text1"/>
          <w:sz w:val="24"/>
          <w:szCs w:val="24"/>
          <w:lang w:val="sr-Latn-ME"/>
        </w:rPr>
        <w:t xml:space="preserve"> Brajevo pismo, znakovni jezik, lako razumljiv format</w:t>
      </w:r>
      <w:r w:rsidR="00DE20CE">
        <w:rPr>
          <w:rFonts w:cs="Arial"/>
          <w:color w:val="000000" w:themeColor="text1"/>
          <w:sz w:val="24"/>
          <w:szCs w:val="24"/>
          <w:lang w:val="sr-Latn-ME"/>
        </w:rPr>
        <w:t>,</w:t>
      </w:r>
      <w:r w:rsidR="005E5223" w:rsidRPr="00152259">
        <w:rPr>
          <w:rFonts w:cs="Arial"/>
          <w:color w:val="000000" w:themeColor="text1"/>
          <w:sz w:val="24"/>
          <w:szCs w:val="24"/>
          <w:lang w:val="sr-Latn-ME"/>
        </w:rPr>
        <w:t xml:space="preserve"> pristupačan prevoz do i od skloništa i dr. </w:t>
      </w:r>
      <w:r w:rsidR="000C544B" w:rsidRPr="00152259">
        <w:rPr>
          <w:rFonts w:cs="Arial"/>
          <w:color w:val="000000" w:themeColor="text1"/>
          <w:sz w:val="24"/>
          <w:szCs w:val="24"/>
          <w:lang w:val="sr-Latn-ME"/>
        </w:rPr>
        <w:t xml:space="preserve"> </w:t>
      </w:r>
      <w:r w:rsidR="00C56854" w:rsidRPr="00152259">
        <w:rPr>
          <w:rFonts w:cs="Arial"/>
          <w:color w:val="000000" w:themeColor="text1"/>
          <w:sz w:val="24"/>
          <w:szCs w:val="24"/>
          <w:lang w:val="sr-Latn-ME"/>
        </w:rPr>
        <w:t xml:space="preserve">Za </w:t>
      </w:r>
      <w:r w:rsidR="00AB56AB" w:rsidRPr="00152259">
        <w:rPr>
          <w:rFonts w:cs="Arial"/>
          <w:color w:val="000000" w:themeColor="text1"/>
          <w:sz w:val="24"/>
          <w:szCs w:val="24"/>
          <w:lang w:val="sr-Latn-ME"/>
        </w:rPr>
        <w:t xml:space="preserve">troškove smještaja za žene i djecu žrtve nasilja po rješenjima CZSR </w:t>
      </w:r>
      <w:r w:rsidR="000C544B" w:rsidRPr="00152259">
        <w:rPr>
          <w:rFonts w:cs="Arial"/>
          <w:color w:val="000000" w:themeColor="text1"/>
          <w:sz w:val="24"/>
          <w:szCs w:val="24"/>
          <w:lang w:val="sr-Latn-ME"/>
        </w:rPr>
        <w:t xml:space="preserve">u toku 2023. godine izdvojeno je  </w:t>
      </w:r>
      <w:r w:rsidRPr="00152259">
        <w:rPr>
          <w:rFonts w:cs="Arial"/>
          <w:color w:val="000000" w:themeColor="text1"/>
          <w:sz w:val="24"/>
          <w:szCs w:val="24"/>
          <w:lang w:val="sr-Latn-ME"/>
        </w:rPr>
        <w:t>11</w:t>
      </w:r>
      <w:r w:rsidR="00AB56AB" w:rsidRPr="00152259">
        <w:rPr>
          <w:rFonts w:cs="Arial"/>
          <w:color w:val="000000" w:themeColor="text1"/>
          <w:sz w:val="24"/>
          <w:szCs w:val="24"/>
          <w:lang w:val="sr-Latn-ME"/>
        </w:rPr>
        <w:t>6</w:t>
      </w:r>
      <w:r w:rsidRPr="00152259">
        <w:rPr>
          <w:rFonts w:cs="Arial"/>
          <w:color w:val="000000" w:themeColor="text1"/>
          <w:sz w:val="24"/>
          <w:szCs w:val="24"/>
          <w:lang w:val="sr-Latn-ME"/>
        </w:rPr>
        <w:t>.</w:t>
      </w:r>
      <w:r w:rsidR="00AB56AB" w:rsidRPr="00152259">
        <w:rPr>
          <w:rFonts w:cs="Arial"/>
          <w:color w:val="000000" w:themeColor="text1"/>
          <w:sz w:val="24"/>
          <w:szCs w:val="24"/>
          <w:lang w:val="sr-Latn-ME"/>
        </w:rPr>
        <w:t>187</w:t>
      </w:r>
      <w:r w:rsidRPr="00152259">
        <w:rPr>
          <w:rFonts w:cs="Arial"/>
          <w:color w:val="000000" w:themeColor="text1"/>
          <w:sz w:val="24"/>
          <w:szCs w:val="24"/>
          <w:lang w:val="sr-Latn-ME"/>
        </w:rPr>
        <w:t>,</w:t>
      </w:r>
      <w:r w:rsidR="00AB56AB" w:rsidRPr="00152259">
        <w:rPr>
          <w:rFonts w:cs="Arial"/>
          <w:color w:val="000000" w:themeColor="text1"/>
          <w:sz w:val="24"/>
          <w:szCs w:val="24"/>
          <w:lang w:val="sr-Latn-ME"/>
        </w:rPr>
        <w:t>51</w:t>
      </w:r>
      <w:r w:rsidRPr="00152259">
        <w:rPr>
          <w:rFonts w:cs="Arial"/>
          <w:color w:val="000000" w:themeColor="text1"/>
          <w:sz w:val="24"/>
          <w:szCs w:val="24"/>
          <w:lang w:val="sr-Latn-ME"/>
        </w:rPr>
        <w:t xml:space="preserve"> e</w:t>
      </w:r>
      <w:r w:rsidR="000C544B" w:rsidRPr="00152259">
        <w:rPr>
          <w:rFonts w:cs="Arial"/>
          <w:color w:val="000000" w:themeColor="text1"/>
          <w:sz w:val="24"/>
          <w:szCs w:val="24"/>
          <w:lang w:val="sr-Latn-ME"/>
        </w:rPr>
        <w:t>ura</w:t>
      </w:r>
      <w:r w:rsidRPr="00152259">
        <w:rPr>
          <w:rFonts w:cs="Arial"/>
          <w:color w:val="000000" w:themeColor="text1"/>
          <w:sz w:val="24"/>
          <w:szCs w:val="24"/>
          <w:lang w:val="sr-Latn-ME"/>
        </w:rPr>
        <w:t xml:space="preserve">. </w:t>
      </w:r>
      <w:r w:rsidRPr="00152259">
        <w:rPr>
          <w:rFonts w:cs="Arial"/>
          <w:sz w:val="24"/>
          <w:szCs w:val="24"/>
          <w:lang w:val="sr-Latn-ME"/>
        </w:rPr>
        <w:t xml:space="preserve">Kroz javni poziv </w:t>
      </w:r>
      <w:r w:rsidR="00F522D6" w:rsidRPr="00152259">
        <w:rPr>
          <w:rFonts w:cs="Arial"/>
          <w:sz w:val="24"/>
          <w:szCs w:val="24"/>
          <w:lang w:val="sr-Latn-ME"/>
        </w:rPr>
        <w:t>za finansi</w:t>
      </w:r>
      <w:r w:rsidRPr="00152259">
        <w:rPr>
          <w:rFonts w:cs="Arial"/>
          <w:sz w:val="24"/>
          <w:szCs w:val="24"/>
          <w:lang w:val="sr-Latn-ME"/>
        </w:rPr>
        <w:t xml:space="preserve">je </w:t>
      </w:r>
      <w:r w:rsidR="00AB56AB" w:rsidRPr="00152259">
        <w:rPr>
          <w:rFonts w:cs="Arial"/>
          <w:sz w:val="24"/>
          <w:szCs w:val="24"/>
          <w:lang w:val="sr-Latn-ME"/>
        </w:rPr>
        <w:t xml:space="preserve">ove usluge u skladu sa ZSDZ izdvojeno je 100.000,00 eura, a kroz Javni poziv za finansiranje projekata odnosno programa u skladu sa Zakonom o nevladinim organizacijama izdvojeno je 300.000,00 eura. </w:t>
      </w:r>
    </w:p>
    <w:p w14:paraId="5AC26486" w14:textId="77777777" w:rsidR="00E53258" w:rsidRPr="00152259" w:rsidRDefault="00E53258" w:rsidP="00780738">
      <w:pPr>
        <w:jc w:val="both"/>
        <w:rPr>
          <w:rFonts w:cs="Arial"/>
          <w:bCs/>
          <w:sz w:val="24"/>
          <w:szCs w:val="24"/>
          <w:lang w:val="sr-Latn-ME"/>
        </w:rPr>
      </w:pPr>
    </w:p>
    <w:p w14:paraId="6E9749C9" w14:textId="77777777" w:rsidR="008B2F62" w:rsidRPr="00F96844" w:rsidRDefault="008B2F62" w:rsidP="00780738">
      <w:pPr>
        <w:jc w:val="both"/>
        <w:rPr>
          <w:rFonts w:cs="Arial"/>
          <w:bCs/>
          <w:sz w:val="24"/>
          <w:szCs w:val="24"/>
          <w:lang w:val="sr-Latn-ME"/>
        </w:rPr>
      </w:pPr>
      <w:r w:rsidRPr="00152259">
        <w:rPr>
          <w:rFonts w:cs="Arial"/>
          <w:b/>
          <w:sz w:val="24"/>
          <w:szCs w:val="24"/>
          <w:lang w:val="sr-Latn-ME"/>
        </w:rPr>
        <w:lastRenderedPageBreak/>
        <w:t>Prihvatilište</w:t>
      </w:r>
      <w:r w:rsidR="00DE20CE">
        <w:rPr>
          <w:rFonts w:cs="Arial"/>
          <w:b/>
          <w:sz w:val="24"/>
          <w:szCs w:val="24"/>
          <w:lang w:val="sr-Latn-ME"/>
        </w:rPr>
        <w:t>‒</w:t>
      </w:r>
      <w:r w:rsidRPr="00152259">
        <w:rPr>
          <w:rFonts w:cs="Arial"/>
          <w:b/>
          <w:sz w:val="24"/>
          <w:szCs w:val="24"/>
          <w:lang w:val="sr-Latn-ME"/>
        </w:rPr>
        <w:t>sklonište</w:t>
      </w:r>
      <w:r w:rsidRPr="00152259">
        <w:rPr>
          <w:rFonts w:cs="Arial"/>
          <w:bCs/>
          <w:sz w:val="24"/>
          <w:szCs w:val="24"/>
          <w:lang w:val="sr-Latn-ME"/>
        </w:rPr>
        <w:t xml:space="preserve"> za beskućnike (odrasla i stara lica) postoji pri JU Dom starih </w:t>
      </w:r>
      <w:r w:rsidR="00DE20CE">
        <w:rPr>
          <w:rFonts w:cs="Arial"/>
          <w:bCs/>
          <w:sz w:val="24"/>
          <w:szCs w:val="24"/>
          <w:lang w:val="sr-Cyrl-ME"/>
        </w:rPr>
        <w:t>„</w:t>
      </w:r>
      <w:r w:rsidRPr="00152259">
        <w:rPr>
          <w:rFonts w:cs="Arial"/>
          <w:bCs/>
          <w:sz w:val="24"/>
          <w:szCs w:val="24"/>
          <w:lang w:val="sr-Latn-ME"/>
        </w:rPr>
        <w:t xml:space="preserve">Grabovac” </w:t>
      </w:r>
      <w:r w:rsidR="00DE20CE">
        <w:rPr>
          <w:rFonts w:cs="Arial"/>
          <w:bCs/>
          <w:sz w:val="24"/>
          <w:szCs w:val="24"/>
          <w:lang w:val="sr-Latn-ME"/>
        </w:rPr>
        <w:t xml:space="preserve">‒ </w:t>
      </w:r>
      <w:r w:rsidRPr="00152259">
        <w:rPr>
          <w:rFonts w:cs="Arial"/>
          <w:bCs/>
          <w:sz w:val="24"/>
          <w:szCs w:val="24"/>
          <w:lang w:val="sr-Latn-ME"/>
        </w:rPr>
        <w:t xml:space="preserve">Risan. </w:t>
      </w:r>
      <w:r w:rsidR="006A1F3B" w:rsidRPr="00152259">
        <w:rPr>
          <w:rFonts w:cs="Arial"/>
          <w:bCs/>
          <w:sz w:val="24"/>
          <w:szCs w:val="24"/>
          <w:lang w:val="sr-Latn-ME"/>
        </w:rPr>
        <w:t>U</w:t>
      </w:r>
      <w:r w:rsidRPr="00152259">
        <w:rPr>
          <w:rFonts w:cs="Arial"/>
          <w:bCs/>
          <w:sz w:val="24"/>
          <w:szCs w:val="24"/>
          <w:lang w:val="sr-Latn-ME"/>
        </w:rPr>
        <w:t xml:space="preserve"> skloništ</w:t>
      </w:r>
      <w:r w:rsidR="00DE20CE">
        <w:rPr>
          <w:rFonts w:cs="Arial"/>
          <w:bCs/>
          <w:sz w:val="24"/>
          <w:szCs w:val="24"/>
          <w:lang w:val="sr-Latn-ME"/>
        </w:rPr>
        <w:t>e</w:t>
      </w:r>
      <w:r w:rsidRPr="00152259">
        <w:rPr>
          <w:rFonts w:cs="Arial"/>
          <w:bCs/>
          <w:sz w:val="24"/>
          <w:szCs w:val="24"/>
          <w:lang w:val="sr-Latn-ME"/>
        </w:rPr>
        <w:t xml:space="preserve"> za beskućnike u toku 2023. godine</w:t>
      </w:r>
      <w:r w:rsidR="006A1F3B" w:rsidRPr="00152259">
        <w:rPr>
          <w:rFonts w:cs="Arial"/>
          <w:bCs/>
          <w:sz w:val="24"/>
          <w:szCs w:val="24"/>
          <w:lang w:val="sr-Latn-ME"/>
        </w:rPr>
        <w:t xml:space="preserve"> bilo je smješteno </w:t>
      </w:r>
      <w:r w:rsidR="00922535" w:rsidRPr="00152259">
        <w:rPr>
          <w:rFonts w:cs="Arial"/>
          <w:bCs/>
          <w:sz w:val="24"/>
          <w:szCs w:val="24"/>
          <w:lang w:val="sr-Latn-ME"/>
        </w:rPr>
        <w:t>četiri</w:t>
      </w:r>
      <w:r w:rsidR="006A1F3B" w:rsidRPr="00152259">
        <w:rPr>
          <w:rFonts w:cs="Arial"/>
          <w:bCs/>
          <w:sz w:val="24"/>
          <w:szCs w:val="24"/>
          <w:lang w:val="sr-Latn-ME"/>
        </w:rPr>
        <w:t xml:space="preserve"> k</w:t>
      </w:r>
      <w:r w:rsidR="00B53B8D">
        <w:rPr>
          <w:rFonts w:cs="Arial"/>
          <w:bCs/>
          <w:sz w:val="24"/>
          <w:szCs w:val="24"/>
          <w:lang w:val="sr-Latn-ME"/>
        </w:rPr>
        <w:t>orisnika/korisnice</w:t>
      </w:r>
      <w:r w:rsidR="006A1F3B" w:rsidRPr="00152259">
        <w:rPr>
          <w:rFonts w:cs="Arial"/>
          <w:bCs/>
          <w:sz w:val="24"/>
          <w:szCs w:val="24"/>
          <w:lang w:val="sr-Latn-ME"/>
        </w:rPr>
        <w:t xml:space="preserve">. </w:t>
      </w:r>
      <w:r w:rsidR="009606DB" w:rsidRPr="00152259">
        <w:rPr>
          <w:rFonts w:cs="Arial"/>
          <w:bCs/>
          <w:sz w:val="24"/>
          <w:szCs w:val="24"/>
          <w:lang w:val="sr-Latn-ME"/>
        </w:rPr>
        <w:t>Sklonište je fizički pristupačno za osobe</w:t>
      </w:r>
      <w:r w:rsidR="00867803">
        <w:rPr>
          <w:rFonts w:cs="Arial"/>
          <w:bCs/>
          <w:sz w:val="24"/>
          <w:szCs w:val="24"/>
          <w:lang w:val="sr-Latn-ME"/>
        </w:rPr>
        <w:t xml:space="preserve"> s i</w:t>
      </w:r>
      <w:r w:rsidR="009606DB" w:rsidRPr="00152259">
        <w:rPr>
          <w:rFonts w:cs="Arial"/>
          <w:bCs/>
          <w:sz w:val="24"/>
          <w:szCs w:val="24"/>
          <w:lang w:val="sr-Latn-ME"/>
        </w:rPr>
        <w:t xml:space="preserve">nvaliditetom, dok ne postoji pristupačnost informacija </w:t>
      </w:r>
      <w:r w:rsidR="00DE20CE">
        <w:rPr>
          <w:rFonts w:cs="Arial"/>
          <w:bCs/>
          <w:sz w:val="24"/>
          <w:szCs w:val="24"/>
          <w:lang w:val="sr-Latn-ME"/>
        </w:rPr>
        <w:t>‒</w:t>
      </w:r>
      <w:r w:rsidR="009606DB" w:rsidRPr="00152259">
        <w:rPr>
          <w:rFonts w:cs="Arial"/>
          <w:bCs/>
          <w:sz w:val="24"/>
          <w:szCs w:val="24"/>
          <w:lang w:val="sr-Latn-ME"/>
        </w:rPr>
        <w:t xml:space="preserve"> Brajevo pismo, znakovni jezik, lako razumljiv format</w:t>
      </w:r>
      <w:r w:rsidR="00DE20CE">
        <w:rPr>
          <w:rFonts w:cs="Arial"/>
          <w:bCs/>
          <w:sz w:val="24"/>
          <w:szCs w:val="24"/>
          <w:lang w:val="sr-Latn-ME"/>
        </w:rPr>
        <w:t>,</w:t>
      </w:r>
      <w:r w:rsidR="009606DB" w:rsidRPr="00152259">
        <w:rPr>
          <w:rFonts w:cs="Arial"/>
          <w:bCs/>
          <w:sz w:val="24"/>
          <w:szCs w:val="24"/>
          <w:lang w:val="sr-Latn-ME"/>
        </w:rPr>
        <w:t xml:space="preserve"> pristupačan prevoz do i od skloništa i dr.</w:t>
      </w:r>
    </w:p>
    <w:p w14:paraId="3CF68D72" w14:textId="77777777" w:rsidR="00E53258" w:rsidRDefault="00E53258" w:rsidP="00780738">
      <w:pPr>
        <w:jc w:val="both"/>
        <w:rPr>
          <w:rFonts w:cs="Arial"/>
          <w:color w:val="FF0000"/>
          <w:sz w:val="24"/>
          <w:szCs w:val="24"/>
          <w:lang w:val="sr-Latn-ME"/>
        </w:rPr>
      </w:pPr>
    </w:p>
    <w:p w14:paraId="599D17C5" w14:textId="77777777" w:rsidR="00107541" w:rsidRDefault="00107541" w:rsidP="00780738">
      <w:pPr>
        <w:jc w:val="both"/>
        <w:rPr>
          <w:rFonts w:cs="Arial"/>
          <w:b/>
          <w:bCs/>
          <w:sz w:val="24"/>
          <w:szCs w:val="24"/>
          <w:lang w:val="sr-Latn-ME"/>
        </w:rPr>
      </w:pPr>
      <w:r w:rsidRPr="00107541">
        <w:rPr>
          <w:rFonts w:cs="Arial"/>
          <w:b/>
          <w:bCs/>
          <w:sz w:val="24"/>
          <w:szCs w:val="24"/>
          <w:lang w:val="sr-Latn-ME"/>
        </w:rPr>
        <w:t>Nedostajuće usluge iz oblasti socijalne i d</w:t>
      </w:r>
      <w:r w:rsidR="00EB2F1D">
        <w:rPr>
          <w:rFonts w:cs="Arial"/>
          <w:b/>
          <w:bCs/>
          <w:sz w:val="24"/>
          <w:szCs w:val="24"/>
          <w:lang w:val="sr-Latn-ME"/>
        </w:rPr>
        <w:t>ječj</w:t>
      </w:r>
      <w:r w:rsidRPr="00107541">
        <w:rPr>
          <w:rFonts w:cs="Arial"/>
          <w:b/>
          <w:bCs/>
          <w:sz w:val="24"/>
          <w:szCs w:val="24"/>
          <w:lang w:val="sr-Latn-ME"/>
        </w:rPr>
        <w:t>e zaštite</w:t>
      </w:r>
    </w:p>
    <w:p w14:paraId="7AA5B3BC" w14:textId="77777777" w:rsidR="00107541" w:rsidRPr="00107541" w:rsidRDefault="00107541" w:rsidP="00780738">
      <w:pPr>
        <w:jc w:val="both"/>
        <w:rPr>
          <w:rFonts w:cs="Arial"/>
          <w:b/>
          <w:bCs/>
          <w:sz w:val="24"/>
          <w:szCs w:val="24"/>
          <w:lang w:val="sr-Latn-ME"/>
        </w:rPr>
      </w:pPr>
    </w:p>
    <w:p w14:paraId="41ED24F7" w14:textId="77777777" w:rsidR="00294C23" w:rsidRDefault="00294C23" w:rsidP="00780738">
      <w:pPr>
        <w:jc w:val="both"/>
        <w:rPr>
          <w:rFonts w:cs="Arial"/>
          <w:sz w:val="24"/>
          <w:szCs w:val="24"/>
          <w:lang w:val="sr-Latn-ME"/>
        </w:rPr>
      </w:pPr>
      <w:r w:rsidRPr="00294C23">
        <w:rPr>
          <w:rFonts w:cs="Arial"/>
          <w:color w:val="000000" w:themeColor="text1"/>
          <w:sz w:val="24"/>
          <w:szCs w:val="24"/>
          <w:lang w:val="sr-Latn-ME"/>
        </w:rPr>
        <w:t xml:space="preserve">U cilju kvalitetnije i efikasnije zaštite različitih kategorija korisnika u sistemu socijalne i dječje zaštite nedostaju </w:t>
      </w:r>
      <w:r w:rsidR="009F661D">
        <w:rPr>
          <w:rFonts w:cs="Arial"/>
          <w:color w:val="000000" w:themeColor="text1"/>
          <w:sz w:val="24"/>
          <w:szCs w:val="24"/>
          <w:lang w:val="sr-Latn-ME"/>
        </w:rPr>
        <w:t>sljed</w:t>
      </w:r>
      <w:r w:rsidRPr="00294C23">
        <w:rPr>
          <w:rFonts w:cs="Arial"/>
          <w:color w:val="000000" w:themeColor="text1"/>
          <w:sz w:val="24"/>
          <w:szCs w:val="24"/>
          <w:lang w:val="sr-Latn-ME"/>
        </w:rPr>
        <w:t xml:space="preserve">eće usluge: </w:t>
      </w:r>
      <w:r w:rsidRPr="00F96844">
        <w:rPr>
          <w:rFonts w:cs="Arial"/>
          <w:sz w:val="24"/>
          <w:szCs w:val="24"/>
          <w:lang w:val="sr-Latn-ME"/>
        </w:rPr>
        <w:t>socijalno-edukativn</w:t>
      </w:r>
      <w:r>
        <w:rPr>
          <w:rFonts w:cs="Arial"/>
          <w:sz w:val="24"/>
          <w:szCs w:val="24"/>
          <w:lang w:val="sr-Latn-ME"/>
        </w:rPr>
        <w:t>e</w:t>
      </w:r>
      <w:r w:rsidRPr="00F96844">
        <w:rPr>
          <w:rFonts w:cs="Arial"/>
          <w:sz w:val="24"/>
          <w:szCs w:val="24"/>
          <w:lang w:val="sr-Latn-ME"/>
        </w:rPr>
        <w:t xml:space="preserve"> usluga, stanovanja uz podršku, predah roditeljstvu, lični pratilac djeteta, male grupne zajednice za odrasle i star</w:t>
      </w:r>
      <w:r w:rsidR="002C7714">
        <w:rPr>
          <w:rFonts w:cs="Arial"/>
          <w:sz w:val="24"/>
          <w:szCs w:val="24"/>
          <w:lang w:val="sr-Latn-ME"/>
        </w:rPr>
        <w:t>ij</w:t>
      </w:r>
      <w:r w:rsidRPr="00F96844">
        <w:rPr>
          <w:rFonts w:cs="Arial"/>
          <w:sz w:val="24"/>
          <w:szCs w:val="24"/>
          <w:lang w:val="sr-Latn-ME"/>
        </w:rPr>
        <w:t xml:space="preserve">e, </w:t>
      </w:r>
      <w:r w:rsidR="00B2335C">
        <w:rPr>
          <w:rFonts w:cs="Arial"/>
          <w:sz w:val="24"/>
          <w:szCs w:val="24"/>
          <w:lang w:val="sr-Latn-ME"/>
        </w:rPr>
        <w:t>prevođenje</w:t>
      </w:r>
      <w:r w:rsidRPr="00F96844">
        <w:rPr>
          <w:rFonts w:cs="Arial"/>
          <w:sz w:val="24"/>
          <w:szCs w:val="24"/>
          <w:lang w:val="sr-Latn-ME"/>
        </w:rPr>
        <w:t xml:space="preserve"> </w:t>
      </w:r>
      <w:r w:rsidR="00B2335C">
        <w:rPr>
          <w:rFonts w:cs="Arial"/>
          <w:sz w:val="24"/>
          <w:szCs w:val="24"/>
          <w:lang w:val="sr-Latn-ME"/>
        </w:rPr>
        <w:t>n</w:t>
      </w:r>
      <w:r w:rsidRPr="00F96844">
        <w:rPr>
          <w:rFonts w:cs="Arial"/>
          <w:sz w:val="24"/>
          <w:szCs w:val="24"/>
          <w:lang w:val="sr-Latn-ME"/>
        </w:rPr>
        <w:t>a znakovni jezik</w:t>
      </w:r>
      <w:r w:rsidR="00DE20CE">
        <w:rPr>
          <w:rFonts w:cs="Arial"/>
          <w:sz w:val="24"/>
          <w:szCs w:val="24"/>
          <w:lang w:val="sr-Latn-ME"/>
        </w:rPr>
        <w:t>.</w:t>
      </w:r>
      <w:r w:rsidRPr="00F96844">
        <w:rPr>
          <w:rFonts w:cs="Arial"/>
          <w:sz w:val="24"/>
          <w:szCs w:val="24"/>
          <w:vertAlign w:val="superscript"/>
          <w:lang w:val="sr-Latn-ME"/>
        </w:rPr>
        <w:footnoteReference w:id="85"/>
      </w:r>
    </w:p>
    <w:p w14:paraId="41AFE056" w14:textId="77777777" w:rsidR="00D57A2A" w:rsidRDefault="00B2335C" w:rsidP="00780738">
      <w:pPr>
        <w:jc w:val="both"/>
        <w:rPr>
          <w:rFonts w:cs="Arial"/>
          <w:sz w:val="24"/>
          <w:szCs w:val="24"/>
          <w:lang w:val="sr-Latn-ME"/>
        </w:rPr>
      </w:pPr>
      <w:r>
        <w:rPr>
          <w:rFonts w:cs="Arial"/>
          <w:sz w:val="24"/>
          <w:szCs w:val="24"/>
          <w:lang w:val="sr-Latn-ME"/>
        </w:rPr>
        <w:t xml:space="preserve">U prethodnom periodu prepoznata je potreba za uspostavljanjem usluga za: djecu RE populacije, </w:t>
      </w:r>
      <w:r w:rsidRPr="00F96844">
        <w:rPr>
          <w:rFonts w:cs="Arial"/>
          <w:sz w:val="24"/>
          <w:szCs w:val="24"/>
          <w:lang w:val="sr-Latn-ME"/>
        </w:rPr>
        <w:t>djeca koja prose na ulici, djeca beskućnici,</w:t>
      </w:r>
      <w:r>
        <w:rPr>
          <w:rFonts w:cs="Arial"/>
          <w:sz w:val="24"/>
          <w:szCs w:val="24"/>
          <w:lang w:val="sr-Latn-ME"/>
        </w:rPr>
        <w:t xml:space="preserve"> djeca </w:t>
      </w:r>
      <w:r w:rsidRPr="00F96844">
        <w:rPr>
          <w:rFonts w:cs="Arial"/>
          <w:sz w:val="24"/>
          <w:szCs w:val="24"/>
          <w:lang w:val="sr-Latn-ME"/>
        </w:rPr>
        <w:t>žrtve ugovorenih brakova i djeca bez pratnje</w:t>
      </w:r>
      <w:r>
        <w:rPr>
          <w:rFonts w:cs="Arial"/>
          <w:sz w:val="24"/>
          <w:szCs w:val="24"/>
          <w:lang w:val="sr-Latn-ME"/>
        </w:rPr>
        <w:t>, djeca sa smetnjama i teškoćama u razvoju, djeca</w:t>
      </w:r>
      <w:r w:rsidR="004C5D23">
        <w:rPr>
          <w:rFonts w:cs="Arial"/>
          <w:sz w:val="24"/>
          <w:szCs w:val="24"/>
          <w:lang w:val="sr-Latn-ME"/>
        </w:rPr>
        <w:t xml:space="preserve"> s p</w:t>
      </w:r>
      <w:r>
        <w:rPr>
          <w:rFonts w:cs="Arial"/>
          <w:sz w:val="24"/>
          <w:szCs w:val="24"/>
          <w:lang w:val="sr-Latn-ME"/>
        </w:rPr>
        <w:t>roblemima u ponašanju, djeca počinoci krivičnih djela</w:t>
      </w:r>
      <w:r w:rsidR="00107541">
        <w:rPr>
          <w:rFonts w:cs="Arial"/>
          <w:sz w:val="24"/>
          <w:szCs w:val="24"/>
          <w:lang w:val="sr-Latn-ME"/>
        </w:rPr>
        <w:t>,</w:t>
      </w:r>
      <w:r>
        <w:rPr>
          <w:rFonts w:cs="Arial"/>
          <w:sz w:val="24"/>
          <w:szCs w:val="24"/>
          <w:lang w:val="sr-Latn-ME"/>
        </w:rPr>
        <w:t xml:space="preserve"> djeca migranti</w:t>
      </w:r>
      <w:r w:rsidR="00107541">
        <w:rPr>
          <w:rFonts w:cs="Arial"/>
          <w:sz w:val="24"/>
          <w:szCs w:val="24"/>
          <w:lang w:val="sr-Latn-ME"/>
        </w:rPr>
        <w:t xml:space="preserve"> i dr</w:t>
      </w:r>
      <w:r>
        <w:rPr>
          <w:rFonts w:cs="Arial"/>
          <w:sz w:val="24"/>
          <w:szCs w:val="24"/>
          <w:lang w:val="sr-Latn-ME"/>
        </w:rPr>
        <w:t>.</w:t>
      </w:r>
    </w:p>
    <w:p w14:paraId="133E1D75" w14:textId="77777777" w:rsidR="00B2335C" w:rsidRDefault="00B2335C" w:rsidP="00780738">
      <w:pPr>
        <w:jc w:val="both"/>
        <w:rPr>
          <w:rFonts w:cs="Arial"/>
          <w:sz w:val="24"/>
          <w:szCs w:val="24"/>
          <w:lang w:val="sr-Latn-ME"/>
        </w:rPr>
      </w:pPr>
      <w:r w:rsidRPr="00F96844">
        <w:rPr>
          <w:rFonts w:cs="Arial"/>
          <w:sz w:val="24"/>
          <w:szCs w:val="24"/>
          <w:lang w:val="sr-Latn-ME"/>
        </w:rPr>
        <w:t>Među</w:t>
      </w:r>
      <w:r w:rsidR="00EC584E">
        <w:rPr>
          <w:rFonts w:cs="Arial"/>
          <w:sz w:val="24"/>
          <w:szCs w:val="24"/>
          <w:lang w:val="sr-Latn-ME"/>
        </w:rPr>
        <w:t xml:space="preserve"> </w:t>
      </w:r>
      <w:r w:rsidRPr="00F96844">
        <w:rPr>
          <w:rFonts w:cs="Arial"/>
          <w:sz w:val="24"/>
          <w:szCs w:val="24"/>
          <w:lang w:val="sr-Latn-ME"/>
        </w:rPr>
        <w:t>odraslim i stari</w:t>
      </w:r>
      <w:r w:rsidR="002C7714">
        <w:rPr>
          <w:rFonts w:cs="Arial"/>
          <w:sz w:val="24"/>
          <w:szCs w:val="24"/>
          <w:lang w:val="sr-Latn-ME"/>
        </w:rPr>
        <w:t>ji</w:t>
      </w:r>
      <w:r w:rsidRPr="00F96844">
        <w:rPr>
          <w:rFonts w:cs="Arial"/>
          <w:sz w:val="24"/>
          <w:szCs w:val="24"/>
          <w:lang w:val="sr-Latn-ME"/>
        </w:rPr>
        <w:t>m, nedostaju usluge koje bi bolje odgovorile specifičnim potrebama</w:t>
      </w:r>
      <w:r w:rsidR="00EC584E">
        <w:rPr>
          <w:rFonts w:cs="Arial"/>
          <w:sz w:val="24"/>
          <w:szCs w:val="24"/>
          <w:lang w:val="sr-Latn-ME"/>
        </w:rPr>
        <w:t xml:space="preserve"> lica</w:t>
      </w:r>
      <w:r w:rsidR="00867803">
        <w:rPr>
          <w:rFonts w:cs="Arial"/>
          <w:sz w:val="24"/>
          <w:szCs w:val="24"/>
          <w:lang w:val="sr-Latn-ME"/>
        </w:rPr>
        <w:t xml:space="preserve"> s i</w:t>
      </w:r>
      <w:r w:rsidR="00EC584E">
        <w:rPr>
          <w:rFonts w:cs="Arial"/>
          <w:sz w:val="24"/>
          <w:szCs w:val="24"/>
          <w:lang w:val="sr-Latn-ME"/>
        </w:rPr>
        <w:t xml:space="preserve">nvaliditetom, </w:t>
      </w:r>
      <w:r w:rsidRPr="00F96844">
        <w:rPr>
          <w:rFonts w:cs="Arial"/>
          <w:sz w:val="24"/>
          <w:szCs w:val="24"/>
          <w:lang w:val="sr-Latn-ME"/>
        </w:rPr>
        <w:t>romske i egipćanske zajednice, LGBTIQ populacije,</w:t>
      </w:r>
      <w:r w:rsidR="00EC584E">
        <w:rPr>
          <w:rFonts w:cs="Arial"/>
          <w:sz w:val="24"/>
          <w:szCs w:val="24"/>
          <w:lang w:val="sr-Latn-ME"/>
        </w:rPr>
        <w:t xml:space="preserve"> beskućnike, zatvorenik</w:t>
      </w:r>
      <w:r w:rsidR="002C7714">
        <w:rPr>
          <w:rFonts w:cs="Arial"/>
          <w:sz w:val="24"/>
          <w:szCs w:val="24"/>
          <w:lang w:val="sr-Latn-ME"/>
        </w:rPr>
        <w:t>e</w:t>
      </w:r>
      <w:r w:rsidR="00EC584E">
        <w:rPr>
          <w:rFonts w:cs="Arial"/>
          <w:sz w:val="24"/>
          <w:szCs w:val="24"/>
          <w:lang w:val="sr-Latn-ME"/>
        </w:rPr>
        <w:t xml:space="preserve">, </w:t>
      </w:r>
      <w:r w:rsidR="00D57A2A">
        <w:rPr>
          <w:rFonts w:cs="Arial"/>
          <w:sz w:val="24"/>
          <w:szCs w:val="24"/>
          <w:lang w:val="sr-Latn-ME"/>
        </w:rPr>
        <w:t>korisnike PAS,</w:t>
      </w:r>
      <w:r w:rsidRPr="00F96844">
        <w:rPr>
          <w:rFonts w:cs="Arial"/>
          <w:sz w:val="24"/>
          <w:szCs w:val="24"/>
          <w:lang w:val="sr-Latn-ME"/>
        </w:rPr>
        <w:t xml:space="preserve"> migran</w:t>
      </w:r>
      <w:r w:rsidR="00EC584E">
        <w:rPr>
          <w:rFonts w:cs="Arial"/>
          <w:sz w:val="24"/>
          <w:szCs w:val="24"/>
          <w:lang w:val="sr-Latn-ME"/>
        </w:rPr>
        <w:t>ata</w:t>
      </w:r>
      <w:r w:rsidRPr="00F96844">
        <w:rPr>
          <w:rFonts w:cs="Arial"/>
          <w:sz w:val="24"/>
          <w:szCs w:val="24"/>
          <w:lang w:val="sr-Latn-ME"/>
        </w:rPr>
        <w:t xml:space="preserve"> posebno</w:t>
      </w:r>
      <w:r w:rsidR="004C5D23">
        <w:rPr>
          <w:rFonts w:cs="Arial"/>
          <w:sz w:val="24"/>
          <w:szCs w:val="24"/>
          <w:lang w:val="sr-Latn-ME"/>
        </w:rPr>
        <w:t xml:space="preserve"> s r</w:t>
      </w:r>
      <w:r w:rsidRPr="00F96844">
        <w:rPr>
          <w:rFonts w:cs="Arial"/>
          <w:sz w:val="24"/>
          <w:szCs w:val="24"/>
          <w:lang w:val="sr-Latn-ME"/>
        </w:rPr>
        <w:t>atom ugroženih područja</w:t>
      </w:r>
      <w:r w:rsidR="002C7714">
        <w:rPr>
          <w:rFonts w:cs="Arial"/>
          <w:sz w:val="24"/>
          <w:szCs w:val="24"/>
          <w:lang w:val="sr-Latn-ME"/>
        </w:rPr>
        <w:t xml:space="preserve"> i dr.</w:t>
      </w:r>
    </w:p>
    <w:p w14:paraId="50FCDFA7" w14:textId="77777777" w:rsidR="00294C23" w:rsidRDefault="00294C23" w:rsidP="00780738">
      <w:pPr>
        <w:jc w:val="both"/>
        <w:rPr>
          <w:rFonts w:cs="Arial"/>
          <w:color w:val="FF0000"/>
          <w:sz w:val="24"/>
          <w:szCs w:val="24"/>
          <w:lang w:val="sr-Latn-ME"/>
        </w:rPr>
      </w:pPr>
    </w:p>
    <w:p w14:paraId="101CF4D2" w14:textId="77777777" w:rsidR="00172EA3" w:rsidRPr="00172EA3" w:rsidRDefault="00377961" w:rsidP="00780738">
      <w:pPr>
        <w:jc w:val="both"/>
        <w:rPr>
          <w:rFonts w:cs="Arial"/>
          <w:sz w:val="24"/>
          <w:szCs w:val="24"/>
        </w:rPr>
      </w:pPr>
      <w:r w:rsidRPr="00377961">
        <w:rPr>
          <w:rFonts w:cs="Arial"/>
          <w:b/>
          <w:bCs/>
          <w:sz w:val="24"/>
          <w:szCs w:val="24"/>
        </w:rPr>
        <w:t>Usluga tumačenja i prevođenja na znakovni jezik</w:t>
      </w:r>
      <w:r w:rsidR="00DE20CE" w:rsidRPr="00DF2C6A">
        <w:rPr>
          <w:rFonts w:cs="Arial"/>
          <w:sz w:val="24"/>
          <w:szCs w:val="24"/>
        </w:rPr>
        <w:t>,</w:t>
      </w:r>
      <w:r w:rsidRPr="00377961">
        <w:rPr>
          <w:rFonts w:cs="Arial"/>
          <w:sz w:val="24"/>
          <w:szCs w:val="24"/>
        </w:rPr>
        <w:t xml:space="preserve"> </w:t>
      </w:r>
      <w:r w:rsidR="00172EA3" w:rsidRPr="00172EA3">
        <w:rPr>
          <w:rFonts w:cs="Arial"/>
          <w:sz w:val="24"/>
          <w:szCs w:val="24"/>
        </w:rPr>
        <w:t>iako je prepoznata</w:t>
      </w:r>
      <w:r w:rsidR="00172EA3" w:rsidRPr="00172EA3">
        <w:t xml:space="preserve"> </w:t>
      </w:r>
      <w:r w:rsidR="00172EA3" w:rsidRPr="00172EA3">
        <w:rPr>
          <w:rFonts w:cs="Arial"/>
          <w:sz w:val="24"/>
          <w:szCs w:val="24"/>
        </w:rPr>
        <w:t>Zakonom o socijalnoj i dječjoj zaštiti kao jedn</w:t>
      </w:r>
      <w:r w:rsidR="00DE20CE">
        <w:rPr>
          <w:rFonts w:cs="Arial"/>
          <w:sz w:val="24"/>
          <w:szCs w:val="24"/>
        </w:rPr>
        <w:t>a</w:t>
      </w:r>
      <w:r w:rsidR="00172EA3" w:rsidRPr="00172EA3">
        <w:rPr>
          <w:rFonts w:cs="Arial"/>
          <w:sz w:val="24"/>
          <w:szCs w:val="24"/>
        </w:rPr>
        <w:t xml:space="preserve"> od usluga za podršku</w:t>
      </w:r>
      <w:r w:rsidR="00DE20CE">
        <w:rPr>
          <w:rFonts w:cs="Arial"/>
          <w:sz w:val="24"/>
          <w:szCs w:val="24"/>
        </w:rPr>
        <w:t xml:space="preserve"> za</w:t>
      </w:r>
      <w:r w:rsidR="00172EA3" w:rsidRPr="00172EA3">
        <w:rPr>
          <w:rFonts w:cs="Arial"/>
          <w:sz w:val="24"/>
          <w:szCs w:val="24"/>
        </w:rPr>
        <w:t xml:space="preserve"> život u zajednici, nije formalno razrađena. Ova usluga </w:t>
      </w:r>
      <w:r w:rsidRPr="00377961">
        <w:rPr>
          <w:rFonts w:cs="Arial"/>
          <w:sz w:val="24"/>
          <w:szCs w:val="24"/>
        </w:rPr>
        <w:t xml:space="preserve">je namijenjena osobama s oštećenjem sluha i/ili govora. Osobe s oštećenjem sluha i govora imaju pravo, kao i druge osobe, na ravnopravnost, nediskriminaciju i dostupnost informacijama u prilagođenim formatima. U tom smislu je neophodno propisati minimalne standarde i bliže uslove za pružanje i korišćenje ove usluge u svim situacijama u kojima je ona neophodna za samostalan život osoba s oštećenjem sluha i/ili govora. </w:t>
      </w:r>
    </w:p>
    <w:p w14:paraId="41E8C606" w14:textId="77777777" w:rsidR="00172EA3" w:rsidRPr="00172EA3" w:rsidRDefault="00172EA3" w:rsidP="00780738">
      <w:pPr>
        <w:jc w:val="both"/>
        <w:rPr>
          <w:rFonts w:cs="Arial"/>
          <w:sz w:val="24"/>
          <w:szCs w:val="24"/>
        </w:rPr>
      </w:pPr>
    </w:p>
    <w:p w14:paraId="1A01B4B1" w14:textId="77777777" w:rsidR="00377961" w:rsidRPr="00377961" w:rsidRDefault="00377961" w:rsidP="00780738">
      <w:pPr>
        <w:jc w:val="both"/>
        <w:rPr>
          <w:rFonts w:cs="Arial"/>
          <w:sz w:val="24"/>
          <w:szCs w:val="24"/>
        </w:rPr>
      </w:pPr>
      <w:r w:rsidRPr="00377961">
        <w:rPr>
          <w:rFonts w:cs="Arial"/>
          <w:sz w:val="24"/>
          <w:szCs w:val="24"/>
        </w:rPr>
        <w:t>Problemi u vezi</w:t>
      </w:r>
      <w:r w:rsidR="004C5D23">
        <w:rPr>
          <w:rFonts w:cs="Arial"/>
          <w:sz w:val="24"/>
          <w:szCs w:val="24"/>
        </w:rPr>
        <w:t xml:space="preserve"> s p</w:t>
      </w:r>
      <w:r w:rsidRPr="00377961">
        <w:rPr>
          <w:rFonts w:cs="Arial"/>
          <w:sz w:val="24"/>
          <w:szCs w:val="24"/>
        </w:rPr>
        <w:t>ružanjem ove usluge su: nedostatak minimalnih standarda i propisane cijene usluga, gotovo potpuna izolovanost i isključenost osoba s oštećenjem sluha i/ili govora iz pokreta</w:t>
      </w:r>
      <w:r w:rsidR="004A3D9F">
        <w:rPr>
          <w:rFonts w:cs="Arial"/>
          <w:sz w:val="24"/>
          <w:szCs w:val="24"/>
        </w:rPr>
        <w:t xml:space="preserve"> </w:t>
      </w:r>
      <w:r w:rsidRPr="00377961">
        <w:rPr>
          <w:rFonts w:cs="Arial"/>
          <w:sz w:val="24"/>
          <w:szCs w:val="24"/>
        </w:rPr>
        <w:t>za prava lica</w:t>
      </w:r>
      <w:r w:rsidR="00867803">
        <w:rPr>
          <w:rFonts w:cs="Arial"/>
          <w:sz w:val="24"/>
          <w:szCs w:val="24"/>
        </w:rPr>
        <w:t xml:space="preserve"> s i</w:t>
      </w:r>
      <w:r w:rsidRPr="00377961">
        <w:rPr>
          <w:rFonts w:cs="Arial"/>
          <w:sz w:val="24"/>
          <w:szCs w:val="24"/>
        </w:rPr>
        <w:t xml:space="preserve">nvaliditetom i procesa donošenja odluka, veoma mali broj tumača znakovnog jezika, kojima to nije primarno zanimanje, nedovoljna informisanost i motivisanost </w:t>
      </w:r>
      <w:r w:rsidR="00EB2F1D">
        <w:rPr>
          <w:rFonts w:cs="Arial"/>
          <w:sz w:val="24"/>
          <w:szCs w:val="24"/>
        </w:rPr>
        <w:t>korisnika/korisnica</w:t>
      </w:r>
      <w:r w:rsidRPr="00377961">
        <w:rPr>
          <w:rFonts w:cs="Arial"/>
          <w:sz w:val="24"/>
          <w:szCs w:val="24"/>
        </w:rPr>
        <w:t xml:space="preserve"> za borbu za svoja prava u oblasti SDZ. </w:t>
      </w:r>
    </w:p>
    <w:p w14:paraId="4E7D9BFA" w14:textId="77777777" w:rsidR="00D57A2A" w:rsidRPr="00F96844" w:rsidRDefault="00D57A2A" w:rsidP="00780738">
      <w:pPr>
        <w:jc w:val="both"/>
        <w:rPr>
          <w:rFonts w:cs="Arial"/>
          <w:color w:val="FF0000"/>
          <w:sz w:val="24"/>
          <w:szCs w:val="24"/>
          <w:lang w:val="sr-Latn-ME"/>
        </w:rPr>
      </w:pPr>
    </w:p>
    <w:p w14:paraId="43D5B012" w14:textId="77777777" w:rsidR="008B2F62" w:rsidRDefault="008B2F62" w:rsidP="00780738">
      <w:pPr>
        <w:jc w:val="both"/>
        <w:rPr>
          <w:rFonts w:cs="Arial"/>
          <w:sz w:val="24"/>
          <w:szCs w:val="24"/>
          <w:lang w:val="sr-Latn-ME"/>
        </w:rPr>
      </w:pPr>
      <w:r w:rsidRPr="00C16548">
        <w:rPr>
          <w:rFonts w:cs="Arial"/>
          <w:b/>
          <w:bCs/>
          <w:sz w:val="24"/>
          <w:szCs w:val="24"/>
          <w:lang w:val="sr-Latn-ME"/>
        </w:rPr>
        <w:t>Integrisane usluge</w:t>
      </w:r>
      <w:r w:rsidR="00D57A2A">
        <w:rPr>
          <w:rFonts w:cs="Arial"/>
          <w:b/>
          <w:bCs/>
          <w:i/>
          <w:iCs/>
          <w:sz w:val="24"/>
          <w:szCs w:val="24"/>
          <w:lang w:val="sr-Latn-ME"/>
        </w:rPr>
        <w:t xml:space="preserve"> </w:t>
      </w:r>
      <w:r w:rsidR="00D57A2A" w:rsidRPr="00F96844">
        <w:rPr>
          <w:sz w:val="24"/>
          <w:szCs w:val="24"/>
          <w:lang w:val="sr-Latn-ME"/>
        </w:rPr>
        <w:t>su</w:t>
      </w:r>
      <w:r w:rsidR="00D57A2A" w:rsidRPr="00F96844">
        <w:rPr>
          <w:rFonts w:eastAsia="Calibri" w:cs="Arial"/>
          <w:color w:val="000000"/>
          <w:sz w:val="24"/>
          <w:szCs w:val="24"/>
          <w:shd w:val="clear" w:color="auto" w:fill="FFFFFF"/>
          <w:lang w:val="sr-Latn-ME"/>
        </w:rPr>
        <w:t xml:space="preserve"> višestruko značajn</w:t>
      </w:r>
      <w:r w:rsidR="00C16548">
        <w:rPr>
          <w:rFonts w:eastAsia="Calibri" w:cs="Arial"/>
          <w:color w:val="000000"/>
          <w:sz w:val="24"/>
          <w:szCs w:val="24"/>
          <w:shd w:val="clear" w:color="auto" w:fill="FFFFFF"/>
          <w:lang w:val="sr-Latn-ME"/>
        </w:rPr>
        <w:t>e</w:t>
      </w:r>
      <w:r w:rsidR="00D57A2A" w:rsidRPr="00F96844">
        <w:rPr>
          <w:rFonts w:eastAsia="Calibri" w:cs="Arial"/>
          <w:color w:val="000000"/>
          <w:sz w:val="24"/>
          <w:szCs w:val="24"/>
          <w:shd w:val="clear" w:color="auto" w:fill="FFFFFF"/>
          <w:lang w:val="sr-Latn-ME"/>
        </w:rPr>
        <w:t xml:space="preserve"> za zaštitu </w:t>
      </w:r>
      <w:r w:rsidR="009B0F75">
        <w:rPr>
          <w:rFonts w:eastAsia="Calibri" w:cs="Arial"/>
          <w:color w:val="000000"/>
          <w:sz w:val="24"/>
          <w:szCs w:val="24"/>
          <w:shd w:val="clear" w:color="auto" w:fill="FFFFFF"/>
          <w:lang w:val="sr-Latn-ME"/>
        </w:rPr>
        <w:t xml:space="preserve">različitih kategorija </w:t>
      </w:r>
      <w:r w:rsidR="00EB2F1D">
        <w:rPr>
          <w:rFonts w:eastAsia="Calibri" w:cs="Arial"/>
          <w:color w:val="000000"/>
          <w:sz w:val="24"/>
          <w:szCs w:val="24"/>
          <w:shd w:val="clear" w:color="auto" w:fill="FFFFFF"/>
          <w:lang w:val="sr-Latn-ME"/>
        </w:rPr>
        <w:t>korisnika/korisnica</w:t>
      </w:r>
      <w:r w:rsidR="00DE20CE">
        <w:rPr>
          <w:rFonts w:eastAsia="Calibri" w:cs="Arial"/>
          <w:color w:val="000000"/>
          <w:sz w:val="24"/>
          <w:szCs w:val="24"/>
          <w:shd w:val="clear" w:color="auto" w:fill="FFFFFF"/>
          <w:lang w:val="sr-Latn-ME"/>
        </w:rPr>
        <w:t>,</w:t>
      </w:r>
      <w:r w:rsidR="009B0F75">
        <w:rPr>
          <w:rFonts w:eastAsia="Calibri" w:cs="Arial"/>
          <w:color w:val="000000"/>
          <w:sz w:val="24"/>
          <w:szCs w:val="24"/>
          <w:shd w:val="clear" w:color="auto" w:fill="FFFFFF"/>
          <w:lang w:val="sr-Latn-ME"/>
        </w:rPr>
        <w:t xml:space="preserve"> a podrazum</w:t>
      </w:r>
      <w:r w:rsidR="00B53B8D">
        <w:rPr>
          <w:rFonts w:eastAsia="Calibri" w:cs="Arial"/>
          <w:color w:val="000000"/>
          <w:sz w:val="24"/>
          <w:szCs w:val="24"/>
          <w:shd w:val="clear" w:color="auto" w:fill="FFFFFF"/>
          <w:lang w:val="sr-Latn-ME"/>
        </w:rPr>
        <w:t>i</w:t>
      </w:r>
      <w:r w:rsidR="009B0F75">
        <w:rPr>
          <w:rFonts w:eastAsia="Calibri" w:cs="Arial"/>
          <w:color w:val="000000"/>
          <w:sz w:val="24"/>
          <w:szCs w:val="24"/>
          <w:shd w:val="clear" w:color="auto" w:fill="FFFFFF"/>
          <w:lang w:val="sr-Latn-ME"/>
        </w:rPr>
        <w:t>jevaju kooperaciju, saradnju i koordinaciju između različitih resora</w:t>
      </w:r>
      <w:r w:rsidR="00C16548">
        <w:rPr>
          <w:rFonts w:eastAsia="Calibri" w:cs="Arial"/>
          <w:color w:val="000000"/>
          <w:sz w:val="24"/>
          <w:szCs w:val="24"/>
          <w:shd w:val="clear" w:color="auto" w:fill="FFFFFF"/>
          <w:lang w:val="sr-Latn-ME"/>
        </w:rPr>
        <w:t xml:space="preserve"> i sektora.</w:t>
      </w:r>
      <w:r w:rsidR="00D57A2A" w:rsidRPr="00F96844">
        <w:rPr>
          <w:rFonts w:eastAsia="Calibri" w:cs="Arial"/>
          <w:color w:val="000000"/>
          <w:sz w:val="24"/>
          <w:szCs w:val="24"/>
          <w:shd w:val="clear" w:color="auto" w:fill="FFFFFF"/>
          <w:lang w:val="sr-Latn-ME"/>
        </w:rPr>
        <w:t xml:space="preserve"> </w:t>
      </w:r>
      <w:r w:rsidR="00D57A2A" w:rsidRPr="00F96844">
        <w:rPr>
          <w:rFonts w:cs="Arial"/>
          <w:sz w:val="24"/>
          <w:szCs w:val="24"/>
          <w:lang w:val="sr-Latn-ME"/>
        </w:rPr>
        <w:t>Integrisane socijalne usluge, pored usluga socijalne zaštite, obuhvataju i druge resore</w:t>
      </w:r>
      <w:r w:rsidR="00C16548">
        <w:rPr>
          <w:rFonts w:cs="Arial"/>
          <w:sz w:val="24"/>
          <w:szCs w:val="24"/>
          <w:lang w:val="sr-Latn-ME"/>
        </w:rPr>
        <w:t xml:space="preserve"> i sektore</w:t>
      </w:r>
      <w:r w:rsidR="00D57A2A" w:rsidRPr="00F96844">
        <w:rPr>
          <w:rFonts w:cs="Arial"/>
          <w:sz w:val="24"/>
          <w:szCs w:val="24"/>
          <w:lang w:val="sr-Latn-ME"/>
        </w:rPr>
        <w:t xml:space="preserve"> (zdravstvo, stanovanje, obrazovanje, zapošljavanje, kulturu</w:t>
      </w:r>
      <w:r w:rsidR="00C16548">
        <w:rPr>
          <w:rFonts w:cs="Arial"/>
          <w:sz w:val="24"/>
          <w:szCs w:val="24"/>
          <w:lang w:val="sr-Latn-ME"/>
        </w:rPr>
        <w:t>,</w:t>
      </w:r>
      <w:r w:rsidR="005E5223">
        <w:rPr>
          <w:rFonts w:cs="Arial"/>
          <w:sz w:val="24"/>
          <w:szCs w:val="24"/>
          <w:lang w:val="sr-Latn-ME"/>
        </w:rPr>
        <w:t xml:space="preserve"> saobraćaj,</w:t>
      </w:r>
      <w:r w:rsidR="00C16548">
        <w:rPr>
          <w:rFonts w:cs="Arial"/>
          <w:sz w:val="24"/>
          <w:szCs w:val="24"/>
          <w:lang w:val="sr-Latn-ME"/>
        </w:rPr>
        <w:t xml:space="preserve"> NVO i</w:t>
      </w:r>
      <w:r w:rsidR="00D57A2A" w:rsidRPr="00F96844">
        <w:rPr>
          <w:rFonts w:cs="Arial"/>
          <w:sz w:val="24"/>
          <w:szCs w:val="24"/>
          <w:lang w:val="sr-Latn-ME"/>
        </w:rPr>
        <w:t xml:space="preserve"> dr.)</w:t>
      </w:r>
      <w:r w:rsidR="00DE20CE">
        <w:rPr>
          <w:rFonts w:cs="Arial"/>
          <w:sz w:val="24"/>
          <w:szCs w:val="24"/>
          <w:lang w:val="sr-Latn-ME"/>
        </w:rPr>
        <w:t>,</w:t>
      </w:r>
      <w:r w:rsidR="00D57A2A" w:rsidRPr="00F96844">
        <w:rPr>
          <w:rFonts w:cs="Arial"/>
          <w:sz w:val="24"/>
          <w:szCs w:val="24"/>
          <w:lang w:val="sr-Latn-ME"/>
        </w:rPr>
        <w:t xml:space="preserve"> te omogućavaju zadovoljavanje većeg broja potreba </w:t>
      </w:r>
      <w:r w:rsidR="00EB2F1D">
        <w:rPr>
          <w:rFonts w:cs="Arial"/>
          <w:sz w:val="24"/>
          <w:szCs w:val="24"/>
          <w:lang w:val="sr-Latn-ME"/>
        </w:rPr>
        <w:t>korisnika/korisnica</w:t>
      </w:r>
      <w:r w:rsidR="00D57A2A" w:rsidRPr="00F96844">
        <w:rPr>
          <w:rFonts w:cs="Arial"/>
          <w:sz w:val="24"/>
          <w:szCs w:val="24"/>
          <w:lang w:val="sr-Latn-ME"/>
        </w:rPr>
        <w:t xml:space="preserve">. </w:t>
      </w:r>
      <w:r w:rsidR="009B0F75">
        <w:rPr>
          <w:rFonts w:cs="Arial"/>
          <w:sz w:val="24"/>
          <w:szCs w:val="24"/>
          <w:lang w:val="sr-Latn-ME"/>
        </w:rPr>
        <w:t>Ovu vrstu usluga potrebno je prepoznati u</w:t>
      </w:r>
      <w:r w:rsidRPr="00F96844">
        <w:rPr>
          <w:rFonts w:cs="Arial"/>
          <w:sz w:val="24"/>
          <w:szCs w:val="24"/>
          <w:lang w:val="sr-Latn-ME"/>
        </w:rPr>
        <w:t xml:space="preserve"> Zakonu o socijalnoj </w:t>
      </w:r>
      <w:r w:rsidR="00BA11FF">
        <w:rPr>
          <w:rFonts w:cs="Arial"/>
          <w:sz w:val="24"/>
          <w:szCs w:val="24"/>
          <w:lang w:val="sr-Latn-ME"/>
        </w:rPr>
        <w:t>i</w:t>
      </w:r>
      <w:r w:rsidRPr="00F96844">
        <w:rPr>
          <w:rFonts w:cs="Arial"/>
          <w:sz w:val="24"/>
          <w:szCs w:val="24"/>
          <w:lang w:val="sr-Latn-ME"/>
        </w:rPr>
        <w:t xml:space="preserve"> dječjoj zaštiti</w:t>
      </w:r>
      <w:r w:rsidR="000B2A93">
        <w:rPr>
          <w:rFonts w:cs="Arial"/>
          <w:sz w:val="24"/>
          <w:szCs w:val="24"/>
          <w:lang w:val="sr-Latn-ME"/>
        </w:rPr>
        <w:t>,</w:t>
      </w:r>
      <w:r w:rsidR="009B0F75">
        <w:rPr>
          <w:rFonts w:cs="Arial"/>
          <w:sz w:val="24"/>
          <w:szCs w:val="24"/>
          <w:lang w:val="sr-Latn-ME"/>
        </w:rPr>
        <w:t xml:space="preserve"> kao i drugim relevantnim zakonima</w:t>
      </w:r>
      <w:r w:rsidRPr="00F96844">
        <w:rPr>
          <w:rFonts w:cs="Arial"/>
          <w:sz w:val="24"/>
          <w:szCs w:val="24"/>
          <w:lang w:val="sr-Latn-ME"/>
        </w:rPr>
        <w:t>.</w:t>
      </w:r>
      <w:r w:rsidRPr="00F96844">
        <w:rPr>
          <w:rStyle w:val="FootnoteReference"/>
          <w:rFonts w:cs="Arial"/>
          <w:sz w:val="24"/>
          <w:szCs w:val="24"/>
          <w:lang w:val="sr-Latn-ME"/>
        </w:rPr>
        <w:footnoteReference w:id="86"/>
      </w:r>
      <w:r w:rsidRPr="00F96844">
        <w:rPr>
          <w:rFonts w:cs="Arial"/>
          <w:sz w:val="24"/>
          <w:szCs w:val="24"/>
          <w:lang w:val="sr-Latn-ME"/>
        </w:rPr>
        <w:t xml:space="preserve"> </w:t>
      </w:r>
    </w:p>
    <w:p w14:paraId="77D06BBE" w14:textId="77777777" w:rsidR="006B5E34" w:rsidRPr="00F96844" w:rsidRDefault="006B5E34" w:rsidP="00780738">
      <w:pPr>
        <w:jc w:val="both"/>
        <w:rPr>
          <w:rFonts w:cs="Arial"/>
          <w:sz w:val="24"/>
          <w:szCs w:val="24"/>
          <w:lang w:val="sr-Latn-ME"/>
        </w:rPr>
      </w:pPr>
    </w:p>
    <w:p w14:paraId="11C243A0" w14:textId="77777777" w:rsidR="008B2F62" w:rsidRDefault="00BA11FF" w:rsidP="00780738">
      <w:pPr>
        <w:jc w:val="both"/>
        <w:rPr>
          <w:rFonts w:cs="Arial"/>
          <w:sz w:val="24"/>
          <w:szCs w:val="24"/>
          <w:lang w:val="sr-Latn-ME"/>
        </w:rPr>
      </w:pPr>
      <w:r>
        <w:rPr>
          <w:rFonts w:cs="Arial"/>
          <w:sz w:val="24"/>
          <w:szCs w:val="24"/>
          <w:lang w:val="sr-Latn-ME"/>
        </w:rPr>
        <w:lastRenderedPageBreak/>
        <w:t>U</w:t>
      </w:r>
      <w:r w:rsidR="008B2F62" w:rsidRPr="00F96844">
        <w:rPr>
          <w:rFonts w:cs="Arial"/>
          <w:sz w:val="24"/>
          <w:szCs w:val="24"/>
          <w:lang w:val="sr-Latn-ME"/>
        </w:rPr>
        <w:t>slug</w:t>
      </w:r>
      <w:r>
        <w:rPr>
          <w:rFonts w:cs="Arial"/>
          <w:sz w:val="24"/>
          <w:szCs w:val="24"/>
          <w:lang w:val="sr-Latn-ME"/>
        </w:rPr>
        <w:t xml:space="preserve">e </w:t>
      </w:r>
      <w:r w:rsidR="004E0C5D">
        <w:rPr>
          <w:rFonts w:cs="Arial"/>
          <w:sz w:val="24"/>
          <w:szCs w:val="24"/>
          <w:lang w:val="sr-Latn-ME"/>
        </w:rPr>
        <w:t xml:space="preserve">smještaja, usluge koje se </w:t>
      </w:r>
      <w:r w:rsidR="008B2F62" w:rsidRPr="00F96844">
        <w:rPr>
          <w:rFonts w:cs="Arial"/>
          <w:sz w:val="24"/>
          <w:szCs w:val="24"/>
          <w:lang w:val="sr-Latn-ME"/>
        </w:rPr>
        <w:t>pruža</w:t>
      </w:r>
      <w:r>
        <w:rPr>
          <w:rFonts w:cs="Arial"/>
          <w:sz w:val="24"/>
          <w:szCs w:val="24"/>
          <w:lang w:val="sr-Latn-ME"/>
        </w:rPr>
        <w:t>ju</w:t>
      </w:r>
      <w:r w:rsidR="008B2F62" w:rsidRPr="00F96844">
        <w:rPr>
          <w:rFonts w:cs="Arial"/>
          <w:sz w:val="24"/>
          <w:szCs w:val="24"/>
          <w:lang w:val="sr-Latn-ME"/>
        </w:rPr>
        <w:t xml:space="preserve"> u dnevnim centrima, domovima starih, </w:t>
      </w:r>
      <w:r w:rsidR="000E59BE" w:rsidRPr="00F96844">
        <w:rPr>
          <w:rFonts w:cs="Arial"/>
          <w:sz w:val="24"/>
          <w:szCs w:val="24"/>
          <w:lang w:val="sr-Latn-ME"/>
        </w:rPr>
        <w:t>Javn</w:t>
      </w:r>
      <w:r w:rsidR="000E59BE">
        <w:rPr>
          <w:rFonts w:cs="Arial"/>
          <w:sz w:val="24"/>
          <w:szCs w:val="24"/>
          <w:lang w:val="sr-Latn-ME"/>
        </w:rPr>
        <w:t>oj</w:t>
      </w:r>
      <w:r w:rsidR="000E59BE" w:rsidRPr="00F96844">
        <w:rPr>
          <w:rFonts w:cs="Arial"/>
          <w:sz w:val="24"/>
          <w:szCs w:val="24"/>
          <w:lang w:val="sr-Latn-ME"/>
        </w:rPr>
        <w:t xml:space="preserve"> ustanov</w:t>
      </w:r>
      <w:r w:rsidR="000E59BE">
        <w:rPr>
          <w:rFonts w:cs="Arial"/>
          <w:sz w:val="24"/>
          <w:szCs w:val="24"/>
          <w:lang w:val="sr-Latn-ME"/>
        </w:rPr>
        <w:t>i</w:t>
      </w:r>
      <w:r w:rsidR="000E59BE" w:rsidRPr="00F96844">
        <w:rPr>
          <w:rFonts w:cs="Arial"/>
          <w:sz w:val="24"/>
          <w:szCs w:val="24"/>
          <w:lang w:val="sr-Latn-ME"/>
        </w:rPr>
        <w:t xml:space="preserve"> za smještaj, rehabilitaciju i resocijalizaciju</w:t>
      </w:r>
      <w:r w:rsidR="00DE20CE">
        <w:rPr>
          <w:rFonts w:cs="Arial"/>
          <w:sz w:val="24"/>
          <w:szCs w:val="24"/>
          <w:lang w:val="sr-Latn-ME"/>
        </w:rPr>
        <w:t>,</w:t>
      </w:r>
      <w:r w:rsidR="000E59BE" w:rsidRPr="00F96844">
        <w:rPr>
          <w:rFonts w:cs="Arial"/>
          <w:sz w:val="24"/>
          <w:szCs w:val="24"/>
          <w:lang w:val="sr-Latn-ME"/>
        </w:rPr>
        <w:t xml:space="preserve"> </w:t>
      </w:r>
      <w:r>
        <w:rPr>
          <w:rFonts w:cs="Arial"/>
          <w:sz w:val="24"/>
          <w:szCs w:val="24"/>
          <w:lang w:val="sr-Latn-ME"/>
        </w:rPr>
        <w:t>predstavljaju oblik integrisanih usluga za koje</w:t>
      </w:r>
      <w:r w:rsidR="008B2F62" w:rsidRPr="00F96844">
        <w:rPr>
          <w:rFonts w:cs="Arial"/>
          <w:sz w:val="24"/>
          <w:szCs w:val="24"/>
          <w:lang w:val="sr-Latn-ME"/>
        </w:rPr>
        <w:t xml:space="preserve"> je potrebno definisati odgovornost različitih sektora za usluge koje pružaju</w:t>
      </w:r>
      <w:r w:rsidR="000B2A93">
        <w:rPr>
          <w:rFonts w:cs="Arial"/>
          <w:sz w:val="24"/>
          <w:szCs w:val="24"/>
          <w:lang w:val="sr-Latn-ME"/>
        </w:rPr>
        <w:t>,</w:t>
      </w:r>
      <w:r>
        <w:rPr>
          <w:rFonts w:cs="Arial"/>
          <w:sz w:val="24"/>
          <w:szCs w:val="24"/>
          <w:lang w:val="sr-Latn-ME"/>
        </w:rPr>
        <w:t xml:space="preserve"> kao i način finansiranja</w:t>
      </w:r>
      <w:r w:rsidR="008B2F62" w:rsidRPr="00F96844">
        <w:rPr>
          <w:rFonts w:cs="Arial"/>
          <w:sz w:val="24"/>
          <w:szCs w:val="24"/>
          <w:lang w:val="sr-Latn-ME"/>
        </w:rPr>
        <w:t>.</w:t>
      </w:r>
      <w:r w:rsidR="00E25B9C" w:rsidRPr="00F96844">
        <w:rPr>
          <w:rFonts w:cs="Arial"/>
          <w:sz w:val="24"/>
          <w:szCs w:val="24"/>
          <w:lang w:val="sr-Latn-ME"/>
        </w:rPr>
        <w:t xml:space="preserve"> </w:t>
      </w:r>
    </w:p>
    <w:p w14:paraId="64A8FE4E" w14:textId="77777777" w:rsidR="006B5E34" w:rsidRPr="00F96844" w:rsidRDefault="006B5E34" w:rsidP="00780738">
      <w:pPr>
        <w:jc w:val="both"/>
        <w:rPr>
          <w:rFonts w:cs="Arial"/>
          <w:sz w:val="24"/>
          <w:szCs w:val="24"/>
          <w:lang w:val="sr-Latn-ME"/>
        </w:rPr>
      </w:pPr>
    </w:p>
    <w:p w14:paraId="4230E47B" w14:textId="77777777" w:rsidR="003C6BE7" w:rsidRDefault="008B2F62" w:rsidP="00780738">
      <w:pPr>
        <w:jc w:val="both"/>
        <w:rPr>
          <w:rFonts w:cs="Arial"/>
          <w:sz w:val="24"/>
          <w:szCs w:val="24"/>
          <w:lang w:val="sr-Latn-ME"/>
        </w:rPr>
      </w:pPr>
      <w:r w:rsidRPr="00F96844">
        <w:rPr>
          <w:rFonts w:cs="Arial"/>
          <w:sz w:val="24"/>
          <w:szCs w:val="24"/>
          <w:lang w:val="sr-Latn-ME"/>
        </w:rPr>
        <w:t xml:space="preserve">Javna ustanova za smještaj, rehabilitaciju i resocijalizaciju </w:t>
      </w:r>
      <w:r w:rsidR="00EB2F1D">
        <w:rPr>
          <w:rFonts w:cs="Arial"/>
          <w:sz w:val="24"/>
          <w:szCs w:val="24"/>
          <w:lang w:val="sr-Latn-ME"/>
        </w:rPr>
        <w:t>korisnika/korisnica</w:t>
      </w:r>
      <w:r w:rsidRPr="00F96844">
        <w:rPr>
          <w:rFonts w:cs="Arial"/>
          <w:sz w:val="24"/>
          <w:szCs w:val="24"/>
          <w:lang w:val="sr-Latn-ME"/>
        </w:rPr>
        <w:t xml:space="preserve"> psihoaktivnih supstanci</w:t>
      </w:r>
      <w:r w:rsidR="00DE20CE">
        <w:rPr>
          <w:rFonts w:cs="Arial"/>
          <w:sz w:val="24"/>
          <w:szCs w:val="24"/>
          <w:lang w:val="sr-Latn-ME"/>
        </w:rPr>
        <w:t xml:space="preserve"> ‒</w:t>
      </w:r>
      <w:r w:rsidRPr="00F96844">
        <w:rPr>
          <w:rFonts w:cs="Arial"/>
          <w:sz w:val="24"/>
          <w:szCs w:val="24"/>
          <w:lang w:val="sr-Latn-ME"/>
        </w:rPr>
        <w:t xml:space="preserve"> Podgorica je ustanova specijalizovana za tretman bolesti zavisnosti, osnovana od strane</w:t>
      </w:r>
      <w:r w:rsidR="00E25B9C" w:rsidRPr="00F96844">
        <w:rPr>
          <w:rFonts w:cs="Arial"/>
          <w:sz w:val="24"/>
          <w:szCs w:val="24"/>
          <w:lang w:val="sr-Latn-ME"/>
        </w:rPr>
        <w:t xml:space="preserve"> </w:t>
      </w:r>
      <w:r w:rsidRPr="00F96844">
        <w:rPr>
          <w:rFonts w:cs="Arial"/>
          <w:sz w:val="24"/>
          <w:szCs w:val="24"/>
          <w:lang w:val="sr-Latn-ME"/>
        </w:rPr>
        <w:t>Skupštine Glavnog grada</w:t>
      </w:r>
      <w:r w:rsidR="00DE20CE">
        <w:rPr>
          <w:rFonts w:cs="Arial"/>
          <w:sz w:val="24"/>
          <w:szCs w:val="24"/>
          <w:lang w:val="sr-Latn-ME"/>
        </w:rPr>
        <w:t xml:space="preserve"> ‒</w:t>
      </w:r>
      <w:r w:rsidRPr="00F96844">
        <w:rPr>
          <w:rFonts w:cs="Arial"/>
          <w:sz w:val="24"/>
          <w:szCs w:val="24"/>
          <w:lang w:val="sr-Latn-ME"/>
        </w:rPr>
        <w:t xml:space="preserve"> Podgorica. Tretman u Javnoj ustanovi traje najmanje 12 mjeseci rezidencijalnog boravka, koji se sastoji iz tri faze: adaptacija, rehabilitacija i resocijalizacija</w:t>
      </w:r>
      <w:r w:rsidR="002D5F2D">
        <w:rPr>
          <w:rFonts w:cs="Arial"/>
          <w:sz w:val="24"/>
          <w:szCs w:val="24"/>
          <w:lang w:val="sr-Latn-ME"/>
        </w:rPr>
        <w:t>, nakon čega slijedi 12 mjeseci nerezidencijalnog tretmana.</w:t>
      </w:r>
      <w:r w:rsidRPr="00F96844">
        <w:rPr>
          <w:rFonts w:cs="Arial"/>
          <w:sz w:val="24"/>
          <w:szCs w:val="24"/>
          <w:lang w:val="sr-Latn-ME"/>
        </w:rPr>
        <w:t xml:space="preserve"> Status ove ustanove u sistemu socijalne </w:t>
      </w:r>
      <w:r w:rsidR="002D5F2D">
        <w:rPr>
          <w:rFonts w:cs="Arial"/>
          <w:sz w:val="24"/>
          <w:szCs w:val="24"/>
          <w:lang w:val="sr-Latn-ME"/>
        </w:rPr>
        <w:t>i</w:t>
      </w:r>
      <w:r w:rsidRPr="00F96844">
        <w:rPr>
          <w:rFonts w:cs="Arial"/>
          <w:sz w:val="24"/>
          <w:szCs w:val="24"/>
          <w:lang w:val="sr-Latn-ME"/>
        </w:rPr>
        <w:t xml:space="preserve"> dječje zaštite je </w:t>
      </w:r>
      <w:r w:rsidR="002D5F2D">
        <w:rPr>
          <w:rFonts w:cs="Arial"/>
          <w:sz w:val="24"/>
          <w:szCs w:val="24"/>
          <w:lang w:val="sr-Latn-ME"/>
        </w:rPr>
        <w:t xml:space="preserve">potrebno normativno urediti  kroz pružanje integrisanih usluga. </w:t>
      </w:r>
    </w:p>
    <w:p w14:paraId="68BA1CF8" w14:textId="77777777" w:rsidR="003C6BE7" w:rsidRPr="00F514BB" w:rsidRDefault="003C6BE7" w:rsidP="00780738">
      <w:pPr>
        <w:jc w:val="both"/>
        <w:rPr>
          <w:rFonts w:cs="Arial"/>
          <w:sz w:val="24"/>
          <w:szCs w:val="24"/>
          <w:lang w:val="sr-Latn-ME"/>
        </w:rPr>
      </w:pPr>
    </w:p>
    <w:p w14:paraId="46F65193" w14:textId="77777777" w:rsidR="00F514BB" w:rsidRPr="00F514BB" w:rsidRDefault="00F514BB" w:rsidP="00780738">
      <w:pPr>
        <w:contextualSpacing/>
        <w:jc w:val="both"/>
        <w:rPr>
          <w:rFonts w:eastAsia="Times New Roman" w:cs="Arial"/>
          <w:b/>
          <w:bCs/>
          <w:sz w:val="24"/>
          <w:szCs w:val="24"/>
          <w:lang w:val="sr-Latn-ME" w:eastAsia="sr-Latn-ME"/>
        </w:rPr>
      </w:pPr>
      <w:r w:rsidRPr="00F514BB">
        <w:rPr>
          <w:rFonts w:eastAsia="Times New Roman" w:cs="Arial"/>
          <w:b/>
          <w:bCs/>
          <w:sz w:val="24"/>
          <w:szCs w:val="24"/>
          <w:lang w:val="sr-Latn-ME" w:eastAsia="sr-Latn-ME"/>
        </w:rPr>
        <w:t>Ključni problemi za uslugu smještaja</w:t>
      </w:r>
    </w:p>
    <w:p w14:paraId="72A45B6D" w14:textId="77777777" w:rsidR="00E53258" w:rsidRPr="000E6A7B" w:rsidRDefault="00E53258" w:rsidP="00780738">
      <w:pPr>
        <w:jc w:val="both"/>
        <w:rPr>
          <w:rFonts w:cs="Arial"/>
          <w:b/>
          <w:bCs/>
          <w:sz w:val="24"/>
          <w:szCs w:val="24"/>
          <w:lang w:val="sr-Latn-ME"/>
        </w:rPr>
      </w:pPr>
    </w:p>
    <w:p w14:paraId="26545B70"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preispitati standarde i normative za pružanje usluge smještaja;</w:t>
      </w:r>
    </w:p>
    <w:p w14:paraId="0D448E77"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izraditi metodologiju za izračunavanje cijene za uslugu smještaja;</w:t>
      </w:r>
    </w:p>
    <w:p w14:paraId="1A1A163E"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Nedostatak integrisanog pristupa, nedostaje kadar medicinske struke;</w:t>
      </w:r>
    </w:p>
    <w:p w14:paraId="75D40609"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Porodični smještaj i porodični smještaj–hraniteljstvo nisu dovoljno razvijeni;</w:t>
      </w:r>
    </w:p>
    <w:p w14:paraId="61F88C57"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preispitati standarde i normative za usluge porodičnog smje</w:t>
      </w:r>
      <w:r w:rsidR="00CC512A">
        <w:rPr>
          <w:rFonts w:cs="Arial"/>
          <w:i/>
          <w:iCs/>
          <w:sz w:val="24"/>
          <w:szCs w:val="24"/>
          <w:lang w:val="sr-Latn-ME"/>
        </w:rPr>
        <w:t>š</w:t>
      </w:r>
      <w:r w:rsidRPr="00F514BB">
        <w:rPr>
          <w:rFonts w:cs="Arial"/>
          <w:i/>
          <w:iCs/>
          <w:sz w:val="24"/>
          <w:szCs w:val="24"/>
          <w:lang w:val="sr-Latn-ME"/>
        </w:rPr>
        <w:t>taja i porodičnog smještaja</w:t>
      </w:r>
      <w:r w:rsidR="00CC512A">
        <w:rPr>
          <w:rFonts w:cs="Arial"/>
          <w:i/>
          <w:iCs/>
          <w:sz w:val="24"/>
          <w:szCs w:val="24"/>
          <w:lang w:val="sr-Latn-ME"/>
        </w:rPr>
        <w:t>‒</w:t>
      </w:r>
      <w:r w:rsidRPr="00F514BB">
        <w:rPr>
          <w:rFonts w:cs="Arial"/>
          <w:i/>
          <w:iCs/>
          <w:sz w:val="24"/>
          <w:szCs w:val="24"/>
          <w:lang w:val="sr-Latn-ME"/>
        </w:rPr>
        <w:t>hraniteljstva;</w:t>
      </w:r>
    </w:p>
    <w:p w14:paraId="172CD63A"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uspostaviti centre za hraniteljstvo;</w:t>
      </w:r>
    </w:p>
    <w:p w14:paraId="2E2322C6" w14:textId="77777777" w:rsid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uspostaviti prihvatilište za pojedine kategorije korisnika, krizni cent</w:t>
      </w:r>
      <w:r w:rsidR="00CC512A">
        <w:rPr>
          <w:rFonts w:cs="Arial"/>
          <w:i/>
          <w:iCs/>
          <w:sz w:val="24"/>
          <w:szCs w:val="24"/>
          <w:lang w:val="sr-Latn-ME"/>
        </w:rPr>
        <w:t>ar</w:t>
      </w:r>
      <w:r w:rsidRPr="00F514BB">
        <w:rPr>
          <w:rFonts w:cs="Arial"/>
          <w:i/>
          <w:iCs/>
          <w:sz w:val="24"/>
          <w:szCs w:val="24"/>
          <w:lang w:val="sr-Latn-ME"/>
        </w:rPr>
        <w:t xml:space="preserve"> za žrtve seksualnog nasilja</w:t>
      </w:r>
      <w:r w:rsidR="00CC512A">
        <w:rPr>
          <w:rFonts w:cs="Arial"/>
          <w:i/>
          <w:iCs/>
          <w:sz w:val="24"/>
          <w:szCs w:val="24"/>
          <w:lang w:val="sr-Latn-ME"/>
        </w:rPr>
        <w:t>;</w:t>
      </w:r>
    </w:p>
    <w:p w14:paraId="14F9C625" w14:textId="77777777" w:rsidR="005E5223" w:rsidRPr="00F514BB" w:rsidRDefault="005E5223" w:rsidP="00780738">
      <w:pPr>
        <w:numPr>
          <w:ilvl w:val="0"/>
          <w:numId w:val="19"/>
        </w:numPr>
        <w:jc w:val="both"/>
        <w:rPr>
          <w:rFonts w:cs="Arial"/>
          <w:i/>
          <w:iCs/>
          <w:sz w:val="24"/>
          <w:szCs w:val="24"/>
          <w:lang w:val="sr-Latn-ME"/>
        </w:rPr>
      </w:pPr>
      <w:r>
        <w:rPr>
          <w:rFonts w:cs="Arial"/>
          <w:i/>
          <w:iCs/>
          <w:sz w:val="24"/>
          <w:szCs w:val="24"/>
          <w:lang w:val="sr-Latn-ME"/>
        </w:rPr>
        <w:t>Usluge smještaja nisu u potpunosti prilagođene osobama</w:t>
      </w:r>
      <w:r w:rsidR="00867803">
        <w:rPr>
          <w:rFonts w:cs="Arial"/>
          <w:i/>
          <w:iCs/>
          <w:sz w:val="24"/>
          <w:szCs w:val="24"/>
          <w:lang w:val="sr-Latn-ME"/>
        </w:rPr>
        <w:t xml:space="preserve"> s i</w:t>
      </w:r>
      <w:r>
        <w:rPr>
          <w:rFonts w:cs="Arial"/>
          <w:i/>
          <w:iCs/>
          <w:sz w:val="24"/>
          <w:szCs w:val="24"/>
          <w:lang w:val="sr-Latn-ME"/>
        </w:rPr>
        <w:t>nvaliditetom</w:t>
      </w:r>
      <w:r w:rsidR="00CC512A">
        <w:rPr>
          <w:rFonts w:cs="Arial"/>
          <w:i/>
          <w:iCs/>
          <w:sz w:val="24"/>
          <w:szCs w:val="24"/>
          <w:lang w:val="sr-Latn-ME"/>
        </w:rPr>
        <w:t>.</w:t>
      </w:r>
    </w:p>
    <w:p w14:paraId="4D334678" w14:textId="77777777" w:rsidR="00F514BB" w:rsidRDefault="00F514BB" w:rsidP="00780738">
      <w:pPr>
        <w:jc w:val="both"/>
        <w:rPr>
          <w:rFonts w:cs="Arial"/>
          <w:sz w:val="24"/>
          <w:szCs w:val="24"/>
          <w:lang w:val="sr-Latn-ME"/>
        </w:rPr>
      </w:pPr>
    </w:p>
    <w:p w14:paraId="432338F1" w14:textId="77777777" w:rsidR="00F514BB" w:rsidRPr="00F96844" w:rsidRDefault="00F514BB" w:rsidP="00780738">
      <w:pPr>
        <w:jc w:val="both"/>
        <w:rPr>
          <w:rFonts w:cs="Arial"/>
          <w:sz w:val="24"/>
          <w:szCs w:val="24"/>
          <w:lang w:val="sr-Latn-ME"/>
        </w:rPr>
      </w:pPr>
    </w:p>
    <w:p w14:paraId="394C5D1A" w14:textId="77777777" w:rsidR="008B2F62" w:rsidRPr="00F96844" w:rsidRDefault="008B2F62" w:rsidP="00780738">
      <w:pPr>
        <w:jc w:val="both"/>
        <w:rPr>
          <w:rFonts w:cs="Arial"/>
          <w:color w:val="FF0000"/>
          <w:sz w:val="24"/>
          <w:szCs w:val="24"/>
          <w:lang w:val="sr-Latn-ME"/>
        </w:rPr>
      </w:pPr>
      <w:r w:rsidRPr="00F96844">
        <w:rPr>
          <w:rFonts w:cs="Arial"/>
          <w:b/>
          <w:bCs/>
          <w:sz w:val="24"/>
          <w:szCs w:val="24"/>
          <w:lang w:val="sr-Latn-ME"/>
        </w:rPr>
        <w:t>Ukupni javni rashodi za usluge socijalne i dječje zaštite</w:t>
      </w:r>
      <w:r w:rsidR="00867803">
        <w:rPr>
          <w:rFonts w:cs="Arial"/>
          <w:sz w:val="24"/>
          <w:szCs w:val="24"/>
          <w:lang w:val="sr-Latn-ME"/>
        </w:rPr>
        <w:t xml:space="preserve"> s n</w:t>
      </w:r>
      <w:r w:rsidRPr="00F96844">
        <w:rPr>
          <w:rFonts w:cs="Arial"/>
          <w:sz w:val="24"/>
          <w:szCs w:val="24"/>
          <w:lang w:val="sr-Latn-ME"/>
        </w:rPr>
        <w:t>acionalnog nivoa iznosili su</w:t>
      </w:r>
      <w:r w:rsidR="00F961C4" w:rsidRPr="00F96844">
        <w:rPr>
          <w:rFonts w:cs="Arial"/>
          <w:sz w:val="24"/>
          <w:szCs w:val="24"/>
          <w:lang w:val="sr-Latn-ME"/>
        </w:rPr>
        <w:t xml:space="preserve"> </w:t>
      </w:r>
      <w:r w:rsidR="00F961C4" w:rsidRPr="00F96844">
        <w:rPr>
          <w:rFonts w:cs="Arial"/>
          <w:color w:val="000000" w:themeColor="text1"/>
          <w:sz w:val="24"/>
          <w:szCs w:val="24"/>
          <w:lang w:val="sr-Latn-ME"/>
        </w:rPr>
        <w:t>5.525.915</w:t>
      </w:r>
      <w:r w:rsidR="000E5032" w:rsidRPr="00F96844">
        <w:rPr>
          <w:rFonts w:cs="Arial"/>
          <w:color w:val="000000" w:themeColor="text1"/>
          <w:sz w:val="24"/>
          <w:szCs w:val="24"/>
          <w:lang w:val="sr-Latn-ME"/>
        </w:rPr>
        <w:t>,</w:t>
      </w:r>
      <w:r w:rsidR="00F961C4" w:rsidRPr="00F96844">
        <w:rPr>
          <w:rFonts w:cs="Arial"/>
          <w:color w:val="000000" w:themeColor="text1"/>
          <w:sz w:val="24"/>
          <w:szCs w:val="24"/>
          <w:lang w:val="sr-Latn-ME"/>
        </w:rPr>
        <w:t>16</w:t>
      </w:r>
      <w:r w:rsidRPr="00F96844">
        <w:rPr>
          <w:rFonts w:cs="Arial"/>
          <w:color w:val="000000" w:themeColor="text1"/>
          <w:sz w:val="24"/>
          <w:szCs w:val="24"/>
          <w:lang w:val="sr-Latn-ME"/>
        </w:rPr>
        <w:t xml:space="preserve">  eura u 202</w:t>
      </w:r>
      <w:r w:rsidR="000E5032" w:rsidRPr="00F96844">
        <w:rPr>
          <w:rFonts w:cs="Arial"/>
          <w:color w:val="000000" w:themeColor="text1"/>
          <w:sz w:val="24"/>
          <w:szCs w:val="24"/>
          <w:lang w:val="sr-Latn-ME"/>
        </w:rPr>
        <w:t>3</w:t>
      </w:r>
      <w:r w:rsidRPr="00F96844">
        <w:rPr>
          <w:rFonts w:cs="Arial"/>
          <w:color w:val="000000" w:themeColor="text1"/>
          <w:sz w:val="24"/>
          <w:szCs w:val="24"/>
          <w:lang w:val="sr-Latn-ME"/>
        </w:rPr>
        <w:t>. godini.</w:t>
      </w:r>
    </w:p>
    <w:p w14:paraId="419C8955" w14:textId="77777777" w:rsidR="00415809" w:rsidRPr="00F96844" w:rsidRDefault="00415809" w:rsidP="00780738">
      <w:pPr>
        <w:jc w:val="both"/>
        <w:rPr>
          <w:rFonts w:cs="Arial"/>
          <w:b/>
          <w:bCs/>
          <w:i/>
          <w:sz w:val="24"/>
          <w:szCs w:val="24"/>
          <w:lang w:val="sr-Latn-ME"/>
        </w:rPr>
      </w:pPr>
    </w:p>
    <w:p w14:paraId="2D4D6862" w14:textId="77777777" w:rsidR="00E16213" w:rsidRDefault="00E16213" w:rsidP="00780738">
      <w:pPr>
        <w:jc w:val="both"/>
        <w:rPr>
          <w:rFonts w:cs="Arial"/>
          <w:b/>
          <w:bCs/>
          <w:i/>
          <w:sz w:val="24"/>
          <w:szCs w:val="24"/>
          <w:lang w:val="sr-Latn-ME"/>
        </w:rPr>
      </w:pPr>
      <w:r w:rsidRPr="00F96844">
        <w:rPr>
          <w:rFonts w:cs="Arial"/>
          <w:b/>
          <w:bCs/>
          <w:i/>
          <w:sz w:val="24"/>
          <w:szCs w:val="24"/>
          <w:lang w:val="sr-Latn-ME"/>
        </w:rPr>
        <w:t xml:space="preserve">Grafikon br. </w:t>
      </w:r>
      <w:r w:rsidR="00CC512A">
        <w:rPr>
          <w:rFonts w:cs="Arial"/>
          <w:b/>
          <w:bCs/>
          <w:i/>
          <w:sz w:val="24"/>
          <w:szCs w:val="24"/>
          <w:lang w:val="sr-Latn-ME"/>
        </w:rPr>
        <w:t>8</w:t>
      </w:r>
      <w:r w:rsidRPr="00F96844">
        <w:rPr>
          <w:rFonts w:cs="Arial"/>
          <w:b/>
          <w:bCs/>
          <w:i/>
          <w:sz w:val="24"/>
          <w:szCs w:val="24"/>
          <w:lang w:val="sr-Latn-ME"/>
        </w:rPr>
        <w:t xml:space="preserve"> Struktura javnih rashoda</w:t>
      </w:r>
      <w:r w:rsidR="00867803">
        <w:rPr>
          <w:rFonts w:cs="Arial"/>
          <w:b/>
          <w:bCs/>
          <w:i/>
          <w:sz w:val="24"/>
          <w:szCs w:val="24"/>
          <w:lang w:val="sr-Latn-ME"/>
        </w:rPr>
        <w:t xml:space="preserve"> s n</w:t>
      </w:r>
      <w:r w:rsidRPr="00F96844">
        <w:rPr>
          <w:rFonts w:cs="Arial"/>
          <w:b/>
          <w:bCs/>
          <w:i/>
          <w:sz w:val="24"/>
          <w:szCs w:val="24"/>
          <w:lang w:val="sr-Latn-ME"/>
        </w:rPr>
        <w:t xml:space="preserve">acionalnog nivoa za usluge socijalne i dječje zaštite, za 2023. </w:t>
      </w:r>
      <w:r w:rsidR="006615E2" w:rsidRPr="00F96844">
        <w:rPr>
          <w:rFonts w:cs="Arial"/>
          <w:b/>
          <w:bCs/>
          <w:i/>
          <w:sz w:val="24"/>
          <w:szCs w:val="24"/>
          <w:lang w:val="sr-Latn-ME"/>
        </w:rPr>
        <w:t>g</w:t>
      </w:r>
      <w:r w:rsidRPr="00F96844">
        <w:rPr>
          <w:rFonts w:cs="Arial"/>
          <w:b/>
          <w:bCs/>
          <w:i/>
          <w:sz w:val="24"/>
          <w:szCs w:val="24"/>
          <w:lang w:val="sr-Latn-ME"/>
        </w:rPr>
        <w:t>odinu</w:t>
      </w:r>
    </w:p>
    <w:p w14:paraId="0DAA3DAA" w14:textId="77777777" w:rsidR="00F87030" w:rsidRPr="00F96844" w:rsidRDefault="00F87030" w:rsidP="005114FD">
      <w:pPr>
        <w:jc w:val="both"/>
        <w:rPr>
          <w:rFonts w:cs="Arial"/>
          <w:b/>
          <w:bCs/>
          <w:i/>
          <w:sz w:val="24"/>
          <w:szCs w:val="24"/>
          <w:lang w:val="sr-Latn-ME"/>
        </w:rPr>
      </w:pPr>
    </w:p>
    <w:p w14:paraId="570C4FDD" w14:textId="77777777" w:rsidR="00E16213" w:rsidRPr="00F96844" w:rsidRDefault="00F87030" w:rsidP="005114FD">
      <w:pPr>
        <w:jc w:val="both"/>
        <w:rPr>
          <w:rFonts w:cs="Arial"/>
          <w:b/>
          <w:bCs/>
          <w:i/>
          <w:sz w:val="24"/>
          <w:szCs w:val="24"/>
          <w:lang w:val="sr-Latn-ME"/>
        </w:rPr>
      </w:pPr>
      <w:r w:rsidRPr="003C5DC6">
        <w:rPr>
          <w:noProof/>
          <w:sz w:val="24"/>
          <w:szCs w:val="24"/>
          <w:lang w:val="sr-Latn-ME" w:eastAsia="sr-Latn-ME"/>
        </w:rPr>
        <w:lastRenderedPageBreak/>
        <w:drawing>
          <wp:inline distT="0" distB="0" distL="0" distR="0" wp14:anchorId="15D91E5E" wp14:editId="456EB159">
            <wp:extent cx="5943600" cy="2382520"/>
            <wp:effectExtent l="0" t="0" r="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E60B877" w14:textId="77777777" w:rsidR="00E16213" w:rsidRPr="00F96844" w:rsidRDefault="00E16213" w:rsidP="005114FD">
      <w:pPr>
        <w:jc w:val="both"/>
        <w:rPr>
          <w:rFonts w:cs="Arial"/>
          <w:b/>
          <w:bCs/>
          <w:sz w:val="24"/>
          <w:szCs w:val="24"/>
          <w:lang w:val="sr-Latn-ME"/>
        </w:rPr>
      </w:pPr>
    </w:p>
    <w:p w14:paraId="2F916547" w14:textId="77777777" w:rsidR="005B6C3C" w:rsidRPr="00F96844" w:rsidRDefault="005B6C3C" w:rsidP="005114FD">
      <w:pPr>
        <w:jc w:val="both"/>
        <w:rPr>
          <w:rFonts w:cs="Arial"/>
          <w:b/>
          <w:bCs/>
          <w:sz w:val="24"/>
          <w:szCs w:val="24"/>
          <w:lang w:val="sr-Latn-ME"/>
        </w:rPr>
      </w:pPr>
    </w:p>
    <w:p w14:paraId="77E72989" w14:textId="52FEDCE5" w:rsidR="005B6C3C" w:rsidRPr="00F96844" w:rsidRDefault="005B6C3C" w:rsidP="00780738">
      <w:pPr>
        <w:jc w:val="both"/>
        <w:rPr>
          <w:rFonts w:cs="Arial"/>
          <w:sz w:val="24"/>
          <w:szCs w:val="24"/>
          <w:lang w:val="sr-Latn-ME"/>
        </w:rPr>
      </w:pPr>
      <w:r w:rsidRPr="00736811">
        <w:rPr>
          <w:rFonts w:cs="Arial"/>
          <w:sz w:val="24"/>
          <w:szCs w:val="24"/>
          <w:lang w:val="sr-Latn-ME"/>
        </w:rPr>
        <w:t>Ministar</w:t>
      </w:r>
      <w:r w:rsidR="00920D54" w:rsidRPr="00736811">
        <w:rPr>
          <w:rFonts w:cs="Arial"/>
          <w:sz w:val="24"/>
          <w:szCs w:val="24"/>
          <w:lang w:val="sr-Latn-ME"/>
        </w:rPr>
        <w:t>stvo</w:t>
      </w:r>
      <w:r w:rsidR="00F13713" w:rsidRPr="00736811">
        <w:rPr>
          <w:rFonts w:cs="Arial"/>
          <w:sz w:val="24"/>
          <w:szCs w:val="24"/>
          <w:lang w:val="sr-Latn-ME"/>
        </w:rPr>
        <w:t xml:space="preserve"> </w:t>
      </w:r>
      <w:r w:rsidR="00920D54" w:rsidRPr="00736811">
        <w:rPr>
          <w:rFonts w:cs="Arial"/>
          <w:sz w:val="24"/>
          <w:szCs w:val="24"/>
          <w:lang w:val="sr-Latn-ME"/>
        </w:rPr>
        <w:t>socijalnog staranja</w:t>
      </w:r>
      <w:r w:rsidR="00F13713" w:rsidRPr="00736811">
        <w:rPr>
          <w:rFonts w:cs="Arial"/>
          <w:sz w:val="24"/>
          <w:szCs w:val="24"/>
          <w:lang w:val="sr-Latn-ME"/>
        </w:rPr>
        <w:t>, brige o porodici i demografije</w:t>
      </w:r>
      <w:r w:rsidR="00422BC1">
        <w:rPr>
          <w:rFonts w:cs="Arial"/>
          <w:sz w:val="24"/>
          <w:szCs w:val="24"/>
          <w:lang w:val="sr-Latn-ME"/>
        </w:rPr>
        <w:t xml:space="preserve"> </w:t>
      </w:r>
      <w:r w:rsidRPr="00F96844">
        <w:rPr>
          <w:rFonts w:cs="Arial"/>
          <w:sz w:val="24"/>
          <w:szCs w:val="24"/>
          <w:lang w:val="sr-Latn-ME"/>
        </w:rPr>
        <w:t xml:space="preserve">je u 2023. godini na poziciji </w:t>
      </w:r>
      <w:r w:rsidR="00CC512A">
        <w:rPr>
          <w:rFonts w:cs="Arial"/>
          <w:sz w:val="24"/>
          <w:szCs w:val="24"/>
          <w:lang w:val="sr-Cyrl-ME"/>
        </w:rPr>
        <w:t>„</w:t>
      </w:r>
      <w:r w:rsidRPr="00F96844">
        <w:rPr>
          <w:rFonts w:cs="Arial"/>
          <w:sz w:val="24"/>
          <w:szCs w:val="24"/>
          <w:lang w:val="sr-Latn-ME"/>
        </w:rPr>
        <w:t>transferi opštinama” za finansiranje usluga socijalne i dječje zaštite obezbijedilo 1</w:t>
      </w:r>
      <w:r w:rsidR="007976AF">
        <w:rPr>
          <w:rFonts w:cs="Arial"/>
          <w:sz w:val="24"/>
          <w:szCs w:val="24"/>
          <w:lang w:val="sr-Latn-ME"/>
        </w:rPr>
        <w:t>.</w:t>
      </w:r>
      <w:r w:rsidRPr="00F96844">
        <w:rPr>
          <w:rFonts w:cs="Arial"/>
          <w:sz w:val="24"/>
          <w:szCs w:val="24"/>
          <w:lang w:val="sr-Latn-ME"/>
        </w:rPr>
        <w:t>616.345</w:t>
      </w:r>
      <w:r w:rsidR="007976AF">
        <w:rPr>
          <w:rFonts w:cs="Arial"/>
          <w:sz w:val="24"/>
          <w:szCs w:val="24"/>
          <w:lang w:val="sr-Latn-ME"/>
        </w:rPr>
        <w:t>,00</w:t>
      </w:r>
      <w:r w:rsidRPr="00F96844">
        <w:rPr>
          <w:rFonts w:cs="Arial"/>
          <w:sz w:val="24"/>
          <w:szCs w:val="24"/>
          <w:lang w:val="sr-Latn-ME"/>
        </w:rPr>
        <w:t xml:space="preserve"> eura, a isti iznos je u budžetu predviđen i za 2024. godinu. </w:t>
      </w:r>
    </w:p>
    <w:p w14:paraId="7A315750" w14:textId="77777777" w:rsidR="00E53258" w:rsidRPr="00F96844" w:rsidRDefault="00E53258" w:rsidP="00780738">
      <w:pPr>
        <w:jc w:val="both"/>
        <w:rPr>
          <w:rFonts w:cs="Arial"/>
          <w:sz w:val="24"/>
          <w:szCs w:val="24"/>
          <w:lang w:val="sr-Latn-ME"/>
        </w:rPr>
      </w:pPr>
    </w:p>
    <w:p w14:paraId="51EFA3A7" w14:textId="77777777" w:rsidR="005B6C3C" w:rsidRPr="00F96844" w:rsidRDefault="005B6C3C" w:rsidP="00780738">
      <w:pPr>
        <w:jc w:val="both"/>
        <w:rPr>
          <w:rFonts w:cs="Arial"/>
          <w:sz w:val="24"/>
          <w:szCs w:val="24"/>
          <w:lang w:val="sr-Latn-ME"/>
        </w:rPr>
      </w:pPr>
      <w:r w:rsidRPr="00F96844">
        <w:rPr>
          <w:rFonts w:cs="Arial"/>
          <w:sz w:val="24"/>
          <w:szCs w:val="24"/>
          <w:lang w:val="sr-Latn-ME"/>
        </w:rPr>
        <w:t>Zakonom o socijalnoj i dječjoj zaštiti</w:t>
      </w:r>
      <w:r w:rsidR="003017E7" w:rsidRPr="00F96844">
        <w:rPr>
          <w:rFonts w:cs="Arial"/>
          <w:sz w:val="24"/>
          <w:szCs w:val="24"/>
          <w:lang w:val="sr-Latn-ME"/>
        </w:rPr>
        <w:t xml:space="preserve"> </w:t>
      </w:r>
      <w:r w:rsidRPr="00F96844">
        <w:rPr>
          <w:rFonts w:cs="Arial"/>
          <w:sz w:val="24"/>
          <w:szCs w:val="24"/>
          <w:lang w:val="sr-Latn-ME"/>
        </w:rPr>
        <w:t>propisano je da se sredstva za obavljanje djelatnosti socijalne i dječje zaštite obezbjeđuju u budžetu države i budžetu opštine</w:t>
      </w:r>
      <w:r w:rsidR="003017E7" w:rsidRPr="00F96844">
        <w:rPr>
          <w:rFonts w:cs="Arial"/>
          <w:sz w:val="24"/>
          <w:szCs w:val="24"/>
          <w:lang w:val="sr-Latn-ME"/>
        </w:rPr>
        <w:t>. Sredstva za usluge socijalne i dječje zaštite obezbjeđuju se</w:t>
      </w:r>
      <w:r w:rsidR="00E25B9C" w:rsidRPr="00F96844">
        <w:rPr>
          <w:rFonts w:cs="Arial"/>
          <w:sz w:val="24"/>
          <w:szCs w:val="24"/>
          <w:lang w:val="sr-Latn-ME"/>
        </w:rPr>
        <w:t xml:space="preserve"> </w:t>
      </w:r>
      <w:r w:rsidR="003017E7" w:rsidRPr="00F96844">
        <w:rPr>
          <w:rFonts w:cs="Arial"/>
          <w:sz w:val="24"/>
          <w:szCs w:val="24"/>
          <w:lang w:val="sr-Latn-ME"/>
        </w:rPr>
        <w:t xml:space="preserve">putem učešća </w:t>
      </w:r>
      <w:r w:rsidR="00EB2F1D">
        <w:rPr>
          <w:rFonts w:cs="Arial"/>
          <w:sz w:val="24"/>
          <w:szCs w:val="24"/>
          <w:lang w:val="sr-Latn-ME"/>
        </w:rPr>
        <w:t>korisnika/korisnica</w:t>
      </w:r>
      <w:r w:rsidR="003017E7" w:rsidRPr="00F96844">
        <w:rPr>
          <w:rFonts w:cs="Arial"/>
          <w:sz w:val="24"/>
          <w:szCs w:val="24"/>
          <w:lang w:val="sr-Latn-ME"/>
        </w:rPr>
        <w:t>, odnosno njihovih srodnika</w:t>
      </w:r>
      <w:r w:rsidR="006D114E">
        <w:rPr>
          <w:rFonts w:cs="Arial"/>
          <w:sz w:val="24"/>
          <w:szCs w:val="24"/>
          <w:lang w:val="sr-Latn-ME"/>
        </w:rPr>
        <w:t>/</w:t>
      </w:r>
      <w:r w:rsidR="00CC512A">
        <w:rPr>
          <w:rFonts w:cs="Arial"/>
          <w:sz w:val="24"/>
          <w:szCs w:val="24"/>
          <w:lang w:val="sr-Latn-ME"/>
        </w:rPr>
        <w:t>srodni</w:t>
      </w:r>
      <w:r w:rsidR="006D114E">
        <w:rPr>
          <w:rFonts w:cs="Arial"/>
          <w:sz w:val="24"/>
          <w:szCs w:val="24"/>
          <w:lang w:val="sr-Latn-ME"/>
        </w:rPr>
        <w:t>ca</w:t>
      </w:r>
      <w:r w:rsidR="003017E7" w:rsidRPr="00F96844">
        <w:rPr>
          <w:rFonts w:cs="Arial"/>
          <w:sz w:val="24"/>
          <w:szCs w:val="24"/>
          <w:lang w:val="sr-Latn-ME"/>
        </w:rPr>
        <w:t xml:space="preserve"> koji</w:t>
      </w:r>
      <w:r w:rsidR="006D114E">
        <w:rPr>
          <w:rFonts w:cs="Arial"/>
          <w:sz w:val="24"/>
          <w:szCs w:val="24"/>
          <w:lang w:val="sr-Latn-ME"/>
        </w:rPr>
        <w:t>/</w:t>
      </w:r>
      <w:r w:rsidR="00CC512A">
        <w:rPr>
          <w:rFonts w:cs="Arial"/>
          <w:sz w:val="24"/>
          <w:szCs w:val="24"/>
          <w:lang w:val="sr-Latn-ME"/>
        </w:rPr>
        <w:t>koj</w:t>
      </w:r>
      <w:r w:rsidR="006D114E">
        <w:rPr>
          <w:rFonts w:cs="Arial"/>
          <w:sz w:val="24"/>
          <w:szCs w:val="24"/>
          <w:lang w:val="sr-Latn-ME"/>
        </w:rPr>
        <w:t>e</w:t>
      </w:r>
      <w:r w:rsidR="003017E7" w:rsidRPr="00F96844">
        <w:rPr>
          <w:rFonts w:cs="Arial"/>
          <w:sz w:val="24"/>
          <w:szCs w:val="24"/>
          <w:lang w:val="sr-Latn-ME"/>
        </w:rPr>
        <w:t xml:space="preserve"> su dužni</w:t>
      </w:r>
      <w:r w:rsidR="006D114E">
        <w:rPr>
          <w:rFonts w:cs="Arial"/>
          <w:sz w:val="24"/>
          <w:szCs w:val="24"/>
          <w:lang w:val="sr-Latn-ME"/>
        </w:rPr>
        <w:t>/</w:t>
      </w:r>
      <w:r w:rsidR="00CC512A">
        <w:rPr>
          <w:rFonts w:cs="Arial"/>
          <w:sz w:val="24"/>
          <w:szCs w:val="24"/>
          <w:lang w:val="sr-Latn-ME"/>
        </w:rPr>
        <w:t>dužn</w:t>
      </w:r>
      <w:r w:rsidR="006D114E">
        <w:rPr>
          <w:rFonts w:cs="Arial"/>
          <w:sz w:val="24"/>
          <w:szCs w:val="24"/>
          <w:lang w:val="sr-Latn-ME"/>
        </w:rPr>
        <w:t>e</w:t>
      </w:r>
      <w:r w:rsidR="003017E7" w:rsidRPr="00F96844">
        <w:rPr>
          <w:rFonts w:cs="Arial"/>
          <w:sz w:val="24"/>
          <w:szCs w:val="24"/>
          <w:lang w:val="sr-Latn-ME"/>
        </w:rPr>
        <w:t xml:space="preserve"> da ih izdržavaju, donacija, poklona, zavještanja, legata, osnivanjem zadužbina i fondacija i dr. U</w:t>
      </w:r>
      <w:r w:rsidRPr="00F96844">
        <w:rPr>
          <w:rFonts w:cs="Arial"/>
          <w:sz w:val="24"/>
          <w:szCs w:val="24"/>
          <w:lang w:val="sr-Latn-ME"/>
        </w:rPr>
        <w:t xml:space="preserve"> budžetu opštine mogu</w:t>
      </w:r>
      <w:r w:rsidR="003017E7" w:rsidRPr="00F96844">
        <w:rPr>
          <w:rFonts w:cs="Arial"/>
          <w:sz w:val="24"/>
          <w:szCs w:val="24"/>
          <w:lang w:val="sr-Latn-ME"/>
        </w:rPr>
        <w:t xml:space="preserve"> se</w:t>
      </w:r>
      <w:r w:rsidRPr="00F96844">
        <w:rPr>
          <w:rFonts w:cs="Arial"/>
          <w:sz w:val="24"/>
          <w:szCs w:val="24"/>
          <w:lang w:val="sr-Latn-ME"/>
        </w:rPr>
        <w:t xml:space="preserve"> obezbijediti sredstva za usluge socijalne i dječje zaštite, kao što su: pomoć u kući, smještaj u prihvatilište–sklonište, stanovanje za socijalno ugrožena lica i druge usluge u skladu sa svojim materijalnim mogućnostima. Ukoliko opštine nijesu u mogućnosti da u svojim budžetima obezbijede sredstva za finansiranje navedenih usluga, u njihovom finansiranju učestvuje država. </w:t>
      </w:r>
    </w:p>
    <w:p w14:paraId="716626CA" w14:textId="77777777" w:rsidR="00E53258" w:rsidRPr="00F96844" w:rsidRDefault="00E53258" w:rsidP="00780738">
      <w:pPr>
        <w:jc w:val="both"/>
        <w:rPr>
          <w:rFonts w:cs="Arial"/>
          <w:sz w:val="24"/>
          <w:szCs w:val="24"/>
          <w:lang w:val="sr-Latn-ME"/>
        </w:rPr>
      </w:pPr>
    </w:p>
    <w:p w14:paraId="76EB0D83" w14:textId="77777777" w:rsidR="005B6C3C" w:rsidRPr="00F96844" w:rsidRDefault="005B6C3C" w:rsidP="00780738">
      <w:pPr>
        <w:jc w:val="both"/>
        <w:rPr>
          <w:rFonts w:cs="Arial"/>
          <w:sz w:val="24"/>
          <w:szCs w:val="24"/>
          <w:lang w:val="sr-Latn-ME"/>
        </w:rPr>
      </w:pPr>
      <w:r w:rsidRPr="00F96844">
        <w:rPr>
          <w:rFonts w:cs="Arial"/>
          <w:sz w:val="24"/>
          <w:szCs w:val="24"/>
          <w:lang w:val="sr-Latn-ME"/>
        </w:rPr>
        <w:t>Za obezbjeđivanje finansijskih sredstava za razvoj, odnosno finansiranje usluga socijalne i dječje zaštite od strane države na nivou lokalnih samouprava, potrebno je da lokalne samouprave donesu lokalne planove socijalne i dječje zaštite u kojima su jasno predviđeni kriterijumi za raspodjelu sredstava po pojedinim opštinama</w:t>
      </w:r>
      <w:r w:rsidR="00CC512A">
        <w:rPr>
          <w:rFonts w:cs="Arial"/>
          <w:sz w:val="24"/>
          <w:szCs w:val="24"/>
          <w:lang w:val="sr-Latn-ME"/>
        </w:rPr>
        <w:t>,</w:t>
      </w:r>
      <w:r w:rsidRPr="00F96844">
        <w:rPr>
          <w:rFonts w:cs="Arial"/>
          <w:sz w:val="24"/>
          <w:szCs w:val="24"/>
          <w:lang w:val="sr-Latn-ME"/>
        </w:rPr>
        <w:t xml:space="preserve"> koji su propisani Pravilnikom o visini sredstava za razvoj, odnosno fina</w:t>
      </w:r>
      <w:r w:rsidR="0008323B">
        <w:rPr>
          <w:rFonts w:cs="Arial"/>
          <w:sz w:val="24"/>
          <w:szCs w:val="24"/>
          <w:lang w:val="sr-Latn-ME"/>
        </w:rPr>
        <w:t>n</w:t>
      </w:r>
      <w:r w:rsidRPr="00F96844">
        <w:rPr>
          <w:rFonts w:cs="Arial"/>
          <w:sz w:val="24"/>
          <w:szCs w:val="24"/>
          <w:lang w:val="sr-Latn-ME"/>
        </w:rPr>
        <w:t>siranje usluga socijalne i dječje zaštite i kriterijumima za njihovu raspodjelu.</w:t>
      </w:r>
      <w:r w:rsidR="00877A7F">
        <w:rPr>
          <w:rStyle w:val="FootnoteReference"/>
          <w:rFonts w:cs="Arial"/>
          <w:sz w:val="24"/>
          <w:szCs w:val="24"/>
          <w:lang w:val="sr-Latn-ME"/>
        </w:rPr>
        <w:footnoteReference w:id="87"/>
      </w:r>
    </w:p>
    <w:p w14:paraId="32725DCA" w14:textId="77777777" w:rsidR="005B6C3C" w:rsidRPr="00F96844" w:rsidRDefault="005B6C3C" w:rsidP="00780738">
      <w:pPr>
        <w:jc w:val="both"/>
        <w:rPr>
          <w:rFonts w:cs="Arial"/>
          <w:sz w:val="24"/>
          <w:szCs w:val="24"/>
          <w:lang w:val="sr-Latn-ME"/>
        </w:rPr>
      </w:pPr>
      <w:r w:rsidRPr="00F96844">
        <w:rPr>
          <w:rFonts w:cs="Arial"/>
          <w:sz w:val="24"/>
          <w:szCs w:val="24"/>
          <w:lang w:val="sr-Latn-ME"/>
        </w:rPr>
        <w:t xml:space="preserve">U </w:t>
      </w:r>
      <w:r w:rsidR="00981951" w:rsidRPr="00F96844">
        <w:rPr>
          <w:rFonts w:cs="Arial"/>
          <w:sz w:val="24"/>
          <w:szCs w:val="24"/>
          <w:lang w:val="sr-Latn-ME"/>
        </w:rPr>
        <w:t>analizi Pravci promjena u neposrednoj budućnosti u programima socijalne i d</w:t>
      </w:r>
      <w:r w:rsidR="00EB2F1D">
        <w:rPr>
          <w:rFonts w:cs="Arial"/>
          <w:sz w:val="24"/>
          <w:szCs w:val="24"/>
          <w:lang w:val="sr-Latn-ME"/>
        </w:rPr>
        <w:t>ječj</w:t>
      </w:r>
      <w:r w:rsidR="00981951" w:rsidRPr="00F96844">
        <w:rPr>
          <w:rFonts w:cs="Arial"/>
          <w:sz w:val="24"/>
          <w:szCs w:val="24"/>
          <w:lang w:val="sr-Latn-ME"/>
        </w:rPr>
        <w:t>e zaštite u Crnoj Gori,</w:t>
      </w:r>
      <w:r w:rsidRPr="00F96844">
        <w:rPr>
          <w:rFonts w:cs="Arial"/>
          <w:sz w:val="24"/>
          <w:szCs w:val="24"/>
          <w:lang w:val="sr-Latn-ME"/>
        </w:rPr>
        <w:t xml:space="preserve"> </w:t>
      </w:r>
      <w:r w:rsidR="007E4DCE" w:rsidRPr="00F96844">
        <w:rPr>
          <w:rFonts w:cs="Arial"/>
          <w:sz w:val="24"/>
          <w:szCs w:val="24"/>
          <w:lang w:val="sr-Latn-ME"/>
        </w:rPr>
        <w:t xml:space="preserve">predlaže </w:t>
      </w:r>
      <w:r w:rsidR="00CC512A" w:rsidRPr="00F96844">
        <w:rPr>
          <w:rFonts w:cs="Arial"/>
          <w:sz w:val="24"/>
          <w:szCs w:val="24"/>
          <w:lang w:val="sr-Latn-ME"/>
        </w:rPr>
        <w:t xml:space="preserve">se </w:t>
      </w:r>
      <w:r w:rsidR="007E4DCE" w:rsidRPr="00F96844">
        <w:rPr>
          <w:rFonts w:cs="Arial"/>
          <w:sz w:val="24"/>
          <w:szCs w:val="24"/>
          <w:lang w:val="sr-Latn-ME"/>
        </w:rPr>
        <w:t>da se s držav</w:t>
      </w:r>
      <w:r w:rsidRPr="00F96844">
        <w:rPr>
          <w:rFonts w:cs="Arial"/>
          <w:sz w:val="24"/>
          <w:szCs w:val="24"/>
          <w:lang w:val="sr-Latn-ME"/>
        </w:rPr>
        <w:t>nog nivoa finansiraju sve usluge smještaja i stanovanje uz podršku, kao usluge koje ujedno obezbjeđuju i njegu i stanovanje, kako bi se olakšalo kretanje novca za korisnikom. Prema ovom konceptu, finansiranje treba da bude obezb</w:t>
      </w:r>
      <w:r w:rsidR="00CC512A">
        <w:rPr>
          <w:rFonts w:cs="Arial"/>
          <w:sz w:val="24"/>
          <w:szCs w:val="24"/>
          <w:lang w:val="sr-Latn-ME"/>
        </w:rPr>
        <w:t>i</w:t>
      </w:r>
      <w:r w:rsidRPr="00F96844">
        <w:rPr>
          <w:rFonts w:cs="Arial"/>
          <w:sz w:val="24"/>
          <w:szCs w:val="24"/>
          <w:lang w:val="sr-Latn-ME"/>
        </w:rPr>
        <w:t>jeđeno iz državnog budžeta i za one usluge za koje su zahtjevi za uspostavljanje definisani na nacionalnom nivou, a standardi (i cijene) čvrsto određeni i ne ostavljaju prostor za lokalne inpute i modifikacije.</w:t>
      </w:r>
      <w:r w:rsidRPr="00F96844">
        <w:rPr>
          <w:rFonts w:cs="Arial"/>
          <w:sz w:val="24"/>
          <w:szCs w:val="24"/>
          <w:vertAlign w:val="superscript"/>
          <w:lang w:val="sr-Latn-ME"/>
        </w:rPr>
        <w:footnoteReference w:id="88"/>
      </w:r>
      <w:r w:rsidRPr="00F96844">
        <w:rPr>
          <w:rFonts w:cs="Arial"/>
          <w:sz w:val="24"/>
          <w:szCs w:val="24"/>
          <w:lang w:val="sr-Latn-ME"/>
        </w:rPr>
        <w:t xml:space="preserve"> </w:t>
      </w:r>
    </w:p>
    <w:p w14:paraId="6884EA51" w14:textId="77777777" w:rsidR="00E53258" w:rsidRPr="00F96844" w:rsidRDefault="00E53258" w:rsidP="00780738">
      <w:pPr>
        <w:jc w:val="both"/>
        <w:rPr>
          <w:rFonts w:cs="Arial"/>
          <w:sz w:val="24"/>
          <w:szCs w:val="24"/>
          <w:lang w:val="sr-Latn-ME"/>
        </w:rPr>
      </w:pPr>
    </w:p>
    <w:p w14:paraId="4E1E20C2" w14:textId="77777777" w:rsidR="008046B8" w:rsidRDefault="005B6C3C" w:rsidP="005114FD">
      <w:pPr>
        <w:jc w:val="both"/>
        <w:rPr>
          <w:rFonts w:cs="Arial"/>
          <w:sz w:val="24"/>
          <w:szCs w:val="24"/>
          <w:lang w:val="sr-Latn-ME"/>
        </w:rPr>
      </w:pPr>
      <w:r w:rsidRPr="00F96844">
        <w:rPr>
          <w:rFonts w:cs="Arial"/>
          <w:sz w:val="24"/>
          <w:szCs w:val="24"/>
          <w:lang w:val="sr-Latn-ME"/>
        </w:rPr>
        <w:t>U Mapi puta se predlaže da se Zakonom definiše minimalni paket usluga</w:t>
      </w:r>
      <w:r w:rsidR="00CC512A">
        <w:rPr>
          <w:rFonts w:cs="Arial"/>
          <w:sz w:val="24"/>
          <w:szCs w:val="24"/>
          <w:lang w:val="sr-Latn-ME"/>
        </w:rPr>
        <w:t xml:space="preserve"> ‒ </w:t>
      </w:r>
      <w:r w:rsidRPr="00F96844">
        <w:rPr>
          <w:rFonts w:cs="Arial"/>
          <w:sz w:val="24"/>
          <w:szCs w:val="24"/>
          <w:lang w:val="sr-Latn-ME"/>
        </w:rPr>
        <w:t>ključne, odnosno obavezne usluge koje će biti dostupne u svakoj opštini (ili kroz zajedničko pružanje u više manjih opština), a koje mogu da se finansiraju u potpunosti</w:t>
      </w:r>
      <w:r w:rsidR="00867803">
        <w:rPr>
          <w:rFonts w:cs="Arial"/>
          <w:sz w:val="24"/>
          <w:szCs w:val="24"/>
          <w:lang w:val="sr-Latn-ME"/>
        </w:rPr>
        <w:t xml:space="preserve"> s n</w:t>
      </w:r>
      <w:r w:rsidRPr="00F96844">
        <w:rPr>
          <w:rFonts w:cs="Arial"/>
          <w:sz w:val="24"/>
          <w:szCs w:val="24"/>
          <w:lang w:val="sr-Latn-ME"/>
        </w:rPr>
        <w:t>acionalnog nivoa ili uz jasnu podjelu nadležnosti, dijelom i iz lokalnih budžeta.</w:t>
      </w:r>
      <w:r w:rsidRPr="00F96844">
        <w:rPr>
          <w:rFonts w:cs="Arial"/>
          <w:sz w:val="24"/>
          <w:szCs w:val="24"/>
          <w:vertAlign w:val="superscript"/>
          <w:lang w:val="sr-Latn-ME"/>
        </w:rPr>
        <w:footnoteReference w:id="89"/>
      </w:r>
      <w:r w:rsidRPr="00F96844">
        <w:rPr>
          <w:rFonts w:cs="Arial"/>
          <w:sz w:val="24"/>
          <w:szCs w:val="24"/>
          <w:lang w:val="sr-Latn-ME"/>
        </w:rPr>
        <w:t xml:space="preserve"> Moguće je i da u slučaju pojedinih usluga državni nivo finansira minimum potreba, a da se lokalnom nivou prepusti finansiranje šireg kruga potreba (i korisnika).</w:t>
      </w:r>
      <w:r w:rsidRPr="00F96844">
        <w:rPr>
          <w:rFonts w:cs="Arial"/>
          <w:sz w:val="24"/>
          <w:szCs w:val="24"/>
          <w:vertAlign w:val="superscript"/>
          <w:lang w:val="sr-Latn-ME"/>
        </w:rPr>
        <w:footnoteReference w:id="90"/>
      </w:r>
      <w:r w:rsidRPr="00F96844">
        <w:rPr>
          <w:rFonts w:cs="Arial"/>
          <w:sz w:val="24"/>
          <w:szCs w:val="24"/>
          <w:lang w:val="sr-Latn-ME"/>
        </w:rPr>
        <w:t xml:space="preserve"> </w:t>
      </w:r>
    </w:p>
    <w:p w14:paraId="74DB8B90" w14:textId="77777777" w:rsidR="00ED2C03" w:rsidRPr="00F96844" w:rsidRDefault="00ED2C03" w:rsidP="005114FD">
      <w:pPr>
        <w:jc w:val="both"/>
        <w:rPr>
          <w:rFonts w:cs="Arial"/>
          <w:sz w:val="24"/>
          <w:szCs w:val="24"/>
          <w:lang w:val="sr-Latn-ME"/>
        </w:rPr>
      </w:pPr>
    </w:p>
    <w:tbl>
      <w:tblPr>
        <w:tblStyle w:val="GridTable4-Accent5"/>
        <w:tblpPr w:leftFromText="180" w:rightFromText="180" w:vertAnchor="text" w:horzAnchor="margin" w:tblpY="878"/>
        <w:tblW w:w="9351" w:type="dxa"/>
        <w:tblLayout w:type="fixed"/>
        <w:tblLook w:val="04A0" w:firstRow="1" w:lastRow="0" w:firstColumn="1" w:lastColumn="0" w:noHBand="0" w:noVBand="1"/>
      </w:tblPr>
      <w:tblGrid>
        <w:gridCol w:w="2823"/>
        <w:gridCol w:w="1850"/>
        <w:gridCol w:w="2126"/>
        <w:gridCol w:w="2552"/>
      </w:tblGrid>
      <w:tr w:rsidR="003678F7" w:rsidRPr="00F96844" w14:paraId="75DE1F27" w14:textId="77777777" w:rsidTr="00DF2C6A">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23" w:type="dxa"/>
            <w:hideMark/>
          </w:tcPr>
          <w:p w14:paraId="25861265" w14:textId="77777777" w:rsidR="003678F7" w:rsidRPr="00F96844" w:rsidRDefault="003678F7" w:rsidP="003678F7">
            <w:pPr>
              <w:ind w:left="3"/>
              <w:rPr>
                <w:rFonts w:ascii="Calibri" w:eastAsia="Calibri" w:hAnsi="Calibri" w:cs="Calibri"/>
                <w:b w:val="0"/>
                <w:sz w:val="24"/>
                <w:szCs w:val="24"/>
                <w:lang w:val="sr-Latn-ME"/>
              </w:rPr>
            </w:pPr>
            <w:r w:rsidRPr="00F96844">
              <w:rPr>
                <w:rFonts w:ascii="Calibri" w:eastAsia="Arial" w:hAnsi="Calibri" w:cs="Calibri"/>
                <w:b w:val="0"/>
                <w:sz w:val="24"/>
                <w:szCs w:val="24"/>
                <w:lang w:val="sr-Latn-ME"/>
              </w:rPr>
              <w:t xml:space="preserve">Operativni cilj 2: </w:t>
            </w:r>
          </w:p>
        </w:tc>
        <w:tc>
          <w:tcPr>
            <w:tcW w:w="6528" w:type="dxa"/>
            <w:gridSpan w:val="3"/>
          </w:tcPr>
          <w:p w14:paraId="237C6291" w14:textId="77777777" w:rsidR="003678F7" w:rsidRPr="00F96844" w:rsidRDefault="003678F7" w:rsidP="003678F7">
            <w:pPr>
              <w:keepNext/>
              <w:keepLines/>
              <w:outlineLvl w:val="1"/>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4"/>
                <w:szCs w:val="24"/>
                <w:lang w:val="sr-Latn-ME"/>
              </w:rPr>
            </w:pPr>
            <w:bookmarkStart w:id="85" w:name="_Toc167106906"/>
            <w:bookmarkStart w:id="86" w:name="_Toc172541309"/>
            <w:r w:rsidRPr="00F96844">
              <w:rPr>
                <w:rFonts w:ascii="Calibri" w:eastAsia="Calibri" w:hAnsi="Calibri" w:cs="Calibri"/>
                <w:b w:val="0"/>
                <w:sz w:val="24"/>
                <w:szCs w:val="24"/>
                <w:lang w:val="sr-Latn-ME"/>
              </w:rPr>
              <w:t xml:space="preserve">Unapređenje usluga socijalne i dječje zaštite kroz povećanje broja </w:t>
            </w:r>
            <w:r w:rsidR="00EB2F1D">
              <w:rPr>
                <w:rFonts w:ascii="Calibri" w:eastAsia="Calibri" w:hAnsi="Calibri" w:cs="Calibri"/>
                <w:b w:val="0"/>
                <w:sz w:val="24"/>
                <w:szCs w:val="24"/>
                <w:lang w:val="sr-Latn-ME"/>
              </w:rPr>
              <w:t>korisnika/korisnica</w:t>
            </w:r>
            <w:r w:rsidRPr="00F96844">
              <w:rPr>
                <w:rFonts w:ascii="Calibri" w:eastAsia="Calibri" w:hAnsi="Calibri" w:cs="Calibri"/>
                <w:b w:val="0"/>
                <w:sz w:val="24"/>
                <w:szCs w:val="24"/>
                <w:lang w:val="sr-Latn-ME"/>
              </w:rPr>
              <w:t xml:space="preserve"> koji</w:t>
            </w:r>
            <w:r w:rsidR="006D114E">
              <w:rPr>
                <w:rFonts w:ascii="Calibri" w:eastAsia="Calibri" w:hAnsi="Calibri" w:cs="Calibri"/>
                <w:b w:val="0"/>
                <w:sz w:val="24"/>
                <w:szCs w:val="24"/>
                <w:lang w:val="sr-Latn-ME"/>
              </w:rPr>
              <w:t>/</w:t>
            </w:r>
            <w:r w:rsidR="00520488">
              <w:rPr>
                <w:rFonts w:ascii="Calibri" w:eastAsia="Calibri" w:hAnsi="Calibri" w:cs="Calibri"/>
                <w:b w:val="0"/>
                <w:sz w:val="24"/>
                <w:szCs w:val="24"/>
                <w:lang w:val="sr-Latn-ME"/>
              </w:rPr>
              <w:t>koj</w:t>
            </w:r>
            <w:r w:rsidR="006D114E">
              <w:rPr>
                <w:rFonts w:ascii="Calibri" w:eastAsia="Calibri" w:hAnsi="Calibri" w:cs="Calibri"/>
                <w:b w:val="0"/>
                <w:sz w:val="24"/>
                <w:szCs w:val="24"/>
                <w:lang w:val="sr-Latn-ME"/>
              </w:rPr>
              <w:t>e</w:t>
            </w:r>
            <w:r w:rsidRPr="00F96844">
              <w:rPr>
                <w:rFonts w:ascii="Calibri" w:eastAsia="Calibri" w:hAnsi="Calibri" w:cs="Calibri"/>
                <w:b w:val="0"/>
                <w:sz w:val="24"/>
                <w:szCs w:val="24"/>
                <w:lang w:val="sr-Latn-ME"/>
              </w:rPr>
              <w:t xml:space="preserve"> imaju pristup uslugama</w:t>
            </w:r>
            <w:bookmarkEnd w:id="85"/>
            <w:bookmarkEnd w:id="86"/>
          </w:p>
        </w:tc>
      </w:tr>
      <w:tr w:rsidR="000A2EAB" w:rsidRPr="00F96844" w14:paraId="5156B197" w14:textId="77777777" w:rsidTr="00DF2C6A">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823" w:type="dxa"/>
          </w:tcPr>
          <w:p w14:paraId="655E0A23" w14:textId="77777777" w:rsidR="000A2EAB" w:rsidRDefault="000A2EAB" w:rsidP="008046B8">
            <w:pPr>
              <w:rPr>
                <w:rFonts w:asciiTheme="minorHAnsi" w:hAnsiTheme="minorHAnsi"/>
                <w:b w:val="0"/>
                <w:bCs w:val="0"/>
                <w:sz w:val="24"/>
                <w:szCs w:val="24"/>
                <w:lang w:val="sr-Latn-ME"/>
              </w:rPr>
            </w:pPr>
            <w:r w:rsidRPr="008046B8">
              <w:rPr>
                <w:rFonts w:asciiTheme="minorHAnsi" w:eastAsia="Times New Roman" w:hAnsiTheme="minorHAnsi" w:cs="Arial"/>
                <w:b w:val="0"/>
                <w:sz w:val="24"/>
                <w:szCs w:val="24"/>
                <w:lang w:val="sr-Latn-ME"/>
              </w:rPr>
              <w:t>Indikator učinka 1:</w:t>
            </w:r>
            <w:r w:rsidRPr="00F96844">
              <w:rPr>
                <w:rFonts w:asciiTheme="minorHAnsi" w:eastAsia="Times New Roman" w:hAnsiTheme="minorHAnsi" w:cs="Arial"/>
                <w:sz w:val="24"/>
                <w:szCs w:val="24"/>
                <w:lang w:val="sr-Latn-ME"/>
              </w:rPr>
              <w:t xml:space="preserve"> Normativno definisanje načina finansiranja usluga s državnog i lokalnog nivoa</w:t>
            </w:r>
          </w:p>
        </w:tc>
        <w:tc>
          <w:tcPr>
            <w:tcW w:w="1850" w:type="dxa"/>
          </w:tcPr>
          <w:p w14:paraId="63B7BB00"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Ne postoji funkcionalan i održiv sistem finansiranja usluga</w:t>
            </w:r>
          </w:p>
        </w:tc>
        <w:tc>
          <w:tcPr>
            <w:tcW w:w="2126" w:type="dxa"/>
          </w:tcPr>
          <w:p w14:paraId="1A8DEA7C"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Propisano u Zakonu o socijalnoj i dječjoj zaštiti koje usluge će se finansirati s državnog a koje s lokalnog nivoa</w:t>
            </w:r>
          </w:p>
        </w:tc>
        <w:tc>
          <w:tcPr>
            <w:tcW w:w="2552" w:type="dxa"/>
          </w:tcPr>
          <w:p w14:paraId="516957B6"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Uspostavlje</w:t>
            </w:r>
            <w:r w:rsidR="00520488">
              <w:rPr>
                <w:rFonts w:asciiTheme="minorHAnsi" w:eastAsia="Times New Roman" w:hAnsiTheme="minorHAnsi" w:cs="Arial"/>
                <w:sz w:val="24"/>
                <w:szCs w:val="24"/>
                <w:lang w:val="sr-Latn-ME"/>
              </w:rPr>
              <w:t>n</w:t>
            </w:r>
            <w:r w:rsidRPr="00F96844">
              <w:rPr>
                <w:rFonts w:asciiTheme="minorHAnsi" w:eastAsia="Times New Roman" w:hAnsiTheme="minorHAnsi" w:cs="Arial"/>
                <w:sz w:val="24"/>
                <w:szCs w:val="24"/>
                <w:lang w:val="sr-Latn-ME"/>
              </w:rPr>
              <w:t>o finansiranje usluga na državnom i lokalnom nivou</w:t>
            </w:r>
          </w:p>
        </w:tc>
      </w:tr>
      <w:tr w:rsidR="000A2EAB" w:rsidRPr="00F96844" w14:paraId="55057282" w14:textId="77777777" w:rsidTr="00DF2C6A">
        <w:trPr>
          <w:trHeight w:val="1636"/>
        </w:trPr>
        <w:tc>
          <w:tcPr>
            <w:cnfStyle w:val="001000000000" w:firstRow="0" w:lastRow="0" w:firstColumn="1" w:lastColumn="0" w:oddVBand="0" w:evenVBand="0" w:oddHBand="0" w:evenHBand="0" w:firstRowFirstColumn="0" w:firstRowLastColumn="0" w:lastRowFirstColumn="0" w:lastRowLastColumn="0"/>
            <w:tcW w:w="2823" w:type="dxa"/>
          </w:tcPr>
          <w:p w14:paraId="05E7CAD8" w14:textId="77777777" w:rsidR="000A2EAB" w:rsidRPr="008046B8" w:rsidRDefault="000A2EAB" w:rsidP="008046B8">
            <w:pPr>
              <w:rPr>
                <w:rFonts w:asciiTheme="minorHAnsi" w:hAnsiTheme="minorHAnsi"/>
                <w:b w:val="0"/>
                <w:sz w:val="24"/>
                <w:szCs w:val="24"/>
                <w:lang w:val="sr-Latn-ME"/>
              </w:rPr>
            </w:pPr>
            <w:r w:rsidRPr="008046B8">
              <w:rPr>
                <w:rFonts w:asciiTheme="minorHAnsi" w:hAnsiTheme="minorHAnsi"/>
                <w:b w:val="0"/>
                <w:sz w:val="24"/>
                <w:szCs w:val="24"/>
                <w:lang w:val="sr-Latn-ME"/>
              </w:rPr>
              <w:t>Indikator učinka 2:</w:t>
            </w:r>
          </w:p>
          <w:p w14:paraId="285D83E8" w14:textId="77777777" w:rsidR="000A2EAB" w:rsidRPr="00F96844" w:rsidRDefault="000A2EAB" w:rsidP="000A2EAB">
            <w:pPr>
              <w:ind w:left="3"/>
              <w:rPr>
                <w:rFonts w:asciiTheme="minorHAnsi" w:hAnsiTheme="minorHAnsi"/>
                <w:sz w:val="24"/>
                <w:szCs w:val="24"/>
                <w:lang w:val="sr-Latn-ME"/>
              </w:rPr>
            </w:pPr>
            <w:r w:rsidRPr="00F96844">
              <w:rPr>
                <w:rFonts w:asciiTheme="minorHAnsi" w:hAnsiTheme="minorHAnsi"/>
                <w:sz w:val="24"/>
                <w:szCs w:val="24"/>
                <w:lang w:val="sr-Latn-ME"/>
              </w:rPr>
              <w:t xml:space="preserve">Povećanje udjela rashoda za usluge SDZ iz državnog budžeta </w:t>
            </w:r>
          </w:p>
        </w:tc>
        <w:tc>
          <w:tcPr>
            <w:tcW w:w="1850" w:type="dxa"/>
          </w:tcPr>
          <w:p w14:paraId="269A210B" w14:textId="2C926383"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202</w:t>
            </w:r>
            <w:r w:rsidR="0063199C">
              <w:rPr>
                <w:rFonts w:asciiTheme="minorHAnsi" w:hAnsiTheme="minorHAnsi"/>
                <w:sz w:val="24"/>
                <w:szCs w:val="24"/>
                <w:lang w:val="sr-Latn-ME"/>
              </w:rPr>
              <w:t>4</w:t>
            </w:r>
            <w:r w:rsidR="00997BC3">
              <w:rPr>
                <w:rFonts w:asciiTheme="minorHAnsi" w:hAnsiTheme="minorHAnsi"/>
                <w:sz w:val="24"/>
                <w:szCs w:val="24"/>
                <w:lang w:val="sr-Latn-ME"/>
              </w:rPr>
              <w:t>.</w:t>
            </w:r>
          </w:p>
          <w:p w14:paraId="01F25A99"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498A4A84"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Trenutni nivo izdvajanja za usluge SDZ iz državnog budžeta</w:t>
            </w:r>
          </w:p>
          <w:p w14:paraId="595986DE"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5A97C61E" w14:textId="77777777" w:rsidR="000A2EAB" w:rsidRPr="00F96844" w:rsidRDefault="00ED2C03"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Pr>
                <w:rFonts w:asciiTheme="minorHAnsi" w:hAnsiTheme="minorHAnsi"/>
                <w:sz w:val="24"/>
                <w:szCs w:val="24"/>
                <w:lang w:val="sr-Latn-ME"/>
              </w:rPr>
              <w:t>5</w:t>
            </w:r>
            <w:r w:rsidR="000A2EAB" w:rsidRPr="00F96844">
              <w:rPr>
                <w:rFonts w:asciiTheme="minorHAnsi" w:hAnsiTheme="minorHAnsi"/>
                <w:sz w:val="24"/>
                <w:szCs w:val="24"/>
                <w:lang w:val="sr-Latn-ME"/>
              </w:rPr>
              <w:t>.</w:t>
            </w:r>
            <w:r>
              <w:rPr>
                <w:rFonts w:asciiTheme="minorHAnsi" w:hAnsiTheme="minorHAnsi"/>
                <w:sz w:val="24"/>
                <w:szCs w:val="24"/>
                <w:lang w:val="sr-Latn-ME"/>
              </w:rPr>
              <w:t>5</w:t>
            </w:r>
            <w:r w:rsidR="000A2EAB" w:rsidRPr="00F96844">
              <w:rPr>
                <w:rFonts w:asciiTheme="minorHAnsi" w:hAnsiTheme="minorHAnsi"/>
                <w:sz w:val="24"/>
                <w:szCs w:val="24"/>
                <w:lang w:val="sr-Latn-ME"/>
              </w:rPr>
              <w:t>00.000,00 eura</w:t>
            </w:r>
          </w:p>
        </w:tc>
        <w:tc>
          <w:tcPr>
            <w:tcW w:w="2126" w:type="dxa"/>
          </w:tcPr>
          <w:p w14:paraId="0B985414" w14:textId="0B9208DC"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202</w:t>
            </w:r>
            <w:r w:rsidR="0063199C">
              <w:rPr>
                <w:rFonts w:asciiTheme="minorHAnsi" w:hAnsiTheme="minorHAnsi"/>
                <w:sz w:val="24"/>
                <w:szCs w:val="24"/>
                <w:lang w:val="sr-Latn-ME"/>
              </w:rPr>
              <w:t>6</w:t>
            </w:r>
            <w:r w:rsidR="00997BC3">
              <w:rPr>
                <w:rFonts w:asciiTheme="minorHAnsi" w:hAnsiTheme="minorHAnsi"/>
                <w:sz w:val="24"/>
                <w:szCs w:val="24"/>
                <w:lang w:val="sr-Latn-ME"/>
              </w:rPr>
              <w:t>.</w:t>
            </w:r>
          </w:p>
          <w:p w14:paraId="6DDE3B4F"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019640CF"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Povećanja godišnjih izdvajanja za usluge SDZ iz državnog budžeta za 25%</w:t>
            </w:r>
          </w:p>
          <w:p w14:paraId="7C410975"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6614B98D"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w:t>
            </w:r>
            <w:r w:rsidR="00ED2C03">
              <w:rPr>
                <w:rFonts w:asciiTheme="minorHAnsi" w:hAnsiTheme="minorHAnsi"/>
                <w:sz w:val="24"/>
                <w:szCs w:val="24"/>
                <w:lang w:val="sr-Latn-ME"/>
              </w:rPr>
              <w:t>6</w:t>
            </w:r>
            <w:r w:rsidRPr="00F96844">
              <w:rPr>
                <w:rFonts w:asciiTheme="minorHAnsi" w:hAnsiTheme="minorHAnsi"/>
                <w:sz w:val="24"/>
                <w:szCs w:val="24"/>
                <w:lang w:val="sr-Latn-ME"/>
              </w:rPr>
              <w:t>.</w:t>
            </w:r>
            <w:r w:rsidR="00ED2C03">
              <w:rPr>
                <w:rFonts w:asciiTheme="minorHAnsi" w:hAnsiTheme="minorHAnsi"/>
                <w:sz w:val="24"/>
                <w:szCs w:val="24"/>
                <w:lang w:val="sr-Latn-ME"/>
              </w:rPr>
              <w:t>6</w:t>
            </w:r>
            <w:r w:rsidRPr="00F96844">
              <w:rPr>
                <w:rFonts w:asciiTheme="minorHAnsi" w:hAnsiTheme="minorHAnsi"/>
                <w:sz w:val="24"/>
                <w:szCs w:val="24"/>
                <w:lang w:val="sr-Latn-ME"/>
              </w:rPr>
              <w:t>00.000,00 eura)</w:t>
            </w:r>
          </w:p>
        </w:tc>
        <w:tc>
          <w:tcPr>
            <w:tcW w:w="2552" w:type="dxa"/>
          </w:tcPr>
          <w:p w14:paraId="441F38C1" w14:textId="0ABB4F01"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202</w:t>
            </w:r>
            <w:r w:rsidR="0063199C">
              <w:rPr>
                <w:rFonts w:asciiTheme="minorHAnsi" w:hAnsiTheme="minorHAnsi"/>
                <w:sz w:val="24"/>
                <w:szCs w:val="24"/>
                <w:lang w:val="sr-Latn-ME"/>
              </w:rPr>
              <w:t>8</w:t>
            </w:r>
            <w:r w:rsidR="00997BC3">
              <w:rPr>
                <w:rFonts w:asciiTheme="minorHAnsi" w:hAnsiTheme="minorHAnsi"/>
                <w:sz w:val="24"/>
                <w:szCs w:val="24"/>
                <w:lang w:val="sr-Latn-ME"/>
              </w:rPr>
              <w:t>.</w:t>
            </w:r>
          </w:p>
          <w:p w14:paraId="7CD1187B"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7CA514C0"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Povećanje godišnjih izdvajanja za usluge SDZ iz državnog budžeta za</w:t>
            </w:r>
            <w:r w:rsidR="00443752">
              <w:rPr>
                <w:rFonts w:asciiTheme="minorHAnsi" w:hAnsiTheme="minorHAnsi"/>
                <w:sz w:val="24"/>
                <w:szCs w:val="24"/>
                <w:lang w:val="sr-Latn-ME"/>
              </w:rPr>
              <w:t xml:space="preserve"> 264</w:t>
            </w:r>
            <w:r w:rsidRPr="00F96844">
              <w:rPr>
                <w:rFonts w:asciiTheme="minorHAnsi" w:hAnsiTheme="minorHAnsi"/>
                <w:sz w:val="24"/>
                <w:szCs w:val="24"/>
                <w:lang w:val="sr-Latn-ME"/>
              </w:rPr>
              <w:t xml:space="preserve">% u odnosu </w:t>
            </w:r>
            <w:r w:rsidRPr="00736811">
              <w:rPr>
                <w:rFonts w:asciiTheme="minorHAnsi" w:hAnsiTheme="minorHAnsi"/>
                <w:sz w:val="24"/>
                <w:szCs w:val="24"/>
                <w:lang w:val="sr-Latn-ME"/>
              </w:rPr>
              <w:t>na 2024.</w:t>
            </w:r>
            <w:r w:rsidRPr="00F96844">
              <w:rPr>
                <w:rFonts w:asciiTheme="minorHAnsi" w:hAnsiTheme="minorHAnsi"/>
                <w:sz w:val="24"/>
                <w:szCs w:val="24"/>
                <w:lang w:val="sr-Latn-ME"/>
              </w:rPr>
              <w:t xml:space="preserve"> godinu</w:t>
            </w:r>
          </w:p>
          <w:p w14:paraId="641A0382"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(20.000.000,00 eura)</w:t>
            </w:r>
          </w:p>
        </w:tc>
      </w:tr>
      <w:tr w:rsidR="00BA15B5" w:rsidRPr="00F96844" w14:paraId="787F612F" w14:textId="77777777" w:rsidTr="00DF2C6A">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2823" w:type="dxa"/>
          </w:tcPr>
          <w:p w14:paraId="4D06CEBA" w14:textId="77777777" w:rsidR="00BA15B5" w:rsidRPr="008046B8" w:rsidRDefault="00BA15B5" w:rsidP="00BA15B5">
            <w:pPr>
              <w:ind w:left="3"/>
              <w:rPr>
                <w:rFonts w:asciiTheme="minorHAnsi" w:eastAsia="Times New Roman" w:hAnsiTheme="minorHAnsi" w:cs="Arial"/>
                <w:b w:val="0"/>
                <w:sz w:val="24"/>
                <w:szCs w:val="24"/>
                <w:lang w:val="sr-Latn-ME"/>
              </w:rPr>
            </w:pPr>
            <w:r w:rsidRPr="008046B8">
              <w:rPr>
                <w:rFonts w:asciiTheme="minorHAnsi" w:eastAsia="Times New Roman" w:hAnsiTheme="minorHAnsi" w:cs="Arial"/>
                <w:b w:val="0"/>
                <w:sz w:val="24"/>
                <w:szCs w:val="24"/>
                <w:lang w:val="sr-Latn-ME"/>
              </w:rPr>
              <w:t>Indikator učinka 3:</w:t>
            </w:r>
          </w:p>
          <w:p w14:paraId="193585D2" w14:textId="77777777" w:rsidR="00BA15B5" w:rsidRPr="00F96844" w:rsidRDefault="00BA15B5" w:rsidP="00BA15B5">
            <w:pPr>
              <w:ind w:left="3"/>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Povećanje broja </w:t>
            </w:r>
            <w:r>
              <w:rPr>
                <w:rFonts w:asciiTheme="minorHAnsi" w:eastAsia="Times New Roman" w:hAnsiTheme="minorHAnsi" w:cs="Arial"/>
                <w:sz w:val="24"/>
                <w:szCs w:val="24"/>
                <w:lang w:val="sr-Latn-ME"/>
              </w:rPr>
              <w:t xml:space="preserve">licenciranih </w:t>
            </w:r>
            <w:r w:rsidRPr="00F96844">
              <w:rPr>
                <w:rFonts w:asciiTheme="minorHAnsi" w:eastAsia="Times New Roman" w:hAnsiTheme="minorHAnsi" w:cs="Arial"/>
                <w:sz w:val="24"/>
                <w:szCs w:val="24"/>
                <w:lang w:val="sr-Latn-ME"/>
              </w:rPr>
              <w:t>pružalaca usluga socijalne i dječje zaštite (podrška za život u zajednici, savjetodavno</w:t>
            </w:r>
            <w:r w:rsidR="00DF2C6A">
              <w:rPr>
                <w:rFonts w:asciiTheme="minorHAnsi" w:eastAsia="Times New Roman" w:hAnsiTheme="minorHAnsi" w:cs="Arial"/>
                <w:sz w:val="24"/>
                <w:szCs w:val="24"/>
                <w:lang w:val="sr-Latn-ME"/>
              </w:rPr>
              <w:t xml:space="preserve"> </w:t>
            </w:r>
            <w:r w:rsidRPr="00F96844">
              <w:rPr>
                <w:rFonts w:asciiTheme="minorHAnsi" w:eastAsia="Times New Roman" w:hAnsiTheme="minorHAnsi" w:cs="Arial"/>
                <w:sz w:val="24"/>
                <w:szCs w:val="24"/>
                <w:lang w:val="sr-Latn-ME"/>
              </w:rPr>
              <w:t>terapijske i socijalno-</w:t>
            </w:r>
            <w:r w:rsidR="00997BC3">
              <w:rPr>
                <w:rFonts w:asciiTheme="minorHAnsi" w:eastAsia="Times New Roman" w:hAnsiTheme="minorHAnsi" w:cs="Arial"/>
                <w:sz w:val="24"/>
                <w:szCs w:val="24"/>
                <w:lang w:val="sr-Latn-ME"/>
              </w:rPr>
              <w:t xml:space="preserve">        -</w:t>
            </w:r>
            <w:r w:rsidRPr="00F96844">
              <w:rPr>
                <w:rFonts w:asciiTheme="minorHAnsi" w:eastAsia="Times New Roman" w:hAnsiTheme="minorHAnsi" w:cs="Arial"/>
                <w:sz w:val="24"/>
                <w:szCs w:val="24"/>
                <w:lang w:val="sr-Latn-ME"/>
              </w:rPr>
              <w:t>edukativne usluge, porodični smještaj, porodični smještaj</w:t>
            </w:r>
            <w:r w:rsidR="00997BC3">
              <w:rPr>
                <w:rFonts w:asciiTheme="minorHAnsi" w:eastAsia="Times New Roman" w:hAnsiTheme="minorHAnsi" w:cstheme="minorHAnsi"/>
                <w:sz w:val="24"/>
                <w:szCs w:val="24"/>
                <w:lang w:val="sr-Latn-ME"/>
              </w:rPr>
              <w:t>‒</w:t>
            </w:r>
            <w:r w:rsidRPr="00F96844">
              <w:rPr>
                <w:rFonts w:asciiTheme="minorHAnsi" w:eastAsia="Times New Roman" w:hAnsiTheme="minorHAnsi" w:cs="Arial"/>
                <w:sz w:val="24"/>
                <w:szCs w:val="24"/>
                <w:lang w:val="sr-Latn-ME"/>
              </w:rPr>
              <w:t>hraniteljstvo)</w:t>
            </w:r>
            <w:r>
              <w:rPr>
                <w:rFonts w:asciiTheme="minorHAnsi" w:eastAsia="Times New Roman" w:hAnsiTheme="minorHAnsi" w:cs="Arial"/>
                <w:sz w:val="24"/>
                <w:szCs w:val="24"/>
                <w:lang w:val="sr-Latn-ME"/>
              </w:rPr>
              <w:t xml:space="preserve"> koji </w:t>
            </w:r>
            <w:r>
              <w:rPr>
                <w:rFonts w:asciiTheme="minorHAnsi" w:eastAsia="Times New Roman" w:hAnsiTheme="minorHAnsi" w:cs="Arial"/>
                <w:sz w:val="24"/>
                <w:szCs w:val="24"/>
                <w:lang w:val="sr-Latn-ME"/>
              </w:rPr>
              <w:lastRenderedPageBreak/>
              <w:t>kontinuirano pružaju uslugu korisnicima</w:t>
            </w:r>
          </w:p>
        </w:tc>
        <w:tc>
          <w:tcPr>
            <w:tcW w:w="1850" w:type="dxa"/>
            <w:vAlign w:val="center"/>
          </w:tcPr>
          <w:p w14:paraId="355B915F" w14:textId="77777777" w:rsidR="00BA15B5" w:rsidRPr="00BA15B5" w:rsidRDefault="00ED2C03"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Pr>
                <w:rFonts w:asciiTheme="minorHAnsi" w:eastAsia="Times New Roman" w:hAnsiTheme="minorHAnsi" w:cstheme="minorHAnsi"/>
                <w:sz w:val="24"/>
                <w:szCs w:val="24"/>
                <w:lang w:val="sr-Latn-ME"/>
              </w:rPr>
              <w:lastRenderedPageBreak/>
              <w:t>532</w:t>
            </w:r>
          </w:p>
          <w:p w14:paraId="14E4B950" w14:textId="77777777" w:rsidR="00BA15B5" w:rsidRPr="00BA15B5" w:rsidRDefault="00BA15B5"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sidRPr="00BA15B5">
              <w:rPr>
                <w:rFonts w:asciiTheme="minorHAnsi" w:eastAsia="Times New Roman" w:hAnsiTheme="minorHAnsi" w:cstheme="minorHAnsi"/>
                <w:sz w:val="24"/>
                <w:szCs w:val="24"/>
                <w:lang w:val="sr-Latn-ME"/>
              </w:rPr>
              <w:t xml:space="preserve"> licenciranih pružalaca usluga</w:t>
            </w:r>
          </w:p>
        </w:tc>
        <w:tc>
          <w:tcPr>
            <w:tcW w:w="2126" w:type="dxa"/>
            <w:vAlign w:val="center"/>
          </w:tcPr>
          <w:p w14:paraId="25A5F6B3" w14:textId="77777777" w:rsidR="00BA15B5" w:rsidRPr="00BA15B5" w:rsidRDefault="00BA15B5"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sidRPr="00BA15B5">
              <w:rPr>
                <w:rFonts w:asciiTheme="minorHAnsi" w:eastAsia="Times New Roman" w:hAnsiTheme="minorHAnsi" w:cstheme="minorHAnsi"/>
                <w:sz w:val="24"/>
                <w:szCs w:val="24"/>
                <w:lang w:val="sr-Latn-ME"/>
              </w:rPr>
              <w:t xml:space="preserve">Povećanje licenciranih pružalaca usluga </w:t>
            </w:r>
            <w:r w:rsidR="00ED2C03">
              <w:rPr>
                <w:rFonts w:asciiTheme="minorHAnsi" w:eastAsia="Times New Roman" w:hAnsiTheme="minorHAnsi" w:cstheme="minorHAnsi"/>
                <w:sz w:val="24"/>
                <w:szCs w:val="24"/>
                <w:lang w:val="sr-Latn-ME"/>
              </w:rPr>
              <w:t>na</w:t>
            </w:r>
            <w:r w:rsidRPr="00BA15B5">
              <w:rPr>
                <w:rFonts w:asciiTheme="minorHAnsi" w:eastAsia="Times New Roman" w:hAnsiTheme="minorHAnsi" w:cstheme="minorHAnsi"/>
                <w:sz w:val="24"/>
                <w:szCs w:val="24"/>
                <w:lang w:val="sr-Latn-ME"/>
              </w:rPr>
              <w:t xml:space="preserve"> 5</w:t>
            </w:r>
            <w:r w:rsidR="00ED2C03">
              <w:rPr>
                <w:rFonts w:asciiTheme="minorHAnsi" w:eastAsia="Times New Roman" w:hAnsiTheme="minorHAnsi" w:cstheme="minorHAnsi"/>
                <w:sz w:val="24"/>
                <w:szCs w:val="24"/>
                <w:lang w:val="sr-Latn-ME"/>
              </w:rPr>
              <w:t>64</w:t>
            </w:r>
          </w:p>
        </w:tc>
        <w:tc>
          <w:tcPr>
            <w:tcW w:w="2552" w:type="dxa"/>
            <w:vAlign w:val="center"/>
          </w:tcPr>
          <w:p w14:paraId="6AF5F330" w14:textId="77777777" w:rsidR="00BA15B5" w:rsidRPr="00BA15B5" w:rsidRDefault="00BA15B5"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sidRPr="00BA15B5">
              <w:rPr>
                <w:rFonts w:asciiTheme="minorHAnsi" w:eastAsia="Times New Roman" w:hAnsiTheme="minorHAnsi" w:cstheme="minorHAnsi"/>
                <w:sz w:val="24"/>
                <w:szCs w:val="24"/>
                <w:lang w:val="sr-Latn-ME"/>
              </w:rPr>
              <w:t xml:space="preserve">Povećanje licenciranih pružalaca usluga </w:t>
            </w:r>
            <w:r w:rsidR="00ED2C03">
              <w:rPr>
                <w:rFonts w:asciiTheme="minorHAnsi" w:eastAsia="Times New Roman" w:hAnsiTheme="minorHAnsi" w:cstheme="minorHAnsi"/>
                <w:sz w:val="24"/>
                <w:szCs w:val="24"/>
                <w:lang w:val="sr-Latn-ME"/>
              </w:rPr>
              <w:t>na</w:t>
            </w:r>
            <w:r w:rsidRPr="00BA15B5">
              <w:rPr>
                <w:rFonts w:asciiTheme="minorHAnsi" w:eastAsia="Times New Roman" w:hAnsiTheme="minorHAnsi" w:cstheme="minorHAnsi"/>
                <w:sz w:val="24"/>
                <w:szCs w:val="24"/>
                <w:lang w:val="sr-Latn-ME"/>
              </w:rPr>
              <w:t xml:space="preserve"> </w:t>
            </w:r>
            <w:r w:rsidR="00ED2C03">
              <w:rPr>
                <w:rFonts w:asciiTheme="minorHAnsi" w:eastAsia="Times New Roman" w:hAnsiTheme="minorHAnsi" w:cstheme="minorHAnsi"/>
                <w:sz w:val="24"/>
                <w:szCs w:val="24"/>
                <w:lang w:val="sr-Latn-ME"/>
              </w:rPr>
              <w:t>600</w:t>
            </w:r>
          </w:p>
        </w:tc>
      </w:tr>
      <w:tr w:rsidR="000A2EAB" w:rsidRPr="00F96844" w14:paraId="65E4D595" w14:textId="77777777" w:rsidTr="00DF2C6A">
        <w:trPr>
          <w:trHeight w:val="1636"/>
        </w:trPr>
        <w:tc>
          <w:tcPr>
            <w:cnfStyle w:val="001000000000" w:firstRow="0" w:lastRow="0" w:firstColumn="1" w:lastColumn="0" w:oddVBand="0" w:evenVBand="0" w:oddHBand="0" w:evenHBand="0" w:firstRowFirstColumn="0" w:firstRowLastColumn="0" w:lastRowFirstColumn="0" w:lastRowLastColumn="0"/>
            <w:tcW w:w="2823" w:type="dxa"/>
          </w:tcPr>
          <w:p w14:paraId="49C045E1" w14:textId="77777777" w:rsidR="000A2EAB" w:rsidRPr="00F96844" w:rsidRDefault="000A2EAB" w:rsidP="000A2EAB">
            <w:pPr>
              <w:ind w:left="3"/>
              <w:rPr>
                <w:rFonts w:asciiTheme="minorHAnsi" w:eastAsia="Times New Roman" w:hAnsiTheme="minorHAnsi" w:cs="Arial"/>
                <w:sz w:val="24"/>
                <w:szCs w:val="24"/>
                <w:lang w:val="sr-Latn-ME"/>
              </w:rPr>
            </w:pPr>
            <w:r w:rsidRPr="008046B8">
              <w:rPr>
                <w:rFonts w:asciiTheme="minorHAnsi" w:eastAsia="Times New Roman" w:hAnsiTheme="minorHAnsi" w:cs="Arial"/>
                <w:b w:val="0"/>
                <w:sz w:val="24"/>
                <w:szCs w:val="24"/>
                <w:lang w:val="sr-Latn-ME"/>
              </w:rPr>
              <w:lastRenderedPageBreak/>
              <w:t>Indikator učinka 4:</w:t>
            </w:r>
            <w:r w:rsidRPr="00F96844">
              <w:rPr>
                <w:rFonts w:asciiTheme="minorHAnsi" w:eastAsia="Times New Roman" w:hAnsiTheme="minorHAnsi" w:cs="Arial"/>
                <w:sz w:val="24"/>
                <w:szCs w:val="24"/>
                <w:lang w:val="sr-Latn-ME"/>
              </w:rPr>
              <w:t xml:space="preserve"> Povećanje broja prihvatilišta</w:t>
            </w:r>
            <w:r w:rsidR="00997BC3">
              <w:rPr>
                <w:rFonts w:asciiTheme="minorHAnsi" w:eastAsia="Times New Roman" w:hAnsiTheme="minorHAnsi" w:cstheme="minorHAnsi"/>
                <w:sz w:val="24"/>
                <w:szCs w:val="24"/>
                <w:lang w:val="sr-Latn-ME"/>
              </w:rPr>
              <w:t>‒</w:t>
            </w:r>
            <w:r w:rsidRPr="00F96844">
              <w:rPr>
                <w:rFonts w:asciiTheme="minorHAnsi" w:eastAsia="Times New Roman" w:hAnsiTheme="minorHAnsi" w:cs="Arial"/>
                <w:sz w:val="24"/>
                <w:szCs w:val="24"/>
                <w:lang w:val="sr-Latn-ME"/>
              </w:rPr>
              <w:t>skloništa (žrtve trgovine ljudima, beskućnici, LGBTIQ</w:t>
            </w:r>
            <w:r w:rsidR="00874034">
              <w:rPr>
                <w:rFonts w:asciiTheme="minorHAnsi" w:eastAsia="Times New Roman" w:hAnsiTheme="minorHAnsi" w:cs="Arial"/>
                <w:sz w:val="24"/>
                <w:szCs w:val="24"/>
                <w:lang w:val="sr-Latn-ME"/>
              </w:rPr>
              <w:t>)</w:t>
            </w:r>
          </w:p>
        </w:tc>
        <w:tc>
          <w:tcPr>
            <w:tcW w:w="1850" w:type="dxa"/>
          </w:tcPr>
          <w:p w14:paraId="7045A1AD"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Trenutni broj postojećih prihvatilišta</w:t>
            </w:r>
            <w:r w:rsidR="00997BC3">
              <w:rPr>
                <w:rFonts w:asciiTheme="minorHAnsi" w:eastAsia="Times New Roman" w:hAnsiTheme="minorHAnsi" w:cstheme="minorHAnsi"/>
                <w:sz w:val="24"/>
                <w:szCs w:val="24"/>
                <w:lang w:val="sr-Latn-ME"/>
              </w:rPr>
              <w:t>‒</w:t>
            </w:r>
            <w:r w:rsidRPr="00F96844">
              <w:rPr>
                <w:rFonts w:asciiTheme="minorHAnsi" w:eastAsia="Times New Roman" w:hAnsiTheme="minorHAnsi" w:cs="Arial"/>
                <w:sz w:val="24"/>
                <w:szCs w:val="24"/>
                <w:lang w:val="sr-Latn-ME"/>
              </w:rPr>
              <w:t>skloništa</w:t>
            </w:r>
          </w:p>
          <w:p w14:paraId="3A585AFD"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sr-Latn-ME"/>
              </w:rPr>
            </w:pPr>
            <w:r w:rsidRPr="00F96844">
              <w:rPr>
                <w:rFonts w:asciiTheme="minorHAnsi" w:eastAsia="Times New Roman" w:hAnsiTheme="minorHAnsi" w:cs="Arial"/>
                <w:sz w:val="24"/>
                <w:szCs w:val="24"/>
                <w:lang w:val="sr-Latn-ME"/>
              </w:rPr>
              <w:t>3</w:t>
            </w:r>
          </w:p>
        </w:tc>
        <w:tc>
          <w:tcPr>
            <w:tcW w:w="2126" w:type="dxa"/>
          </w:tcPr>
          <w:p w14:paraId="6AA78089"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Do kraja 2026. godine će biti uspostavljeno minimum jedno novo prihvat</w:t>
            </w:r>
            <w:r w:rsidR="0008323B">
              <w:rPr>
                <w:rFonts w:asciiTheme="minorHAnsi" w:eastAsia="Times New Roman" w:hAnsiTheme="minorHAnsi" w:cs="Arial"/>
                <w:sz w:val="24"/>
                <w:szCs w:val="24"/>
                <w:lang w:val="sr-Latn-ME"/>
              </w:rPr>
              <w:t>i</w:t>
            </w:r>
            <w:r w:rsidRPr="00F96844">
              <w:rPr>
                <w:rFonts w:asciiTheme="minorHAnsi" w:eastAsia="Times New Roman" w:hAnsiTheme="minorHAnsi" w:cs="Arial"/>
                <w:sz w:val="24"/>
                <w:szCs w:val="24"/>
                <w:lang w:val="sr-Latn-ME"/>
              </w:rPr>
              <w:t>lište</w:t>
            </w:r>
            <w:r w:rsidR="00997BC3">
              <w:rPr>
                <w:rFonts w:asciiTheme="minorHAnsi" w:eastAsia="Times New Roman" w:hAnsiTheme="minorHAnsi" w:cstheme="minorHAnsi"/>
                <w:sz w:val="24"/>
                <w:szCs w:val="24"/>
                <w:lang w:val="sr-Latn-ME"/>
              </w:rPr>
              <w:t>‒</w:t>
            </w:r>
            <w:r w:rsidRPr="00F96844">
              <w:rPr>
                <w:rFonts w:asciiTheme="minorHAnsi" w:eastAsia="Times New Roman" w:hAnsiTheme="minorHAnsi" w:cs="Arial"/>
                <w:sz w:val="24"/>
                <w:szCs w:val="24"/>
                <w:lang w:val="sr-Latn-ME"/>
              </w:rPr>
              <w:t>skl</w:t>
            </w:r>
            <w:r w:rsidR="00997BC3">
              <w:rPr>
                <w:rFonts w:asciiTheme="minorHAnsi" w:eastAsia="Times New Roman" w:hAnsiTheme="minorHAnsi" w:cs="Arial"/>
                <w:sz w:val="24"/>
                <w:szCs w:val="24"/>
                <w:lang w:val="sr-Latn-ME"/>
              </w:rPr>
              <w:t>o</w:t>
            </w:r>
            <w:r w:rsidRPr="00F96844">
              <w:rPr>
                <w:rFonts w:asciiTheme="minorHAnsi" w:eastAsia="Times New Roman" w:hAnsiTheme="minorHAnsi" w:cs="Arial"/>
                <w:sz w:val="24"/>
                <w:szCs w:val="24"/>
                <w:lang w:val="sr-Latn-ME"/>
              </w:rPr>
              <w:t>nište</w:t>
            </w:r>
          </w:p>
          <w:p w14:paraId="36FB05CD"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sr-Latn-ME"/>
              </w:rPr>
            </w:pPr>
            <w:r w:rsidRPr="00F96844">
              <w:rPr>
                <w:rFonts w:asciiTheme="minorHAnsi" w:eastAsia="Times New Roman" w:hAnsiTheme="minorHAnsi" w:cs="Arial"/>
                <w:sz w:val="24"/>
                <w:szCs w:val="24"/>
                <w:lang w:val="sr-Latn-ME"/>
              </w:rPr>
              <w:t>(Ukupan broj: 4)</w:t>
            </w:r>
          </w:p>
        </w:tc>
        <w:tc>
          <w:tcPr>
            <w:tcW w:w="2552" w:type="dxa"/>
          </w:tcPr>
          <w:p w14:paraId="571A50E1"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Do kraja 2028. godine će biti uspo</w:t>
            </w:r>
            <w:r w:rsidR="00997BC3">
              <w:rPr>
                <w:rFonts w:asciiTheme="minorHAnsi" w:eastAsia="Times New Roman" w:hAnsiTheme="minorHAnsi" w:cs="Arial"/>
                <w:sz w:val="24"/>
                <w:szCs w:val="24"/>
                <w:lang w:val="sr-Latn-ME"/>
              </w:rPr>
              <w:t>s</w:t>
            </w:r>
            <w:r w:rsidRPr="00F96844">
              <w:rPr>
                <w:rFonts w:asciiTheme="minorHAnsi" w:eastAsia="Times New Roman" w:hAnsiTheme="minorHAnsi" w:cs="Arial"/>
                <w:sz w:val="24"/>
                <w:szCs w:val="24"/>
                <w:lang w:val="sr-Latn-ME"/>
              </w:rPr>
              <w:t>ta</w:t>
            </w:r>
            <w:r w:rsidR="00997BC3">
              <w:rPr>
                <w:rFonts w:asciiTheme="minorHAnsi" w:eastAsia="Times New Roman" w:hAnsiTheme="minorHAnsi" w:cs="Arial"/>
                <w:sz w:val="24"/>
                <w:szCs w:val="24"/>
                <w:lang w:val="sr-Latn-ME"/>
              </w:rPr>
              <w:t>v</w:t>
            </w:r>
            <w:r w:rsidRPr="00F96844">
              <w:rPr>
                <w:rFonts w:asciiTheme="minorHAnsi" w:eastAsia="Times New Roman" w:hAnsiTheme="minorHAnsi" w:cs="Arial"/>
                <w:sz w:val="24"/>
                <w:szCs w:val="24"/>
                <w:lang w:val="sr-Latn-ME"/>
              </w:rPr>
              <w:t>ljeno minimum još jedno novo prihvatili</w:t>
            </w:r>
            <w:r w:rsidR="00997BC3">
              <w:rPr>
                <w:rFonts w:asciiTheme="minorHAnsi" w:eastAsia="Times New Roman" w:hAnsiTheme="minorHAnsi" w:cs="Arial"/>
                <w:sz w:val="24"/>
                <w:szCs w:val="24"/>
                <w:lang w:val="sr-Latn-ME"/>
              </w:rPr>
              <w:t>š</w:t>
            </w:r>
            <w:r w:rsidRPr="00F96844">
              <w:rPr>
                <w:rFonts w:asciiTheme="minorHAnsi" w:eastAsia="Times New Roman" w:hAnsiTheme="minorHAnsi" w:cs="Arial"/>
                <w:sz w:val="24"/>
                <w:szCs w:val="24"/>
                <w:lang w:val="sr-Latn-ME"/>
              </w:rPr>
              <w:t>t</w:t>
            </w:r>
            <w:r w:rsidR="00997BC3">
              <w:rPr>
                <w:rFonts w:asciiTheme="minorHAnsi" w:eastAsia="Times New Roman" w:hAnsiTheme="minorHAnsi" w:cs="Arial"/>
                <w:sz w:val="24"/>
                <w:szCs w:val="24"/>
                <w:lang w:val="sr-Latn-ME"/>
              </w:rPr>
              <w:t>e</w:t>
            </w:r>
            <w:r w:rsidR="00997BC3">
              <w:rPr>
                <w:rFonts w:asciiTheme="minorHAnsi" w:eastAsia="Times New Roman" w:hAnsiTheme="minorHAnsi" w:cstheme="minorHAnsi"/>
                <w:sz w:val="24"/>
                <w:szCs w:val="24"/>
                <w:lang w:val="sr-Latn-ME"/>
              </w:rPr>
              <w:t>‒</w:t>
            </w:r>
            <w:r w:rsidRPr="00F96844">
              <w:rPr>
                <w:rFonts w:asciiTheme="minorHAnsi" w:eastAsia="Times New Roman" w:hAnsiTheme="minorHAnsi" w:cs="Arial"/>
                <w:sz w:val="24"/>
                <w:szCs w:val="24"/>
                <w:lang w:val="sr-Latn-ME"/>
              </w:rPr>
              <w:t xml:space="preserve">sklonište </w:t>
            </w:r>
          </w:p>
          <w:p w14:paraId="279DA58D"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sr-Latn-ME"/>
              </w:rPr>
            </w:pPr>
            <w:r w:rsidRPr="00F96844">
              <w:rPr>
                <w:rFonts w:asciiTheme="minorHAnsi" w:eastAsia="Times New Roman" w:hAnsiTheme="minorHAnsi" w:cs="Arial"/>
                <w:sz w:val="24"/>
                <w:szCs w:val="24"/>
                <w:lang w:val="sr-Latn-ME"/>
              </w:rPr>
              <w:t>(Ukupan broj: 5)</w:t>
            </w:r>
          </w:p>
        </w:tc>
      </w:tr>
      <w:tr w:rsidR="000A2EAB" w:rsidRPr="00F96844" w14:paraId="7AAFD7E2" w14:textId="77777777" w:rsidTr="00DF2C6A">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823" w:type="dxa"/>
          </w:tcPr>
          <w:p w14:paraId="16E29A49" w14:textId="77777777" w:rsidR="000A2EAB" w:rsidRPr="00F96844" w:rsidRDefault="000A2EAB" w:rsidP="000A2EAB">
            <w:pPr>
              <w:ind w:left="3"/>
              <w:rPr>
                <w:rFonts w:asciiTheme="minorHAnsi" w:eastAsia="Times New Roman" w:hAnsiTheme="minorHAnsi" w:cs="Arial"/>
                <w:sz w:val="24"/>
                <w:szCs w:val="24"/>
                <w:lang w:val="sr-Latn-ME"/>
              </w:rPr>
            </w:pPr>
            <w:r w:rsidRPr="008046B8">
              <w:rPr>
                <w:rFonts w:asciiTheme="minorHAnsi" w:eastAsia="Times New Roman" w:hAnsiTheme="minorHAnsi" w:cs="Arial"/>
                <w:b w:val="0"/>
                <w:sz w:val="24"/>
                <w:szCs w:val="24"/>
                <w:lang w:val="sr-Latn-ME"/>
              </w:rPr>
              <w:t>Indikator učinka 5:</w:t>
            </w:r>
            <w:r w:rsidRPr="00F96844">
              <w:rPr>
                <w:rFonts w:asciiTheme="minorHAnsi" w:eastAsia="Times New Roman" w:hAnsiTheme="minorHAnsi" w:cs="Arial"/>
                <w:sz w:val="24"/>
                <w:szCs w:val="24"/>
                <w:lang w:val="sr-Latn-ME"/>
              </w:rPr>
              <w:t xml:space="preserve"> Uspostavljanje usluga za žene i djecu žrtve seksualnog nasilja</w:t>
            </w:r>
          </w:p>
        </w:tc>
        <w:tc>
          <w:tcPr>
            <w:tcW w:w="1850" w:type="dxa"/>
          </w:tcPr>
          <w:p w14:paraId="0E459E3E"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Ne postoje usluge za žene i djecu žrtve seksualnog nasilja</w:t>
            </w:r>
          </w:p>
        </w:tc>
        <w:tc>
          <w:tcPr>
            <w:tcW w:w="2126" w:type="dxa"/>
          </w:tcPr>
          <w:p w14:paraId="1FD45B16"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Uspostavljena minimum jedna (1) usluga za žene i djecu žrtve seksualnog nasilja</w:t>
            </w:r>
          </w:p>
        </w:tc>
        <w:tc>
          <w:tcPr>
            <w:tcW w:w="2552" w:type="dxa"/>
          </w:tcPr>
          <w:p w14:paraId="30B71510"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Uspostavljene minimum tri (3) usluge za žene i djecu žrtve seksualnog nasilja</w:t>
            </w:r>
          </w:p>
        </w:tc>
      </w:tr>
      <w:tr w:rsidR="000A2EAB" w:rsidRPr="00F96844" w14:paraId="3D6D5F02" w14:textId="77777777" w:rsidTr="00DF2C6A">
        <w:trPr>
          <w:trHeight w:val="1636"/>
        </w:trPr>
        <w:tc>
          <w:tcPr>
            <w:cnfStyle w:val="001000000000" w:firstRow="0" w:lastRow="0" w:firstColumn="1" w:lastColumn="0" w:oddVBand="0" w:evenVBand="0" w:oddHBand="0" w:evenHBand="0" w:firstRowFirstColumn="0" w:firstRowLastColumn="0" w:lastRowFirstColumn="0" w:lastRowLastColumn="0"/>
            <w:tcW w:w="2823" w:type="dxa"/>
          </w:tcPr>
          <w:p w14:paraId="46F9E779" w14:textId="77777777" w:rsidR="000A2EAB" w:rsidRPr="008046B8" w:rsidRDefault="000A2EAB" w:rsidP="000A2EAB">
            <w:pPr>
              <w:ind w:left="3"/>
              <w:rPr>
                <w:rFonts w:asciiTheme="minorHAnsi" w:eastAsia="Times New Roman" w:hAnsiTheme="minorHAnsi" w:cs="Arial"/>
                <w:b w:val="0"/>
                <w:sz w:val="24"/>
                <w:szCs w:val="24"/>
                <w:lang w:val="sr-Latn-ME"/>
              </w:rPr>
            </w:pPr>
            <w:r w:rsidRPr="008046B8">
              <w:rPr>
                <w:rFonts w:asciiTheme="minorHAnsi" w:eastAsia="Times New Roman" w:hAnsiTheme="minorHAnsi" w:cs="Arial"/>
                <w:b w:val="0"/>
                <w:sz w:val="24"/>
                <w:szCs w:val="24"/>
                <w:lang w:val="sr-Latn-ME"/>
              </w:rPr>
              <w:t>Indikator učinka 6:</w:t>
            </w:r>
          </w:p>
          <w:p w14:paraId="7C31D5DC" w14:textId="77777777" w:rsidR="000A2EAB" w:rsidRPr="00F96844" w:rsidRDefault="000A2EAB" w:rsidP="000A2EAB">
            <w:pPr>
              <w:ind w:left="3"/>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Unapređenje saradnje između sektora socijalne i dječje zaštite, </w:t>
            </w:r>
            <w:r>
              <w:rPr>
                <w:rFonts w:asciiTheme="minorHAnsi" w:eastAsia="Times New Roman" w:hAnsiTheme="minorHAnsi" w:cs="Arial"/>
                <w:sz w:val="24"/>
                <w:szCs w:val="24"/>
                <w:lang w:val="sr-Latn-ME"/>
              </w:rPr>
              <w:t xml:space="preserve">zapošljavanja, </w:t>
            </w:r>
            <w:r w:rsidRPr="00F96844">
              <w:rPr>
                <w:rFonts w:asciiTheme="minorHAnsi" w:eastAsia="Times New Roman" w:hAnsiTheme="minorHAnsi" w:cs="Arial"/>
                <w:sz w:val="24"/>
                <w:szCs w:val="24"/>
                <w:lang w:val="sr-Latn-ME"/>
              </w:rPr>
              <w:t>obrazovanja, zdravstvene zaštite, kulture</w:t>
            </w:r>
            <w:r w:rsidR="00864848">
              <w:rPr>
                <w:rFonts w:asciiTheme="minorHAnsi" w:eastAsia="Times New Roman" w:hAnsiTheme="minorHAnsi" w:cs="Arial"/>
                <w:sz w:val="24"/>
                <w:szCs w:val="24"/>
                <w:lang w:val="sr-Latn-ME"/>
              </w:rPr>
              <w:t xml:space="preserve"> i dr</w:t>
            </w:r>
            <w:r w:rsidRPr="00F96844">
              <w:rPr>
                <w:rFonts w:asciiTheme="minorHAnsi" w:eastAsia="Times New Roman" w:hAnsiTheme="minorHAnsi" w:cs="Arial"/>
                <w:sz w:val="24"/>
                <w:szCs w:val="24"/>
                <w:lang w:val="sr-Latn-ME"/>
              </w:rPr>
              <w:t>.</w:t>
            </w:r>
          </w:p>
        </w:tc>
        <w:tc>
          <w:tcPr>
            <w:tcW w:w="1850" w:type="dxa"/>
          </w:tcPr>
          <w:p w14:paraId="1EE64F03"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Ne postoje integrisane usluge </w:t>
            </w:r>
            <w:r w:rsidR="006F5E77">
              <w:rPr>
                <w:rFonts w:asciiTheme="minorHAnsi" w:eastAsia="Times New Roman" w:hAnsiTheme="minorHAnsi" w:cs="Arial"/>
                <w:sz w:val="24"/>
                <w:szCs w:val="24"/>
                <w:lang w:val="sr-Latn-ME"/>
              </w:rPr>
              <w:t xml:space="preserve">koje uključuju sektore </w:t>
            </w:r>
            <w:r w:rsidRPr="00F96844">
              <w:rPr>
                <w:rFonts w:asciiTheme="minorHAnsi" w:eastAsia="Times New Roman" w:hAnsiTheme="minorHAnsi" w:cs="Arial"/>
                <w:sz w:val="24"/>
                <w:szCs w:val="24"/>
                <w:lang w:val="sr-Latn-ME"/>
              </w:rPr>
              <w:t xml:space="preserve">socijalne i dječje zaštite, </w:t>
            </w:r>
            <w:r>
              <w:rPr>
                <w:rFonts w:asciiTheme="minorHAnsi" w:eastAsia="Times New Roman" w:hAnsiTheme="minorHAnsi" w:cs="Arial"/>
                <w:sz w:val="24"/>
                <w:szCs w:val="24"/>
                <w:lang w:val="sr-Latn-ME"/>
              </w:rPr>
              <w:t xml:space="preserve">zapošljavanja, </w:t>
            </w:r>
            <w:r w:rsidRPr="00F96844">
              <w:rPr>
                <w:rFonts w:asciiTheme="minorHAnsi" w:eastAsia="Times New Roman" w:hAnsiTheme="minorHAnsi" w:cs="Arial"/>
                <w:sz w:val="24"/>
                <w:szCs w:val="24"/>
                <w:lang w:val="sr-Latn-ME"/>
              </w:rPr>
              <w:t>obrazovanja, zdravstvene zaštite, kulture</w:t>
            </w:r>
            <w:r w:rsidR="006F5E77">
              <w:rPr>
                <w:rFonts w:asciiTheme="minorHAnsi" w:eastAsia="Times New Roman" w:hAnsiTheme="minorHAnsi" w:cs="Arial"/>
                <w:sz w:val="24"/>
                <w:szCs w:val="24"/>
                <w:lang w:val="sr-Latn-ME"/>
              </w:rPr>
              <w:t xml:space="preserve"> i dr.</w:t>
            </w:r>
          </w:p>
        </w:tc>
        <w:tc>
          <w:tcPr>
            <w:tcW w:w="2126" w:type="dxa"/>
          </w:tcPr>
          <w:p w14:paraId="0471E3C3"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Propisan u Zakonu o socijalnoj i dječjoj zaštiti i zakonima iz drugih sektora način finansiranja i funkcionisanja integrisanih usluga</w:t>
            </w:r>
          </w:p>
        </w:tc>
        <w:tc>
          <w:tcPr>
            <w:tcW w:w="2552" w:type="dxa"/>
          </w:tcPr>
          <w:p w14:paraId="203B4FC3"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Uspostavljeno finansiranje integrisanih usluga između sektora socijalne i dječje zaštite, </w:t>
            </w:r>
            <w:r>
              <w:rPr>
                <w:rFonts w:asciiTheme="minorHAnsi" w:eastAsia="Times New Roman" w:hAnsiTheme="minorHAnsi" w:cs="Arial"/>
                <w:sz w:val="24"/>
                <w:szCs w:val="24"/>
                <w:lang w:val="sr-Latn-ME"/>
              </w:rPr>
              <w:t xml:space="preserve">zapošljavanja, </w:t>
            </w:r>
            <w:r w:rsidRPr="00F96844">
              <w:rPr>
                <w:rFonts w:asciiTheme="minorHAnsi" w:eastAsia="Times New Roman" w:hAnsiTheme="minorHAnsi" w:cs="Arial"/>
                <w:sz w:val="24"/>
                <w:szCs w:val="24"/>
                <w:lang w:val="sr-Latn-ME"/>
              </w:rPr>
              <w:t>obrazovanj</w:t>
            </w:r>
            <w:r w:rsidR="00997BC3">
              <w:rPr>
                <w:rFonts w:asciiTheme="minorHAnsi" w:eastAsia="Times New Roman" w:hAnsiTheme="minorHAnsi" w:cs="Arial"/>
                <w:sz w:val="24"/>
                <w:szCs w:val="24"/>
                <w:lang w:val="sr-Latn-ME"/>
              </w:rPr>
              <w:t>a</w:t>
            </w:r>
            <w:r w:rsidRPr="00F96844">
              <w:rPr>
                <w:rFonts w:asciiTheme="minorHAnsi" w:eastAsia="Times New Roman" w:hAnsiTheme="minorHAnsi" w:cs="Arial"/>
                <w:sz w:val="24"/>
                <w:szCs w:val="24"/>
                <w:lang w:val="sr-Latn-ME"/>
              </w:rPr>
              <w:t>, zdravstvene zaštite, kulture</w:t>
            </w:r>
            <w:r w:rsidR="00FE2153">
              <w:rPr>
                <w:rFonts w:asciiTheme="minorHAnsi" w:eastAsia="Times New Roman" w:hAnsiTheme="minorHAnsi" w:cs="Arial"/>
                <w:sz w:val="24"/>
                <w:szCs w:val="24"/>
                <w:lang w:val="sr-Latn-ME"/>
              </w:rPr>
              <w:t>, sporta i dr.</w:t>
            </w:r>
          </w:p>
          <w:p w14:paraId="1E6FADDB"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p>
        </w:tc>
      </w:tr>
    </w:tbl>
    <w:p w14:paraId="27E2AF43" w14:textId="77777777" w:rsidR="00FE626F" w:rsidRDefault="00FE626F" w:rsidP="005114FD">
      <w:pPr>
        <w:jc w:val="both"/>
        <w:rPr>
          <w:rFonts w:cs="Arial"/>
          <w:sz w:val="24"/>
          <w:szCs w:val="24"/>
          <w:lang w:val="sr-Latn-ME"/>
        </w:rPr>
      </w:pPr>
    </w:p>
    <w:p w14:paraId="3E6A6785" w14:textId="77777777" w:rsidR="005B6C3C" w:rsidRPr="00F96844" w:rsidRDefault="005B6C3C" w:rsidP="00FE626F">
      <w:pPr>
        <w:jc w:val="both"/>
        <w:rPr>
          <w:rFonts w:cs="Arial"/>
          <w:sz w:val="24"/>
          <w:szCs w:val="24"/>
          <w:lang w:val="sr-Latn-ME"/>
        </w:rPr>
      </w:pPr>
      <w:r w:rsidRPr="00F96844">
        <w:rPr>
          <w:rFonts w:cs="Arial"/>
          <w:sz w:val="24"/>
          <w:szCs w:val="24"/>
          <w:lang w:val="sr-Latn-ME"/>
        </w:rPr>
        <w:t>Imajući u vidu da se finansiranje vezuje za budžetsku godinu, poseban problem su prekidi u finansiranju projektno obezbijeđenih usluga tokom više mjeseci godišnje, odnosno odsustvo prakse sklapanja višegodišnjih ugovora.</w:t>
      </w:r>
      <w:r w:rsidRPr="00F96844">
        <w:rPr>
          <w:rFonts w:cs="Arial"/>
          <w:sz w:val="24"/>
          <w:szCs w:val="24"/>
          <w:vertAlign w:val="superscript"/>
          <w:lang w:val="sr-Latn-ME"/>
        </w:rPr>
        <w:footnoteReference w:id="91"/>
      </w:r>
      <w:r w:rsidRPr="00F96844">
        <w:rPr>
          <w:rFonts w:cs="Arial"/>
          <w:sz w:val="24"/>
          <w:szCs w:val="24"/>
          <w:lang w:val="sr-Latn-ME"/>
        </w:rPr>
        <w:t xml:space="preserve"> </w:t>
      </w:r>
    </w:p>
    <w:p w14:paraId="13122C6A" w14:textId="77777777" w:rsidR="00E53258" w:rsidRPr="00F96844" w:rsidRDefault="00E53258" w:rsidP="00FE626F">
      <w:pPr>
        <w:jc w:val="both"/>
        <w:rPr>
          <w:rFonts w:cs="Arial"/>
          <w:sz w:val="24"/>
          <w:szCs w:val="24"/>
          <w:lang w:val="sr-Latn-ME"/>
        </w:rPr>
      </w:pPr>
    </w:p>
    <w:p w14:paraId="3B3EA2D8" w14:textId="77777777" w:rsidR="005B6C3C" w:rsidRPr="00F96844" w:rsidRDefault="005B6C3C" w:rsidP="00FE626F">
      <w:pPr>
        <w:jc w:val="both"/>
        <w:rPr>
          <w:rFonts w:cs="Arial"/>
          <w:sz w:val="24"/>
          <w:szCs w:val="24"/>
          <w:lang w:val="sr-Latn-ME"/>
        </w:rPr>
      </w:pPr>
      <w:r w:rsidRPr="00F96844">
        <w:rPr>
          <w:rFonts w:cs="Arial"/>
          <w:sz w:val="24"/>
          <w:szCs w:val="24"/>
          <w:lang w:val="sr-Latn-ME"/>
        </w:rPr>
        <w:t>Određivanje adekvatnih cijena usluga neposredno je povezano</w:t>
      </w:r>
      <w:r w:rsidR="004C5D23">
        <w:rPr>
          <w:rFonts w:cs="Arial"/>
          <w:sz w:val="24"/>
          <w:szCs w:val="24"/>
          <w:lang w:val="sr-Latn-ME"/>
        </w:rPr>
        <w:t xml:space="preserve"> s p</w:t>
      </w:r>
      <w:r w:rsidRPr="00F96844">
        <w:rPr>
          <w:rFonts w:cs="Arial"/>
          <w:sz w:val="24"/>
          <w:szCs w:val="24"/>
          <w:lang w:val="sr-Latn-ME"/>
        </w:rPr>
        <w:t>itanjem njihovog finansiranja. Cijene usluga treba da budu formirane na način da obezbijede adekvatno pokrivanje troškova pružanja usluga</w:t>
      </w:r>
      <w:r w:rsidR="00A3419D" w:rsidRPr="00A3419D">
        <w:t xml:space="preserve"> </w:t>
      </w:r>
      <w:r w:rsidR="00A3419D" w:rsidRPr="00A3419D">
        <w:rPr>
          <w:rFonts w:cs="Arial"/>
          <w:sz w:val="24"/>
          <w:szCs w:val="24"/>
          <w:lang w:val="sr-Latn-ME"/>
        </w:rPr>
        <w:t>u različitim područjima države (urbano i ruralno područje, južni, centralni i sjeverni region)</w:t>
      </w:r>
      <w:r w:rsidRPr="00F96844">
        <w:rPr>
          <w:rFonts w:cs="Arial"/>
          <w:sz w:val="24"/>
          <w:szCs w:val="24"/>
          <w:lang w:val="sr-Latn-ME"/>
        </w:rPr>
        <w:t xml:space="preserve">. U analizama se predlaže i da se cijene </w:t>
      </w:r>
      <w:r w:rsidRPr="00F96844">
        <w:rPr>
          <w:rFonts w:cs="Arial"/>
          <w:sz w:val="24"/>
          <w:szCs w:val="24"/>
          <w:lang w:val="sr-Latn-ME"/>
        </w:rPr>
        <w:lastRenderedPageBreak/>
        <w:t>indeksiraju</w:t>
      </w:r>
      <w:r w:rsidR="00867803">
        <w:rPr>
          <w:rFonts w:cs="Arial"/>
          <w:sz w:val="24"/>
          <w:szCs w:val="24"/>
          <w:lang w:val="sr-Latn-ME"/>
        </w:rPr>
        <w:t xml:space="preserve"> s i</w:t>
      </w:r>
      <w:r w:rsidRPr="00F96844">
        <w:rPr>
          <w:rFonts w:cs="Arial"/>
          <w:sz w:val="24"/>
          <w:szCs w:val="24"/>
          <w:lang w:val="sr-Latn-ME"/>
        </w:rPr>
        <w:t>nflacijom i/ili da se ažuriraju u skladu</w:t>
      </w:r>
      <w:r w:rsidR="004C5D23">
        <w:rPr>
          <w:rFonts w:cs="Arial"/>
          <w:sz w:val="24"/>
          <w:szCs w:val="24"/>
          <w:lang w:val="sr-Latn-ME"/>
        </w:rPr>
        <w:t xml:space="preserve"> s p</w:t>
      </w:r>
      <w:r w:rsidRPr="00F96844">
        <w:rPr>
          <w:rFonts w:cs="Arial"/>
          <w:sz w:val="24"/>
          <w:szCs w:val="24"/>
          <w:lang w:val="sr-Latn-ME"/>
        </w:rPr>
        <w:t>romjenama cijena resursa koji utiču na pružanje usluga.</w:t>
      </w:r>
      <w:r w:rsidRPr="00F96844">
        <w:rPr>
          <w:rFonts w:cs="Arial"/>
          <w:sz w:val="24"/>
          <w:szCs w:val="24"/>
          <w:vertAlign w:val="superscript"/>
          <w:lang w:val="sr-Latn-ME"/>
        </w:rPr>
        <w:footnoteReference w:id="92"/>
      </w:r>
      <w:r w:rsidRPr="00F96844">
        <w:rPr>
          <w:rFonts w:cs="Arial"/>
          <w:sz w:val="24"/>
          <w:szCs w:val="24"/>
          <w:vertAlign w:val="superscript"/>
          <w:lang w:val="sr-Latn-ME"/>
        </w:rPr>
        <w:t xml:space="preserve"> </w:t>
      </w:r>
      <w:r w:rsidRPr="00F96844">
        <w:rPr>
          <w:rFonts w:cs="Arial"/>
          <w:sz w:val="24"/>
          <w:szCs w:val="24"/>
          <w:lang w:val="sr-Latn-ME"/>
        </w:rPr>
        <w:t xml:space="preserve">Posebno se ističe i da </w:t>
      </w:r>
      <w:r w:rsidR="00B5423F">
        <w:rPr>
          <w:rFonts w:cs="Arial"/>
          <w:sz w:val="24"/>
          <w:szCs w:val="24"/>
          <w:lang w:val="sr-Latn-ME"/>
        </w:rPr>
        <w:t xml:space="preserve">bi </w:t>
      </w:r>
      <w:r w:rsidRPr="00F96844">
        <w:rPr>
          <w:rFonts w:cs="Arial"/>
          <w:sz w:val="24"/>
          <w:szCs w:val="24"/>
          <w:lang w:val="sr-Latn-ME"/>
        </w:rPr>
        <w:t>obračun troškova po k</w:t>
      </w:r>
      <w:r w:rsidR="001854B5">
        <w:rPr>
          <w:rFonts w:cs="Arial"/>
          <w:sz w:val="24"/>
          <w:szCs w:val="24"/>
          <w:lang w:val="sr-Latn-ME"/>
        </w:rPr>
        <w:t>orisniku/korisnici</w:t>
      </w:r>
      <w:r w:rsidRPr="00F96844">
        <w:rPr>
          <w:rFonts w:cs="Arial"/>
          <w:sz w:val="24"/>
          <w:szCs w:val="24"/>
          <w:lang w:val="sr-Latn-ME"/>
        </w:rPr>
        <w:t xml:space="preserve"> treba</w:t>
      </w:r>
      <w:r w:rsidR="00B5423F">
        <w:rPr>
          <w:rFonts w:cs="Arial"/>
          <w:sz w:val="24"/>
          <w:szCs w:val="24"/>
          <w:lang w:val="sr-Latn-ME"/>
        </w:rPr>
        <w:t>lo</w:t>
      </w:r>
      <w:r w:rsidRPr="00F96844">
        <w:rPr>
          <w:rFonts w:cs="Arial"/>
          <w:sz w:val="24"/>
          <w:szCs w:val="24"/>
          <w:lang w:val="sr-Latn-ME"/>
        </w:rPr>
        <w:t xml:space="preserve"> da ima u vidu ekonomiju obima i da treba da omogući pokrivanje većih troškova po k</w:t>
      </w:r>
      <w:r w:rsidR="001854B5">
        <w:rPr>
          <w:rFonts w:cs="Arial"/>
          <w:sz w:val="24"/>
          <w:szCs w:val="24"/>
          <w:lang w:val="sr-Latn-ME"/>
        </w:rPr>
        <w:t>orisniku/korisnici</w:t>
      </w:r>
      <w:r w:rsidRPr="00F96844">
        <w:rPr>
          <w:rFonts w:cs="Arial"/>
          <w:sz w:val="24"/>
          <w:szCs w:val="24"/>
          <w:lang w:val="sr-Latn-ME"/>
        </w:rPr>
        <w:t xml:space="preserve"> kada je broj </w:t>
      </w:r>
      <w:r w:rsidR="00EB2F1D">
        <w:rPr>
          <w:rFonts w:cs="Arial"/>
          <w:sz w:val="24"/>
          <w:szCs w:val="24"/>
          <w:lang w:val="sr-Latn-ME"/>
        </w:rPr>
        <w:t>korisnika/korisnica</w:t>
      </w:r>
      <w:r w:rsidRPr="00F96844">
        <w:rPr>
          <w:rFonts w:cs="Arial"/>
          <w:sz w:val="24"/>
          <w:szCs w:val="24"/>
          <w:lang w:val="sr-Latn-ME"/>
        </w:rPr>
        <w:t xml:space="preserve"> mali, kako se ne bi obeshrabrilo pružanje usluga koje nose veće fiksne troškove ili usluga u područjima s manjom gustinom naseljenosti i/ili manjom tražnjom.</w:t>
      </w:r>
      <w:r w:rsidRPr="00F96844">
        <w:rPr>
          <w:rFonts w:cs="Arial"/>
          <w:sz w:val="24"/>
          <w:szCs w:val="24"/>
          <w:vertAlign w:val="superscript"/>
          <w:lang w:val="sr-Latn-ME"/>
        </w:rPr>
        <w:footnoteReference w:id="93"/>
      </w:r>
      <w:r w:rsidRPr="00F96844">
        <w:rPr>
          <w:rFonts w:cs="Arial"/>
          <w:sz w:val="24"/>
          <w:szCs w:val="24"/>
          <w:lang w:val="sr-Latn-ME"/>
        </w:rPr>
        <w:t xml:space="preserve"> </w:t>
      </w:r>
    </w:p>
    <w:p w14:paraId="6CFA051E" w14:textId="77777777" w:rsidR="004248A4" w:rsidRPr="00F96844" w:rsidRDefault="004248A4" w:rsidP="00FE626F">
      <w:pPr>
        <w:jc w:val="both"/>
        <w:rPr>
          <w:rFonts w:cs="Arial"/>
          <w:b/>
          <w:bCs/>
          <w:sz w:val="24"/>
          <w:szCs w:val="24"/>
          <w:lang w:val="sr-Latn-ME"/>
        </w:rPr>
      </w:pPr>
    </w:p>
    <w:p w14:paraId="4EA34922" w14:textId="77777777" w:rsidR="008B2F62" w:rsidRPr="00F96844" w:rsidRDefault="008B2F62" w:rsidP="00FE626F">
      <w:pPr>
        <w:pStyle w:val="Heading2"/>
        <w:rPr>
          <w:szCs w:val="24"/>
          <w:lang w:val="sr-Latn-ME"/>
        </w:rPr>
      </w:pPr>
      <w:bookmarkStart w:id="87" w:name="_Toc172541310"/>
      <w:r w:rsidRPr="00F96844">
        <w:rPr>
          <w:szCs w:val="24"/>
          <w:lang w:val="sr-Latn-ME"/>
        </w:rPr>
        <w:t>Unapređenje kvaliteta upravljanja u sistemu socijalne i dječje zaštite na svim nivoima</w:t>
      </w:r>
      <w:bookmarkEnd w:id="87"/>
    </w:p>
    <w:p w14:paraId="6939734B" w14:textId="77777777" w:rsidR="00E14BD8" w:rsidRPr="00F96844" w:rsidRDefault="00E14BD8" w:rsidP="00FE626F">
      <w:pPr>
        <w:jc w:val="both"/>
        <w:rPr>
          <w:rFonts w:eastAsia="Times New Roman" w:cs="Arial"/>
          <w:sz w:val="24"/>
          <w:szCs w:val="24"/>
          <w:lang w:val="sr-Latn-ME"/>
        </w:rPr>
      </w:pPr>
    </w:p>
    <w:p w14:paraId="5C08EB32" w14:textId="77777777" w:rsidR="00623852" w:rsidRDefault="00801AD6" w:rsidP="00FE626F">
      <w:pPr>
        <w:jc w:val="both"/>
        <w:rPr>
          <w:rFonts w:cs="Arial"/>
          <w:sz w:val="24"/>
          <w:szCs w:val="24"/>
          <w:lang w:val="sr-Latn-ME"/>
        </w:rPr>
      </w:pPr>
      <w:r w:rsidRPr="00F96844">
        <w:rPr>
          <w:sz w:val="24"/>
          <w:szCs w:val="24"/>
          <w:lang w:val="sr-Latn-ME"/>
        </w:rPr>
        <w:t xml:space="preserve">Postojeći resursi i akteri u socijalnoj </w:t>
      </w:r>
      <w:r w:rsidR="001F0566" w:rsidRPr="00F96844">
        <w:rPr>
          <w:sz w:val="24"/>
          <w:szCs w:val="24"/>
          <w:lang w:val="sr-Latn-ME"/>
        </w:rPr>
        <w:t>i d</w:t>
      </w:r>
      <w:r w:rsidR="00EB2F1D">
        <w:rPr>
          <w:sz w:val="24"/>
          <w:szCs w:val="24"/>
          <w:lang w:val="sr-Latn-ME"/>
        </w:rPr>
        <w:t>ječj</w:t>
      </w:r>
      <w:r w:rsidR="001F0566" w:rsidRPr="00F96844">
        <w:rPr>
          <w:sz w:val="24"/>
          <w:szCs w:val="24"/>
          <w:lang w:val="sr-Latn-ME"/>
        </w:rPr>
        <w:t xml:space="preserve">oj </w:t>
      </w:r>
      <w:r w:rsidRPr="00F96844">
        <w:rPr>
          <w:sz w:val="24"/>
          <w:szCs w:val="24"/>
          <w:lang w:val="sr-Latn-ME"/>
        </w:rPr>
        <w:t xml:space="preserve">zaštiti nisu adekvatni kako bi pružali efikasnu </w:t>
      </w:r>
      <w:r w:rsidR="00874AB6" w:rsidRPr="00F96844">
        <w:rPr>
          <w:sz w:val="24"/>
          <w:szCs w:val="24"/>
          <w:lang w:val="sr-Latn-ME"/>
        </w:rPr>
        <w:t>i</w:t>
      </w:r>
      <w:r w:rsidR="001F0566" w:rsidRPr="00F96844">
        <w:rPr>
          <w:sz w:val="24"/>
          <w:szCs w:val="24"/>
          <w:lang w:val="sr-Latn-ME"/>
        </w:rPr>
        <w:t xml:space="preserve"> kvalitetnu socijalnu i d</w:t>
      </w:r>
      <w:r w:rsidR="00EB2F1D">
        <w:rPr>
          <w:sz w:val="24"/>
          <w:szCs w:val="24"/>
          <w:lang w:val="sr-Latn-ME"/>
        </w:rPr>
        <w:t>ječj</w:t>
      </w:r>
      <w:r w:rsidR="001F0566" w:rsidRPr="00F96844">
        <w:rPr>
          <w:sz w:val="24"/>
          <w:szCs w:val="24"/>
          <w:lang w:val="sr-Latn-ME"/>
        </w:rPr>
        <w:t xml:space="preserve">u </w:t>
      </w:r>
      <w:r w:rsidRPr="00F96844">
        <w:rPr>
          <w:sz w:val="24"/>
          <w:szCs w:val="24"/>
          <w:lang w:val="sr-Latn-ME"/>
        </w:rPr>
        <w:t xml:space="preserve">zaštitu. </w:t>
      </w:r>
      <w:r w:rsidR="001F0566" w:rsidRPr="00F96844">
        <w:rPr>
          <w:sz w:val="24"/>
          <w:szCs w:val="24"/>
          <w:lang w:val="sr-Latn-ME"/>
        </w:rPr>
        <w:t>Ra</w:t>
      </w:r>
      <w:r w:rsidR="001F42E7">
        <w:rPr>
          <w:sz w:val="24"/>
          <w:szCs w:val="24"/>
          <w:lang w:val="sr-Latn-ME"/>
        </w:rPr>
        <w:t>z</w:t>
      </w:r>
      <w:r w:rsidR="001F0566" w:rsidRPr="00F96844">
        <w:rPr>
          <w:sz w:val="24"/>
          <w:szCs w:val="24"/>
          <w:lang w:val="sr-Latn-ME"/>
        </w:rPr>
        <w:t>ličite analize koje su urađene u prethodnom period</w:t>
      </w:r>
      <w:r w:rsidR="004B39F1">
        <w:rPr>
          <w:sz w:val="24"/>
          <w:szCs w:val="24"/>
          <w:lang w:val="sr-Latn-ME"/>
        </w:rPr>
        <w:t>u</w:t>
      </w:r>
      <w:r w:rsidR="001F0566" w:rsidRPr="00F96844">
        <w:rPr>
          <w:sz w:val="24"/>
          <w:szCs w:val="24"/>
          <w:lang w:val="sr-Latn-ME"/>
        </w:rPr>
        <w:t xml:space="preserve"> ukazale</w:t>
      </w:r>
      <w:r w:rsidR="004B39F1">
        <w:rPr>
          <w:sz w:val="24"/>
          <w:szCs w:val="24"/>
          <w:lang w:val="sr-Latn-ME"/>
        </w:rPr>
        <w:t xml:space="preserve"> su</w:t>
      </w:r>
      <w:r w:rsidR="00B5423F">
        <w:rPr>
          <w:sz w:val="24"/>
          <w:szCs w:val="24"/>
          <w:lang w:val="sr-Latn-ME"/>
        </w:rPr>
        <w:t xml:space="preserve"> na to</w:t>
      </w:r>
      <w:r w:rsidR="001F0566" w:rsidRPr="00F96844">
        <w:rPr>
          <w:sz w:val="24"/>
          <w:szCs w:val="24"/>
          <w:lang w:val="sr-Latn-ME"/>
        </w:rPr>
        <w:t xml:space="preserve"> </w:t>
      </w:r>
      <w:r w:rsidRPr="00F96844">
        <w:rPr>
          <w:sz w:val="24"/>
          <w:szCs w:val="24"/>
          <w:lang w:val="sr-Latn-ME"/>
        </w:rPr>
        <w:t>da reformski proces u oblasti socijalne</w:t>
      </w:r>
      <w:r w:rsidR="001F0566" w:rsidRPr="00F96844">
        <w:rPr>
          <w:sz w:val="24"/>
          <w:szCs w:val="24"/>
          <w:lang w:val="sr-Latn-ME"/>
        </w:rPr>
        <w:t xml:space="preserve"> i d</w:t>
      </w:r>
      <w:r w:rsidR="00EB2F1D">
        <w:rPr>
          <w:sz w:val="24"/>
          <w:szCs w:val="24"/>
          <w:lang w:val="sr-Latn-ME"/>
        </w:rPr>
        <w:t>ječj</w:t>
      </w:r>
      <w:r w:rsidR="001F0566" w:rsidRPr="00F96844">
        <w:rPr>
          <w:sz w:val="24"/>
          <w:szCs w:val="24"/>
          <w:lang w:val="sr-Latn-ME"/>
        </w:rPr>
        <w:t>e</w:t>
      </w:r>
      <w:r w:rsidRPr="00F96844">
        <w:rPr>
          <w:sz w:val="24"/>
          <w:szCs w:val="24"/>
          <w:lang w:val="sr-Latn-ME"/>
        </w:rPr>
        <w:t xml:space="preserve"> zaštite podrazum</w:t>
      </w:r>
      <w:r w:rsidR="001F42E7">
        <w:rPr>
          <w:sz w:val="24"/>
          <w:szCs w:val="24"/>
          <w:lang w:val="sr-Latn-ME"/>
        </w:rPr>
        <w:t>ij</w:t>
      </w:r>
      <w:r w:rsidRPr="00F96844">
        <w:rPr>
          <w:sz w:val="24"/>
          <w:szCs w:val="24"/>
          <w:lang w:val="sr-Latn-ME"/>
        </w:rPr>
        <w:t xml:space="preserve">eva postavljanje </w:t>
      </w:r>
      <w:r w:rsidR="001F0566" w:rsidRPr="00F96844">
        <w:rPr>
          <w:sz w:val="24"/>
          <w:szCs w:val="24"/>
          <w:lang w:val="sr-Latn-ME"/>
        </w:rPr>
        <w:t xml:space="preserve">korisnika </w:t>
      </w:r>
      <w:r w:rsidRPr="00F96844">
        <w:rPr>
          <w:sz w:val="24"/>
          <w:szCs w:val="24"/>
          <w:lang w:val="sr-Latn-ME"/>
        </w:rPr>
        <w:t>u centar sistema,</w:t>
      </w:r>
      <w:r w:rsidR="001F0566" w:rsidRPr="00F96844">
        <w:rPr>
          <w:sz w:val="24"/>
          <w:szCs w:val="24"/>
          <w:lang w:val="sr-Latn-ME"/>
        </w:rPr>
        <w:t xml:space="preserve"> </w:t>
      </w:r>
      <w:r w:rsidRPr="00F96844">
        <w:rPr>
          <w:sz w:val="24"/>
          <w:szCs w:val="24"/>
          <w:lang w:val="sr-Latn-ME"/>
        </w:rPr>
        <w:t xml:space="preserve">uspostavljanje  novih usluga, uključivanje većeg broja pružalaca usluga i </w:t>
      </w:r>
      <w:r w:rsidR="001F0566" w:rsidRPr="00F96844">
        <w:rPr>
          <w:sz w:val="24"/>
          <w:szCs w:val="24"/>
          <w:lang w:val="sr-Latn-ME"/>
        </w:rPr>
        <w:t xml:space="preserve">veću ulogu lokalnih samouprava u pružanju usluga. Takođe, </w:t>
      </w:r>
      <w:r w:rsidRPr="00F96844">
        <w:rPr>
          <w:sz w:val="24"/>
          <w:szCs w:val="24"/>
          <w:lang w:val="sr-Latn-ME"/>
        </w:rPr>
        <w:t xml:space="preserve"> </w:t>
      </w:r>
      <w:bookmarkStart w:id="88" w:name="_Hlk167800273"/>
      <w:r w:rsidR="001F0566" w:rsidRPr="00F96844">
        <w:rPr>
          <w:sz w:val="24"/>
          <w:szCs w:val="24"/>
          <w:lang w:val="sr-Latn-ME"/>
        </w:rPr>
        <w:t>neo</w:t>
      </w:r>
      <w:r w:rsidR="00B5423F">
        <w:rPr>
          <w:sz w:val="24"/>
          <w:szCs w:val="24"/>
          <w:lang w:val="sr-Latn-ME"/>
        </w:rPr>
        <w:t>p</w:t>
      </w:r>
      <w:r w:rsidR="001F0566" w:rsidRPr="00F96844">
        <w:rPr>
          <w:sz w:val="24"/>
          <w:szCs w:val="24"/>
          <w:lang w:val="sr-Latn-ME"/>
        </w:rPr>
        <w:t xml:space="preserve">hodno je i </w:t>
      </w:r>
      <w:r w:rsidRPr="00F96844">
        <w:rPr>
          <w:sz w:val="24"/>
          <w:szCs w:val="24"/>
          <w:lang w:val="sr-Latn-ME"/>
        </w:rPr>
        <w:t xml:space="preserve"> uspostavljanj</w:t>
      </w:r>
      <w:r w:rsidR="001F0566" w:rsidRPr="00F96844">
        <w:rPr>
          <w:sz w:val="24"/>
          <w:szCs w:val="24"/>
          <w:lang w:val="sr-Latn-ME"/>
        </w:rPr>
        <w:t>e</w:t>
      </w:r>
      <w:r w:rsidRPr="00F96844">
        <w:rPr>
          <w:sz w:val="24"/>
          <w:szCs w:val="24"/>
          <w:lang w:val="sr-Latn-ME"/>
        </w:rPr>
        <w:t xml:space="preserve"> integrisanih usluga</w:t>
      </w:r>
      <w:r w:rsidR="001F0566" w:rsidRPr="00F96844">
        <w:rPr>
          <w:sz w:val="24"/>
          <w:szCs w:val="24"/>
          <w:lang w:val="sr-Latn-ME"/>
        </w:rPr>
        <w:t>, koje</w:t>
      </w:r>
      <w:r w:rsidR="00623852" w:rsidRPr="00F96844">
        <w:rPr>
          <w:sz w:val="24"/>
          <w:szCs w:val="24"/>
          <w:lang w:val="sr-Latn-ME"/>
        </w:rPr>
        <w:t xml:space="preserve"> su</w:t>
      </w:r>
      <w:r w:rsidR="00623852" w:rsidRPr="00F96844">
        <w:rPr>
          <w:rFonts w:eastAsia="Calibri" w:cs="Arial"/>
          <w:color w:val="000000"/>
          <w:sz w:val="24"/>
          <w:szCs w:val="24"/>
          <w:shd w:val="clear" w:color="auto" w:fill="FFFFFF"/>
          <w:lang w:val="sr-Latn-ME"/>
        </w:rPr>
        <w:t xml:space="preserve"> višestruko značajn</w:t>
      </w:r>
      <w:r w:rsidR="004B39F1">
        <w:rPr>
          <w:rFonts w:eastAsia="Calibri" w:cs="Arial"/>
          <w:color w:val="000000"/>
          <w:sz w:val="24"/>
          <w:szCs w:val="24"/>
          <w:shd w:val="clear" w:color="auto" w:fill="FFFFFF"/>
          <w:lang w:val="sr-Latn-ME"/>
        </w:rPr>
        <w:t>e</w:t>
      </w:r>
      <w:r w:rsidR="00623852" w:rsidRPr="00F96844">
        <w:rPr>
          <w:rFonts w:eastAsia="Calibri" w:cs="Arial"/>
          <w:color w:val="000000"/>
          <w:sz w:val="24"/>
          <w:szCs w:val="24"/>
          <w:shd w:val="clear" w:color="auto" w:fill="FFFFFF"/>
          <w:lang w:val="sr-Latn-ME"/>
        </w:rPr>
        <w:t xml:space="preserve"> za zaštitu</w:t>
      </w:r>
      <w:r w:rsidR="004B39F1">
        <w:rPr>
          <w:rFonts w:eastAsia="Calibri" w:cs="Arial"/>
          <w:color w:val="000000"/>
          <w:sz w:val="24"/>
          <w:szCs w:val="24"/>
          <w:shd w:val="clear" w:color="auto" w:fill="FFFFFF"/>
          <w:lang w:val="sr-Latn-ME"/>
        </w:rPr>
        <w:t xml:space="preserve"> različitih kategorija korisnika. </w:t>
      </w:r>
      <w:r w:rsidR="001136FA">
        <w:rPr>
          <w:rFonts w:cs="Arial"/>
          <w:sz w:val="24"/>
          <w:szCs w:val="24"/>
          <w:lang w:val="sr-Latn-ME"/>
        </w:rPr>
        <w:t>Obezbjeđenje</w:t>
      </w:r>
      <w:r w:rsidR="00623852" w:rsidRPr="00F96844">
        <w:rPr>
          <w:rFonts w:cs="Arial"/>
          <w:sz w:val="24"/>
          <w:szCs w:val="24"/>
          <w:lang w:val="sr-Latn-ME"/>
        </w:rPr>
        <w:t xml:space="preserve"> međusektorske saradnje i promocije integrativnog pristupa u pružanju usluga je jedan od ključnih segmenata kvalitetnog funkcionisanja i unapređenja usluga, bez obzira na tip usluge i ciljnu grupu.</w:t>
      </w:r>
      <w:bookmarkEnd w:id="88"/>
    </w:p>
    <w:p w14:paraId="5D33CD08" w14:textId="77777777" w:rsidR="001136FA" w:rsidRPr="004B39F1" w:rsidRDefault="001136FA" w:rsidP="00FE626F">
      <w:pPr>
        <w:jc w:val="both"/>
        <w:rPr>
          <w:rFonts w:eastAsia="Calibri" w:cs="Arial"/>
          <w:color w:val="000000"/>
          <w:sz w:val="24"/>
          <w:szCs w:val="24"/>
          <w:shd w:val="clear" w:color="auto" w:fill="FFFFFF"/>
          <w:lang w:val="sr-Latn-ME"/>
        </w:rPr>
      </w:pPr>
    </w:p>
    <w:p w14:paraId="274D8D04" w14:textId="77777777" w:rsidR="00623852" w:rsidRPr="00F96844" w:rsidRDefault="00801AD6" w:rsidP="00FE626F">
      <w:pPr>
        <w:jc w:val="both"/>
        <w:rPr>
          <w:rFonts w:cs="Arial"/>
          <w:bCs/>
          <w:sz w:val="24"/>
          <w:szCs w:val="24"/>
          <w:lang w:val="sr-Latn-ME"/>
        </w:rPr>
      </w:pPr>
      <w:r w:rsidRPr="00F96844">
        <w:rPr>
          <w:b/>
          <w:sz w:val="24"/>
          <w:szCs w:val="24"/>
          <w:lang w:val="sr-Latn-ME"/>
        </w:rPr>
        <w:t>Centri za socijalni rad</w:t>
      </w:r>
      <w:r w:rsidR="00EA0E39" w:rsidRPr="00F96844">
        <w:rPr>
          <w:b/>
          <w:sz w:val="24"/>
          <w:szCs w:val="24"/>
          <w:lang w:val="sr-Latn-ME"/>
        </w:rPr>
        <w:t xml:space="preserve"> </w:t>
      </w:r>
      <w:r w:rsidR="00623852" w:rsidRPr="00F96844">
        <w:rPr>
          <w:rFonts w:cs="Arial"/>
          <w:b/>
          <w:sz w:val="24"/>
          <w:szCs w:val="24"/>
          <w:lang w:val="sr-Latn-ME"/>
        </w:rPr>
        <w:t>(CZSR)</w:t>
      </w:r>
      <w:r w:rsidR="00623852" w:rsidRPr="00F96844">
        <w:rPr>
          <w:rFonts w:cs="Arial"/>
          <w:sz w:val="24"/>
          <w:szCs w:val="24"/>
          <w:lang w:val="sr-Latn-ME"/>
        </w:rPr>
        <w:t xml:space="preserve"> </w:t>
      </w:r>
      <w:r w:rsidRPr="00F96844">
        <w:rPr>
          <w:sz w:val="24"/>
          <w:szCs w:val="24"/>
          <w:lang w:val="sr-Latn-ME"/>
        </w:rPr>
        <w:t xml:space="preserve"> su ključni akter u daljem razvoju </w:t>
      </w:r>
      <w:r w:rsidR="00623852" w:rsidRPr="00F96844">
        <w:rPr>
          <w:sz w:val="24"/>
          <w:szCs w:val="24"/>
          <w:lang w:val="sr-Latn-ME"/>
        </w:rPr>
        <w:t>sistem</w:t>
      </w:r>
      <w:r w:rsidR="00B5423F">
        <w:rPr>
          <w:sz w:val="24"/>
          <w:szCs w:val="24"/>
          <w:lang w:val="sr-Latn-ME"/>
        </w:rPr>
        <w:t>a</w:t>
      </w:r>
      <w:r w:rsidR="00623852" w:rsidRPr="00F96844">
        <w:rPr>
          <w:sz w:val="24"/>
          <w:szCs w:val="24"/>
          <w:lang w:val="sr-Latn-ME"/>
        </w:rPr>
        <w:t xml:space="preserve"> </w:t>
      </w:r>
      <w:r w:rsidRPr="00F96844">
        <w:rPr>
          <w:sz w:val="24"/>
          <w:szCs w:val="24"/>
          <w:lang w:val="sr-Latn-ME"/>
        </w:rPr>
        <w:t>socijalne</w:t>
      </w:r>
      <w:r w:rsidR="00623852" w:rsidRPr="00F96844">
        <w:rPr>
          <w:sz w:val="24"/>
          <w:szCs w:val="24"/>
          <w:lang w:val="sr-Latn-ME"/>
        </w:rPr>
        <w:t xml:space="preserve"> i d</w:t>
      </w:r>
      <w:r w:rsidR="00EB2F1D">
        <w:rPr>
          <w:sz w:val="24"/>
          <w:szCs w:val="24"/>
          <w:lang w:val="sr-Latn-ME"/>
        </w:rPr>
        <w:t>ječj</w:t>
      </w:r>
      <w:r w:rsidR="00623852" w:rsidRPr="00F96844">
        <w:rPr>
          <w:sz w:val="24"/>
          <w:szCs w:val="24"/>
          <w:lang w:val="sr-Latn-ME"/>
        </w:rPr>
        <w:t>e</w:t>
      </w:r>
      <w:r w:rsidRPr="00F96844">
        <w:rPr>
          <w:sz w:val="24"/>
          <w:szCs w:val="24"/>
          <w:lang w:val="sr-Latn-ME"/>
        </w:rPr>
        <w:t xml:space="preserve"> zaštite. </w:t>
      </w:r>
      <w:r w:rsidR="00623852" w:rsidRPr="00F96844">
        <w:rPr>
          <w:rFonts w:cs="Arial"/>
          <w:sz w:val="24"/>
          <w:szCs w:val="24"/>
          <w:lang w:val="sr-Latn-ME"/>
        </w:rPr>
        <w:t xml:space="preserve">Centar za socijalni rad je javna ustanova koja odlučuje </w:t>
      </w:r>
      <w:r w:rsidR="00623852" w:rsidRPr="00F96844">
        <w:rPr>
          <w:rFonts w:cs="Arial"/>
          <w:bCs/>
          <w:iCs/>
          <w:sz w:val="24"/>
          <w:szCs w:val="24"/>
          <w:lang w:val="sr-Latn-ME"/>
        </w:rPr>
        <w:t xml:space="preserve">o ostvarivanju prava u oblasti socijalne i dječje </w:t>
      </w:r>
      <w:r w:rsidR="00623852" w:rsidRPr="00F96844">
        <w:rPr>
          <w:rFonts w:cs="Arial"/>
          <w:sz w:val="24"/>
          <w:szCs w:val="24"/>
          <w:lang w:val="sr-Latn-ME"/>
        </w:rPr>
        <w:t xml:space="preserve">zaštite i koja obavlja druge poslove u skladu s javnim ovlašćenjima, </w:t>
      </w:r>
      <w:r w:rsidR="00623852" w:rsidRPr="00F96844">
        <w:rPr>
          <w:rFonts w:cs="Arial"/>
          <w:bCs/>
          <w:iCs/>
          <w:sz w:val="24"/>
          <w:szCs w:val="24"/>
          <w:lang w:val="sr-Latn-ME"/>
        </w:rPr>
        <w:t>u</w:t>
      </w:r>
      <w:r w:rsidR="00623852" w:rsidRPr="00F96844">
        <w:rPr>
          <w:rFonts w:cs="Arial"/>
          <w:sz w:val="24"/>
          <w:szCs w:val="24"/>
          <w:lang w:val="sr-Latn-ME"/>
        </w:rPr>
        <w:t xml:space="preserve">ključujući i </w:t>
      </w:r>
      <w:r w:rsidR="00623852" w:rsidRPr="00F96844">
        <w:rPr>
          <w:rFonts w:cs="Arial"/>
          <w:bCs/>
          <w:iCs/>
          <w:sz w:val="24"/>
          <w:szCs w:val="24"/>
          <w:lang w:val="sr-Latn-ME"/>
        </w:rPr>
        <w:t>ulogu organa starateljstva.</w:t>
      </w:r>
      <w:r w:rsidR="00623852" w:rsidRPr="00F96844">
        <w:rPr>
          <w:rFonts w:cs="Arial"/>
          <w:sz w:val="24"/>
          <w:szCs w:val="24"/>
          <w:vertAlign w:val="superscript"/>
          <w:lang w:val="sr-Latn-ME"/>
        </w:rPr>
        <w:footnoteReference w:id="94"/>
      </w:r>
      <w:r w:rsidR="00623852" w:rsidRPr="00F96844">
        <w:rPr>
          <w:rFonts w:cs="Arial"/>
          <w:sz w:val="24"/>
          <w:szCs w:val="24"/>
          <w:lang w:val="sr-Latn-ME"/>
        </w:rPr>
        <w:t xml:space="preserve"> Prema Zakonu o socijalnoj i dječjoj zaštiti CZSR između ostalog obavlja procjenu stanja, potreba, snaga i rizika korisnika i lica značajnih za korisnika, vrši procjenu podobnosti stara</w:t>
      </w:r>
      <w:r w:rsidR="00B5423F">
        <w:rPr>
          <w:rFonts w:cs="Arial"/>
          <w:sz w:val="24"/>
          <w:szCs w:val="24"/>
          <w:lang w:val="sr-Latn-ME"/>
        </w:rPr>
        <w:t>la</w:t>
      </w:r>
      <w:r w:rsidR="00623852" w:rsidRPr="00F96844">
        <w:rPr>
          <w:rFonts w:cs="Arial"/>
          <w:sz w:val="24"/>
          <w:szCs w:val="24"/>
          <w:lang w:val="sr-Latn-ME"/>
        </w:rPr>
        <w:t>ca, hranitelja i usvoji</w:t>
      </w:r>
      <w:r w:rsidR="00B5423F">
        <w:rPr>
          <w:rFonts w:cs="Arial"/>
          <w:sz w:val="24"/>
          <w:szCs w:val="24"/>
          <w:lang w:val="sr-Latn-ME"/>
        </w:rPr>
        <w:t>la</w:t>
      </w:r>
      <w:r w:rsidR="00623852" w:rsidRPr="00F96844">
        <w:rPr>
          <w:rFonts w:cs="Arial"/>
          <w:sz w:val="24"/>
          <w:szCs w:val="24"/>
          <w:lang w:val="sr-Latn-ME"/>
        </w:rPr>
        <w:t>ca, izrađuje i prati individualne planove usluga, rješava u prvom stepenu o zahtjevima za ostvarivanje prava iz socijalne i dječje zaštite i drugo.</w:t>
      </w:r>
      <w:r w:rsidR="00623852" w:rsidRPr="00F96844">
        <w:rPr>
          <w:rFonts w:cs="Arial"/>
          <w:sz w:val="24"/>
          <w:szCs w:val="24"/>
          <w:vertAlign w:val="superscript"/>
          <w:lang w:val="sr-Latn-ME"/>
        </w:rPr>
        <w:footnoteReference w:id="95"/>
      </w:r>
      <w:r w:rsidR="00623852" w:rsidRPr="00F96844">
        <w:rPr>
          <w:rFonts w:cs="Arial"/>
          <w:sz w:val="24"/>
          <w:szCs w:val="24"/>
          <w:lang w:val="sr-Latn-ME"/>
        </w:rPr>
        <w:t xml:space="preserve"> </w:t>
      </w:r>
      <w:r w:rsidR="00623852" w:rsidRPr="00F96844">
        <w:rPr>
          <w:rFonts w:cs="Arial"/>
          <w:bCs/>
          <w:sz w:val="24"/>
          <w:szCs w:val="24"/>
          <w:lang w:val="sr-Latn-ME"/>
        </w:rPr>
        <w:t>CZSR se može osnovati za teritoriju jedne ili više opština. Bliže uslove organizacije, normative, standarde i metode rada CZSR propisuje nadležni organ državne uprave.</w:t>
      </w:r>
      <w:r w:rsidR="00623852" w:rsidRPr="00F96844">
        <w:rPr>
          <w:rFonts w:cs="Arial"/>
          <w:bCs/>
          <w:sz w:val="24"/>
          <w:szCs w:val="24"/>
          <w:vertAlign w:val="superscript"/>
          <w:lang w:val="sr-Latn-ME"/>
        </w:rPr>
        <w:footnoteReference w:id="96"/>
      </w:r>
      <w:r w:rsidR="00623852" w:rsidRPr="00F96844">
        <w:rPr>
          <w:rFonts w:cs="Arial"/>
          <w:bCs/>
          <w:sz w:val="24"/>
          <w:szCs w:val="24"/>
          <w:lang w:val="sr-Latn-ME"/>
        </w:rPr>
        <w:t xml:space="preserve"> </w:t>
      </w:r>
    </w:p>
    <w:p w14:paraId="65279583" w14:textId="77777777" w:rsidR="00623852" w:rsidRPr="00F96844" w:rsidRDefault="00623852" w:rsidP="00FE626F">
      <w:pPr>
        <w:jc w:val="both"/>
        <w:rPr>
          <w:rFonts w:cs="Arial"/>
          <w:bCs/>
          <w:sz w:val="24"/>
          <w:szCs w:val="24"/>
          <w:lang w:val="sr-Latn-ME"/>
        </w:rPr>
      </w:pPr>
    </w:p>
    <w:p w14:paraId="3A9FB23C" w14:textId="77777777" w:rsidR="00623852" w:rsidRPr="00F96844" w:rsidRDefault="00623852" w:rsidP="00FE626F">
      <w:pPr>
        <w:jc w:val="both"/>
        <w:rPr>
          <w:rFonts w:cs="Arial"/>
          <w:color w:val="FF0000"/>
          <w:sz w:val="24"/>
          <w:szCs w:val="24"/>
          <w:lang w:val="sr-Latn-ME"/>
        </w:rPr>
      </w:pPr>
      <w:r w:rsidRPr="00F96844">
        <w:rPr>
          <w:rFonts w:cs="Arial"/>
          <w:sz w:val="24"/>
          <w:szCs w:val="24"/>
          <w:lang w:val="sr-Latn-ME"/>
        </w:rPr>
        <w:t>U Crnoj Gori uspostavljeno je 13 CZSR i 12 područnih jedinica, koji pokrivaju 25 opština. Krajem 202</w:t>
      </w:r>
      <w:r w:rsidR="00AB0982" w:rsidRPr="00F96844">
        <w:rPr>
          <w:rFonts w:cs="Arial"/>
          <w:sz w:val="24"/>
          <w:szCs w:val="24"/>
          <w:lang w:val="sr-Latn-ME"/>
        </w:rPr>
        <w:t>3</w:t>
      </w:r>
      <w:r w:rsidRPr="00F96844">
        <w:rPr>
          <w:rFonts w:cs="Arial"/>
          <w:sz w:val="24"/>
          <w:szCs w:val="24"/>
          <w:lang w:val="sr-Latn-ME"/>
        </w:rPr>
        <w:t xml:space="preserve">. godine u centrima za socijalni rad je bilo zaposleno </w:t>
      </w:r>
      <w:r w:rsidR="00AB0982" w:rsidRPr="00F96844">
        <w:rPr>
          <w:rFonts w:cs="Arial"/>
          <w:sz w:val="24"/>
          <w:szCs w:val="24"/>
          <w:lang w:val="sr-Latn-ME"/>
        </w:rPr>
        <w:t>1.172</w:t>
      </w:r>
      <w:r w:rsidRPr="00F96844">
        <w:rPr>
          <w:rFonts w:cs="Arial"/>
          <w:sz w:val="24"/>
          <w:szCs w:val="24"/>
          <w:lang w:val="sr-Latn-ME"/>
        </w:rPr>
        <w:t xml:space="preserve"> radnika, čije su bruto zarade</w:t>
      </w:r>
      <w:r w:rsidR="00AB0982" w:rsidRPr="00F96844">
        <w:rPr>
          <w:rFonts w:cs="Arial"/>
          <w:sz w:val="24"/>
          <w:szCs w:val="24"/>
          <w:lang w:val="sr-Latn-ME"/>
        </w:rPr>
        <w:t xml:space="preserve"> na</w:t>
      </w:r>
      <w:r w:rsidR="001F42E7">
        <w:rPr>
          <w:rFonts w:cs="Arial"/>
          <w:sz w:val="24"/>
          <w:szCs w:val="24"/>
          <w:lang w:val="sr-Latn-ME"/>
        </w:rPr>
        <w:t xml:space="preserve"> </w:t>
      </w:r>
      <w:r w:rsidR="00AB0982" w:rsidRPr="00F96844">
        <w:rPr>
          <w:rFonts w:cs="Arial"/>
          <w:sz w:val="24"/>
          <w:szCs w:val="24"/>
          <w:lang w:val="sr-Latn-ME"/>
        </w:rPr>
        <w:t xml:space="preserve">mjesečnom nivou </w:t>
      </w:r>
      <w:r w:rsidRPr="00F96844">
        <w:rPr>
          <w:rFonts w:cs="Arial"/>
          <w:sz w:val="24"/>
          <w:szCs w:val="24"/>
          <w:lang w:val="sr-Latn-ME"/>
        </w:rPr>
        <w:t xml:space="preserve"> iznosile</w:t>
      </w:r>
      <w:r w:rsidR="00AB0982" w:rsidRPr="00F96844">
        <w:rPr>
          <w:rFonts w:cs="Arial"/>
          <w:sz w:val="24"/>
          <w:szCs w:val="24"/>
          <w:lang w:val="sr-Latn-ME"/>
        </w:rPr>
        <w:t xml:space="preserve"> 1.079.930,43 </w:t>
      </w:r>
      <w:r w:rsidRPr="00F96844">
        <w:rPr>
          <w:rFonts w:cs="Arial"/>
          <w:sz w:val="24"/>
          <w:szCs w:val="24"/>
          <w:lang w:val="sr-Latn-ME"/>
        </w:rPr>
        <w:t>eura.</w:t>
      </w:r>
    </w:p>
    <w:p w14:paraId="1B857400" w14:textId="77777777" w:rsidR="00623852" w:rsidRPr="00F96844" w:rsidRDefault="00623852" w:rsidP="00FE626F">
      <w:pPr>
        <w:jc w:val="both"/>
        <w:rPr>
          <w:rFonts w:cs="Arial"/>
          <w:sz w:val="24"/>
          <w:szCs w:val="24"/>
          <w:lang w:val="sr-Latn-ME"/>
        </w:rPr>
      </w:pPr>
    </w:p>
    <w:p w14:paraId="69BFF36C" w14:textId="77777777" w:rsidR="00623852" w:rsidRPr="00F96844" w:rsidRDefault="00623852" w:rsidP="00FE626F">
      <w:pPr>
        <w:jc w:val="both"/>
        <w:rPr>
          <w:rFonts w:cs="Arial"/>
          <w:sz w:val="24"/>
          <w:szCs w:val="24"/>
          <w:lang w:val="sr-Latn-ME"/>
        </w:rPr>
      </w:pPr>
      <w:r w:rsidRPr="00F96844">
        <w:rPr>
          <w:rFonts w:cs="Arial"/>
          <w:sz w:val="24"/>
          <w:szCs w:val="24"/>
          <w:lang w:val="sr-Latn-ME"/>
        </w:rPr>
        <w:t>Reforma sistema socijalne i dječje zaštite u Crnoj Gori dovela je do promjene organizacije rada CZSR, uvođenja metodologije vođenja slučaja, kao i poslova supervizije. Proširena je i mreža CZSR-a, a ojačani su i njihovi kapaciteti, kroz povećanje broja zaposlenih i unapređenje kompetencija stručnih radnika.</w:t>
      </w:r>
      <w:r w:rsidRPr="00F96844">
        <w:rPr>
          <w:rFonts w:cs="Arial"/>
          <w:sz w:val="24"/>
          <w:szCs w:val="24"/>
          <w:vertAlign w:val="superscript"/>
          <w:lang w:val="sr-Latn-ME"/>
        </w:rPr>
        <w:footnoteReference w:id="97"/>
      </w:r>
      <w:r w:rsidRPr="00F96844">
        <w:rPr>
          <w:rFonts w:cs="Arial"/>
          <w:sz w:val="24"/>
          <w:szCs w:val="24"/>
          <w:lang w:val="sr-Latn-ME"/>
        </w:rPr>
        <w:t xml:space="preserve"> Reforme su dovele do unapređenja kvaliteta rada, kako u smislu ažurnosti, tako i u smislu individualizacije rada s </w:t>
      </w:r>
      <w:r w:rsidRPr="00F96844">
        <w:rPr>
          <w:rFonts w:cs="Arial"/>
          <w:sz w:val="24"/>
          <w:szCs w:val="24"/>
          <w:lang w:val="sr-Latn-ME"/>
        </w:rPr>
        <w:lastRenderedPageBreak/>
        <w:t>korisnicima.</w:t>
      </w:r>
      <w:r w:rsidRPr="00F96844">
        <w:rPr>
          <w:rFonts w:cs="Arial"/>
          <w:sz w:val="24"/>
          <w:szCs w:val="24"/>
          <w:vertAlign w:val="superscript"/>
          <w:lang w:val="sr-Latn-ME"/>
        </w:rPr>
        <w:footnoteReference w:id="98"/>
      </w:r>
      <w:r w:rsidRPr="00F96844">
        <w:rPr>
          <w:rFonts w:cs="Arial"/>
          <w:sz w:val="24"/>
          <w:szCs w:val="24"/>
          <w:lang w:val="sr-Latn-ME"/>
        </w:rPr>
        <w:t xml:space="preserve"> Različita istraživanja i analize ukazuju</w:t>
      </w:r>
      <w:r w:rsidR="00513537">
        <w:rPr>
          <w:rFonts w:cs="Arial"/>
          <w:sz w:val="24"/>
          <w:szCs w:val="24"/>
          <w:lang w:val="sr-Latn-ME"/>
        </w:rPr>
        <w:t>,</w:t>
      </w:r>
      <w:r w:rsidRPr="00F96844">
        <w:rPr>
          <w:rFonts w:cs="Arial"/>
          <w:sz w:val="24"/>
          <w:szCs w:val="24"/>
          <w:lang w:val="sr-Latn-ME"/>
        </w:rPr>
        <w:t xml:space="preserve"> međutim</w:t>
      </w:r>
      <w:r w:rsidR="00513537">
        <w:rPr>
          <w:rFonts w:cs="Arial"/>
          <w:sz w:val="24"/>
          <w:szCs w:val="24"/>
          <w:lang w:val="sr-Latn-ME"/>
        </w:rPr>
        <w:t>,</w:t>
      </w:r>
      <w:r w:rsidRPr="00F96844">
        <w:rPr>
          <w:rFonts w:cs="Arial"/>
          <w:sz w:val="24"/>
          <w:szCs w:val="24"/>
          <w:lang w:val="sr-Latn-ME"/>
        </w:rPr>
        <w:t xml:space="preserve"> da i dalje postoje izazovi i barijere u radu CZSR.</w:t>
      </w:r>
      <w:r w:rsidRPr="00F96844">
        <w:rPr>
          <w:rFonts w:cs="Arial"/>
          <w:sz w:val="24"/>
          <w:szCs w:val="24"/>
          <w:vertAlign w:val="superscript"/>
          <w:lang w:val="sr-Latn-ME"/>
        </w:rPr>
        <w:footnoteReference w:id="99"/>
      </w:r>
      <w:r w:rsidRPr="00F96844">
        <w:rPr>
          <w:rFonts w:cs="Arial"/>
          <w:sz w:val="24"/>
          <w:szCs w:val="24"/>
          <w:lang w:val="sr-Latn-ME"/>
        </w:rPr>
        <w:t xml:space="preserve"> </w:t>
      </w:r>
    </w:p>
    <w:p w14:paraId="03EA64C2" w14:textId="77777777" w:rsidR="00623852" w:rsidRPr="00F96844" w:rsidRDefault="00623852" w:rsidP="00623852">
      <w:pPr>
        <w:jc w:val="both"/>
        <w:rPr>
          <w:rFonts w:cs="Arial"/>
          <w:sz w:val="24"/>
          <w:szCs w:val="24"/>
          <w:lang w:val="sr-Latn-ME"/>
        </w:rPr>
      </w:pPr>
    </w:p>
    <w:p w14:paraId="522816E1" w14:textId="77777777" w:rsidR="00623852" w:rsidRPr="00F96844" w:rsidRDefault="00623852" w:rsidP="00FE626F">
      <w:pPr>
        <w:jc w:val="both"/>
        <w:rPr>
          <w:rFonts w:cs="Arial"/>
          <w:sz w:val="24"/>
          <w:szCs w:val="24"/>
          <w:lang w:val="sr-Latn-ME"/>
        </w:rPr>
      </w:pPr>
      <w:r w:rsidRPr="00F96844">
        <w:rPr>
          <w:rFonts w:cs="Arial"/>
          <w:sz w:val="24"/>
          <w:szCs w:val="24"/>
          <w:lang w:val="sr-Latn-ME"/>
        </w:rPr>
        <w:t>Broj zaposlenih radnika, a posebno radnika u direktnom radu s korisnicima, i dalje nije dovoljan kako bi se pružila kvalitetna podrška korisnicima. Paralelno s jačanjem kapaciteta i širenjem mreže CZSR povećavali su se, naime i zahtjevi koji su se postavljali pred centre, a samim tim i njihove obaveze.</w:t>
      </w:r>
      <w:r w:rsidRPr="00F96844">
        <w:rPr>
          <w:rFonts w:cs="Arial"/>
          <w:sz w:val="24"/>
          <w:szCs w:val="24"/>
          <w:vertAlign w:val="superscript"/>
          <w:lang w:val="sr-Latn-ME"/>
        </w:rPr>
        <w:footnoteReference w:id="100"/>
      </w:r>
      <w:r w:rsidRPr="00F96844">
        <w:rPr>
          <w:rFonts w:cs="Arial"/>
          <w:sz w:val="24"/>
          <w:szCs w:val="24"/>
          <w:lang w:val="sr-Latn-ME"/>
        </w:rPr>
        <w:t xml:space="preserve"> Dodatne nadležnosti i povećani broj korisnika u neskladu su s brojem i strukturom zaposlenih. Iako se stručni postupak u centrima za socijalni rad zasniva na metodu vođenja slučaja, na ovim poslovima angažovan je nedovoljan broj zaposlenih (svega 72), koji u ukupnoj strukturi stručnih </w:t>
      </w:r>
      <w:r w:rsidR="009F661D">
        <w:rPr>
          <w:rFonts w:cs="Arial"/>
          <w:sz w:val="24"/>
          <w:szCs w:val="24"/>
          <w:lang w:val="sr-Latn-ME"/>
        </w:rPr>
        <w:t>radnika/radnica</w:t>
      </w:r>
      <w:r w:rsidRPr="00F96844">
        <w:rPr>
          <w:rFonts w:cs="Arial"/>
          <w:sz w:val="24"/>
          <w:szCs w:val="24"/>
          <w:lang w:val="sr-Latn-ME"/>
        </w:rPr>
        <w:t xml:space="preserve"> čini samo 17,3%. Dodatno, stručni radnici</w:t>
      </w:r>
      <w:r w:rsidR="00EC437D">
        <w:rPr>
          <w:rFonts w:cs="Arial"/>
          <w:sz w:val="24"/>
          <w:szCs w:val="24"/>
          <w:lang w:val="sr-Latn-ME"/>
        </w:rPr>
        <w:t>/</w:t>
      </w:r>
      <w:r w:rsidR="00513537">
        <w:rPr>
          <w:rFonts w:cs="Arial"/>
          <w:sz w:val="24"/>
          <w:szCs w:val="24"/>
          <w:lang w:val="sr-Latn-ME"/>
        </w:rPr>
        <w:t>radni</w:t>
      </w:r>
      <w:r w:rsidR="00EC437D">
        <w:rPr>
          <w:rFonts w:cs="Arial"/>
          <w:sz w:val="24"/>
          <w:szCs w:val="24"/>
          <w:lang w:val="sr-Latn-ME"/>
        </w:rPr>
        <w:t>ce</w:t>
      </w:r>
      <w:r w:rsidRPr="00F96844">
        <w:rPr>
          <w:rFonts w:cs="Arial"/>
          <w:sz w:val="24"/>
          <w:szCs w:val="24"/>
          <w:lang w:val="sr-Latn-ME"/>
        </w:rPr>
        <w:t xml:space="preserve"> troše veoma mnogo vremena na evidenciju i dokumentaciju (49%).</w:t>
      </w:r>
      <w:r w:rsidRPr="00F96844">
        <w:rPr>
          <w:rFonts w:cs="Arial"/>
          <w:sz w:val="24"/>
          <w:szCs w:val="24"/>
          <w:vertAlign w:val="superscript"/>
          <w:lang w:val="sr-Latn-ME"/>
        </w:rPr>
        <w:footnoteReference w:id="101"/>
      </w:r>
      <w:r w:rsidRPr="00F96844">
        <w:rPr>
          <w:rFonts w:cs="Arial"/>
          <w:sz w:val="24"/>
          <w:szCs w:val="24"/>
          <w:lang w:val="sr-Latn-ME"/>
        </w:rPr>
        <w:t xml:space="preserve"> Opterećenje stanovnika po stručnom</w:t>
      </w:r>
      <w:r w:rsidR="00513537">
        <w:rPr>
          <w:rFonts w:cs="Arial"/>
          <w:sz w:val="24"/>
          <w:szCs w:val="24"/>
          <w:lang w:val="sr-Latn-ME"/>
        </w:rPr>
        <w:t xml:space="preserve"> </w:t>
      </w:r>
      <w:r w:rsidRPr="00F96844">
        <w:rPr>
          <w:rFonts w:cs="Arial"/>
          <w:sz w:val="24"/>
          <w:szCs w:val="24"/>
          <w:lang w:val="sr-Latn-ME"/>
        </w:rPr>
        <w:t>radniku</w:t>
      </w:r>
      <w:r w:rsidR="00513537">
        <w:rPr>
          <w:rFonts w:cs="Arial"/>
          <w:sz w:val="24"/>
          <w:szCs w:val="24"/>
          <w:lang w:val="sr-Latn-ME"/>
        </w:rPr>
        <w:t xml:space="preserve"> </w:t>
      </w:r>
      <w:r w:rsidR="00EC437D">
        <w:rPr>
          <w:rFonts w:cs="Arial"/>
          <w:sz w:val="24"/>
          <w:szCs w:val="24"/>
          <w:lang w:val="sr-Latn-ME"/>
        </w:rPr>
        <w:t>/</w:t>
      </w:r>
      <w:r w:rsidR="00513537">
        <w:rPr>
          <w:rFonts w:cs="Arial"/>
          <w:sz w:val="24"/>
          <w:szCs w:val="24"/>
          <w:lang w:val="sr-Latn-ME"/>
        </w:rPr>
        <w:t xml:space="preserve"> stručnoj radni</w:t>
      </w:r>
      <w:r w:rsidR="00EC437D">
        <w:rPr>
          <w:rFonts w:cs="Arial"/>
          <w:sz w:val="24"/>
          <w:szCs w:val="24"/>
          <w:lang w:val="sr-Latn-ME"/>
        </w:rPr>
        <w:t>ci</w:t>
      </w:r>
      <w:r w:rsidRPr="00F96844">
        <w:rPr>
          <w:rFonts w:cs="Arial"/>
          <w:sz w:val="24"/>
          <w:szCs w:val="24"/>
          <w:lang w:val="sr-Latn-ME"/>
        </w:rPr>
        <w:t xml:space="preserve"> kreće se od 1:591 stanovnika do 1:8047, a velika je neravnom</w:t>
      </w:r>
      <w:r w:rsidR="0008323B">
        <w:rPr>
          <w:rFonts w:cs="Arial"/>
          <w:sz w:val="24"/>
          <w:szCs w:val="24"/>
          <w:lang w:val="sr-Latn-ME"/>
        </w:rPr>
        <w:t>j</w:t>
      </w:r>
      <w:r w:rsidRPr="00F96844">
        <w:rPr>
          <w:rFonts w:cs="Arial"/>
          <w:sz w:val="24"/>
          <w:szCs w:val="24"/>
          <w:lang w:val="sr-Latn-ME"/>
        </w:rPr>
        <w:t>ernost i u opterećenosti voditelja slučaja. Ovo ukazuje da je potrebno preduzeti hitne mjere reorganizacije rada, kao povećanja i preraspodjele zaposlenih.</w:t>
      </w:r>
      <w:r w:rsidRPr="00F96844">
        <w:rPr>
          <w:rFonts w:cs="Arial"/>
          <w:sz w:val="24"/>
          <w:szCs w:val="24"/>
          <w:vertAlign w:val="superscript"/>
          <w:lang w:val="sr-Latn-ME"/>
        </w:rPr>
        <w:footnoteReference w:id="102"/>
      </w:r>
      <w:r w:rsidRPr="00F96844">
        <w:rPr>
          <w:rFonts w:cs="Arial"/>
          <w:sz w:val="24"/>
          <w:szCs w:val="24"/>
          <w:lang w:val="sr-Latn-ME"/>
        </w:rPr>
        <w:t xml:space="preserve"> </w:t>
      </w:r>
    </w:p>
    <w:p w14:paraId="67029C9D" w14:textId="77777777" w:rsidR="00623852" w:rsidRPr="00F96844" w:rsidRDefault="00623852" w:rsidP="00FE626F">
      <w:pPr>
        <w:jc w:val="both"/>
        <w:rPr>
          <w:rFonts w:cs="Arial"/>
          <w:sz w:val="24"/>
          <w:szCs w:val="24"/>
          <w:lang w:val="sr-Latn-ME"/>
        </w:rPr>
      </w:pPr>
    </w:p>
    <w:p w14:paraId="6A3F1BEF" w14:textId="77777777" w:rsidR="00623852" w:rsidRPr="00F96844" w:rsidRDefault="00623852" w:rsidP="00FE626F">
      <w:pPr>
        <w:jc w:val="both"/>
        <w:rPr>
          <w:rFonts w:cs="Arial"/>
          <w:sz w:val="24"/>
          <w:szCs w:val="24"/>
          <w:lang w:val="sr-Latn-ME"/>
        </w:rPr>
      </w:pPr>
      <w:r w:rsidRPr="00F96844">
        <w:rPr>
          <w:rFonts w:cs="Arial"/>
          <w:sz w:val="24"/>
          <w:szCs w:val="24"/>
          <w:lang w:val="sr-Latn-ME"/>
        </w:rPr>
        <w:t>Predstavnici</w:t>
      </w:r>
      <w:r w:rsidR="00EC437D">
        <w:rPr>
          <w:rFonts w:cs="Arial"/>
          <w:sz w:val="24"/>
          <w:szCs w:val="24"/>
          <w:lang w:val="sr-Latn-ME"/>
        </w:rPr>
        <w:t>/</w:t>
      </w:r>
      <w:r w:rsidR="00513537">
        <w:rPr>
          <w:rFonts w:cs="Arial"/>
          <w:sz w:val="24"/>
          <w:szCs w:val="24"/>
          <w:lang w:val="sr-Latn-ME"/>
        </w:rPr>
        <w:t>predstavni</w:t>
      </w:r>
      <w:r w:rsidR="00EC437D">
        <w:rPr>
          <w:rFonts w:cs="Arial"/>
          <w:sz w:val="24"/>
          <w:szCs w:val="24"/>
          <w:lang w:val="sr-Latn-ME"/>
        </w:rPr>
        <w:t>ce</w:t>
      </w:r>
      <w:r w:rsidRPr="00F96844">
        <w:rPr>
          <w:rFonts w:cs="Arial"/>
          <w:sz w:val="24"/>
          <w:szCs w:val="24"/>
          <w:lang w:val="sr-Latn-ME"/>
        </w:rPr>
        <w:t xml:space="preserve"> CZSR dodatno ocjenjuju da im nedostaju i prostor i drugi materijalni uslovi (na primjer</w:t>
      </w:r>
      <w:r w:rsidR="00513537">
        <w:rPr>
          <w:rFonts w:cs="Arial"/>
          <w:sz w:val="24"/>
          <w:szCs w:val="24"/>
          <w:lang w:val="sr-Latn-ME"/>
        </w:rPr>
        <w:t xml:space="preserve"> ‒</w:t>
      </w:r>
      <w:r w:rsidRPr="00F96844">
        <w:rPr>
          <w:rFonts w:cs="Arial"/>
          <w:sz w:val="24"/>
          <w:szCs w:val="24"/>
          <w:lang w:val="sr-Latn-ME"/>
        </w:rPr>
        <w:t xml:space="preserve"> vozila) za optimalno funkcionisanje.</w:t>
      </w:r>
      <w:r w:rsidRPr="00F96844">
        <w:rPr>
          <w:rFonts w:cs="Arial"/>
          <w:sz w:val="24"/>
          <w:szCs w:val="24"/>
          <w:vertAlign w:val="superscript"/>
          <w:lang w:val="sr-Latn-ME"/>
        </w:rPr>
        <w:footnoteReference w:id="103"/>
      </w:r>
      <w:r w:rsidRPr="00F96844">
        <w:rPr>
          <w:rFonts w:cs="Arial"/>
          <w:sz w:val="24"/>
          <w:szCs w:val="24"/>
          <w:lang w:val="sr-Latn-ME"/>
        </w:rPr>
        <w:t xml:space="preserve"> Problemi su posebno izraženi u manjim mjestima i manjim centrima.</w:t>
      </w:r>
      <w:r w:rsidRPr="00F96844">
        <w:rPr>
          <w:rFonts w:cs="Arial"/>
          <w:sz w:val="24"/>
          <w:szCs w:val="24"/>
          <w:vertAlign w:val="superscript"/>
          <w:lang w:val="sr-Latn-ME"/>
        </w:rPr>
        <w:footnoteReference w:id="104"/>
      </w:r>
      <w:r w:rsidRPr="00F96844">
        <w:rPr>
          <w:rFonts w:cs="Arial"/>
          <w:sz w:val="24"/>
          <w:szCs w:val="24"/>
          <w:lang w:val="sr-Latn-ME"/>
        </w:rPr>
        <w:t xml:space="preserve"> </w:t>
      </w:r>
    </w:p>
    <w:p w14:paraId="121F850E" w14:textId="77777777" w:rsidR="00623852" w:rsidRPr="00F96844" w:rsidRDefault="00623852" w:rsidP="00FE626F">
      <w:pPr>
        <w:jc w:val="both"/>
        <w:rPr>
          <w:rFonts w:cs="Arial"/>
          <w:sz w:val="24"/>
          <w:szCs w:val="24"/>
          <w:lang w:val="sr-Latn-ME"/>
        </w:rPr>
      </w:pPr>
    </w:p>
    <w:p w14:paraId="5E402CC5" w14:textId="77777777" w:rsidR="00623852" w:rsidRPr="00F96844" w:rsidRDefault="00623852" w:rsidP="00FE626F">
      <w:pPr>
        <w:jc w:val="both"/>
        <w:rPr>
          <w:rFonts w:cs="Arial"/>
          <w:sz w:val="24"/>
          <w:szCs w:val="24"/>
          <w:lang w:val="sr-Latn-ME"/>
        </w:rPr>
      </w:pPr>
      <w:r w:rsidRPr="00F96844">
        <w:rPr>
          <w:rFonts w:cs="Arial"/>
          <w:sz w:val="24"/>
          <w:szCs w:val="24"/>
          <w:lang w:val="sr-Latn-ME"/>
        </w:rPr>
        <w:t>Pored nedovoljnih kapaciteta i nedostatka materijalnih uslova identifikovani su i izazovi u sferi dostupnosti i kvaliteta podrške. Uloga CZSR je umjesto proaktivne</w:t>
      </w:r>
      <w:r w:rsidR="00513537">
        <w:rPr>
          <w:rFonts w:cs="Arial"/>
          <w:sz w:val="24"/>
          <w:szCs w:val="24"/>
          <w:lang w:val="sr-Latn-ME"/>
        </w:rPr>
        <w:t xml:space="preserve"> ‒</w:t>
      </w:r>
      <w:r w:rsidRPr="00F96844">
        <w:rPr>
          <w:rFonts w:cs="Arial"/>
          <w:sz w:val="24"/>
          <w:szCs w:val="24"/>
          <w:lang w:val="sr-Latn-ME"/>
        </w:rPr>
        <w:t xml:space="preserve"> reaktivna, i prvenstveno je fokusirana na materijalna davanja.</w:t>
      </w:r>
      <w:r w:rsidRPr="00F96844">
        <w:rPr>
          <w:rFonts w:cs="Arial"/>
          <w:sz w:val="24"/>
          <w:szCs w:val="24"/>
          <w:vertAlign w:val="superscript"/>
          <w:lang w:val="sr-Latn-ME"/>
        </w:rPr>
        <w:footnoteReference w:id="105"/>
      </w:r>
      <w:r w:rsidRPr="00F96844">
        <w:rPr>
          <w:rFonts w:cs="Arial"/>
          <w:sz w:val="24"/>
          <w:szCs w:val="24"/>
          <w:lang w:val="sr-Latn-ME"/>
        </w:rPr>
        <w:t xml:space="preserve"> Podrška se najčešće pruža u situaciji visokog ili umjerenog rizika, odnosno kada je došlo do značajne štete za korisnika</w:t>
      </w:r>
      <w:r w:rsidR="00EC437D">
        <w:rPr>
          <w:rFonts w:cs="Arial"/>
          <w:sz w:val="24"/>
          <w:szCs w:val="24"/>
          <w:lang w:val="sr-Latn-ME"/>
        </w:rPr>
        <w:t>/</w:t>
      </w:r>
      <w:r w:rsidR="00513537">
        <w:rPr>
          <w:rFonts w:cs="Arial"/>
          <w:sz w:val="24"/>
          <w:szCs w:val="24"/>
          <w:lang w:val="sr-Latn-ME"/>
        </w:rPr>
        <w:t>korisni</w:t>
      </w:r>
      <w:r w:rsidR="00EC437D">
        <w:rPr>
          <w:rFonts w:cs="Arial"/>
          <w:sz w:val="24"/>
          <w:szCs w:val="24"/>
          <w:lang w:val="sr-Latn-ME"/>
        </w:rPr>
        <w:t>cu</w:t>
      </w:r>
      <w:r w:rsidRPr="00F96844">
        <w:rPr>
          <w:rFonts w:cs="Arial"/>
          <w:sz w:val="24"/>
          <w:szCs w:val="24"/>
          <w:lang w:val="sr-Latn-ME"/>
        </w:rPr>
        <w:t>.</w:t>
      </w:r>
      <w:r w:rsidRPr="00F96844">
        <w:rPr>
          <w:rFonts w:cs="Arial"/>
          <w:sz w:val="24"/>
          <w:szCs w:val="24"/>
          <w:vertAlign w:val="superscript"/>
          <w:lang w:val="sr-Latn-ME"/>
        </w:rPr>
        <w:footnoteReference w:id="106"/>
      </w:r>
      <w:r w:rsidRPr="00F96844">
        <w:rPr>
          <w:rFonts w:cs="Arial"/>
          <w:sz w:val="24"/>
          <w:szCs w:val="24"/>
          <w:lang w:val="sr-Latn-ME"/>
        </w:rPr>
        <w:t xml:space="preserve"> Ukazuje se i da su veze između centara i drugih institucija, ali i opština, sporadične, što otežava uspostavljanje kvalitetnih usluga.</w:t>
      </w:r>
      <w:r w:rsidRPr="00F96844">
        <w:rPr>
          <w:rFonts w:cs="Arial"/>
          <w:sz w:val="24"/>
          <w:szCs w:val="24"/>
          <w:vertAlign w:val="superscript"/>
          <w:lang w:val="sr-Latn-ME"/>
        </w:rPr>
        <w:footnoteReference w:id="107"/>
      </w:r>
      <w:r w:rsidRPr="00F96844">
        <w:rPr>
          <w:rFonts w:cs="Arial"/>
          <w:sz w:val="24"/>
          <w:szCs w:val="24"/>
          <w:lang w:val="sr-Latn-ME"/>
        </w:rPr>
        <w:t xml:space="preserve"> Supervizija koja se sprovodi u CZSR, uglavnom </w:t>
      </w:r>
      <w:r w:rsidR="00513537" w:rsidRPr="00F96844">
        <w:rPr>
          <w:rFonts w:cs="Arial"/>
          <w:sz w:val="24"/>
          <w:szCs w:val="24"/>
          <w:lang w:val="sr-Latn-ME"/>
        </w:rPr>
        <w:t xml:space="preserve">se </w:t>
      </w:r>
      <w:r w:rsidRPr="00F96844">
        <w:rPr>
          <w:rFonts w:cs="Arial"/>
          <w:sz w:val="24"/>
          <w:szCs w:val="24"/>
          <w:lang w:val="sr-Latn-ME"/>
        </w:rPr>
        <w:t>svodi na administrativno praćenje, dok edukativna i podržavajuća uloga izostaju zbog preopterećenosti supervizora koji su uglavnom i voditelji slučaja.</w:t>
      </w:r>
      <w:r w:rsidRPr="00F96844">
        <w:rPr>
          <w:rFonts w:cs="Arial"/>
          <w:sz w:val="24"/>
          <w:szCs w:val="24"/>
          <w:vertAlign w:val="superscript"/>
          <w:lang w:val="sr-Latn-ME"/>
        </w:rPr>
        <w:footnoteReference w:id="108"/>
      </w:r>
    </w:p>
    <w:p w14:paraId="5F0274BB" w14:textId="77777777" w:rsidR="00623852" w:rsidRPr="00F96844" w:rsidRDefault="00623852" w:rsidP="00FE626F">
      <w:pPr>
        <w:jc w:val="both"/>
        <w:rPr>
          <w:rFonts w:cs="Arial"/>
          <w:sz w:val="24"/>
          <w:szCs w:val="24"/>
          <w:lang w:val="sr-Latn-ME"/>
        </w:rPr>
      </w:pPr>
    </w:p>
    <w:p w14:paraId="7C450ABD" w14:textId="77777777" w:rsidR="00623852" w:rsidRPr="00F96844" w:rsidRDefault="00623852" w:rsidP="00FE626F">
      <w:pPr>
        <w:jc w:val="both"/>
        <w:rPr>
          <w:rFonts w:cs="Arial"/>
          <w:sz w:val="24"/>
          <w:szCs w:val="24"/>
          <w:lang w:val="sr-Latn-ME"/>
        </w:rPr>
      </w:pPr>
      <w:r w:rsidRPr="00F96844">
        <w:rPr>
          <w:rFonts w:cs="Arial"/>
          <w:sz w:val="24"/>
          <w:szCs w:val="24"/>
          <w:lang w:val="sr-Latn-ME"/>
        </w:rPr>
        <w:t>Istraživanja koja su se bavila analizom rada centara za socijalni rad ukazuju na potrebu jačanja mehanizama prevencije, terenskog rada i direktnog rada s korisnicima.</w:t>
      </w:r>
      <w:r w:rsidRPr="00F96844">
        <w:rPr>
          <w:rFonts w:cs="Arial"/>
          <w:sz w:val="24"/>
          <w:szCs w:val="24"/>
          <w:vertAlign w:val="superscript"/>
          <w:lang w:val="sr-Latn-ME"/>
        </w:rPr>
        <w:footnoteReference w:id="109"/>
      </w:r>
      <w:r w:rsidRPr="00F96844">
        <w:rPr>
          <w:rFonts w:cs="Arial"/>
          <w:sz w:val="24"/>
          <w:szCs w:val="24"/>
          <w:lang w:val="sr-Latn-ME"/>
        </w:rPr>
        <w:t xml:space="preserve"> Dodatno se ističe i potreba daljeg unapređenja stručnog postupka, stručnog nadzora i </w:t>
      </w:r>
      <w:r w:rsidRPr="00F96844">
        <w:rPr>
          <w:rFonts w:cs="Arial"/>
          <w:sz w:val="24"/>
          <w:szCs w:val="24"/>
          <w:lang w:val="sr-Latn-ME"/>
        </w:rPr>
        <w:lastRenderedPageBreak/>
        <w:t>vođenja slučaja, jačanje funkcije „čuvara kapije</w:t>
      </w:r>
      <w:r w:rsidR="00513537" w:rsidRPr="00513537">
        <w:rPr>
          <w:rFonts w:cs="Arial"/>
          <w:sz w:val="24"/>
          <w:szCs w:val="24"/>
          <w:lang w:val="sr-Latn-ME"/>
        </w:rPr>
        <w:t>”</w:t>
      </w:r>
      <w:r w:rsidRPr="00F96844">
        <w:rPr>
          <w:rFonts w:cs="Arial"/>
          <w:sz w:val="24"/>
          <w:szCs w:val="24"/>
          <w:lang w:val="sr-Latn-ME"/>
        </w:rPr>
        <w:t>, kao i uspostavljanja adekvatnih modela supervizije.</w:t>
      </w:r>
      <w:r w:rsidRPr="00F96844">
        <w:rPr>
          <w:rFonts w:cs="Arial"/>
          <w:sz w:val="24"/>
          <w:szCs w:val="24"/>
          <w:vertAlign w:val="superscript"/>
          <w:lang w:val="sr-Latn-ME"/>
        </w:rPr>
        <w:footnoteReference w:id="110"/>
      </w:r>
      <w:r w:rsidRPr="00F96844">
        <w:rPr>
          <w:rFonts w:cs="Arial"/>
          <w:sz w:val="24"/>
          <w:szCs w:val="24"/>
          <w:lang w:val="sr-Latn-ME"/>
        </w:rPr>
        <w:t xml:space="preserve"> </w:t>
      </w:r>
    </w:p>
    <w:p w14:paraId="7FB9E892" w14:textId="77777777" w:rsidR="00623852" w:rsidRPr="00F96844" w:rsidRDefault="00623852" w:rsidP="00FE626F">
      <w:pPr>
        <w:jc w:val="both"/>
        <w:rPr>
          <w:rFonts w:cs="Arial"/>
          <w:sz w:val="24"/>
          <w:szCs w:val="24"/>
          <w:lang w:val="sr-Latn-ME"/>
        </w:rPr>
      </w:pPr>
    </w:p>
    <w:p w14:paraId="1A1C293E" w14:textId="77777777" w:rsidR="00623852" w:rsidRPr="00F96844" w:rsidRDefault="00623852" w:rsidP="00FE626F">
      <w:pPr>
        <w:jc w:val="both"/>
        <w:rPr>
          <w:rFonts w:cs="Arial"/>
          <w:sz w:val="24"/>
          <w:szCs w:val="24"/>
          <w:lang w:val="sr-Latn-ME"/>
        </w:rPr>
      </w:pPr>
      <w:r w:rsidRPr="00F96844">
        <w:rPr>
          <w:rFonts w:cs="Arial"/>
          <w:sz w:val="24"/>
          <w:szCs w:val="24"/>
          <w:lang w:val="sr-Latn-ME"/>
        </w:rPr>
        <w:t>Evaluacija sprovođenja prethodne Strategije SDZ navodi da je u narednom periodu potrebna konsolidacija sistema kroz pojednostavljivanje rada, smanjenje jurisdikcije CZSR za neke od funkcija koje sada pokrivaju (podrška sprovođenju politika zdravstvenog osiguranja, ljekarske komisije, porodiljsko i roditeljsko odsustvo, naknada za rad</w:t>
      </w:r>
      <w:r w:rsidR="004C5D23">
        <w:rPr>
          <w:rFonts w:cs="Arial"/>
          <w:sz w:val="24"/>
          <w:szCs w:val="24"/>
          <w:lang w:val="sr-Latn-ME"/>
        </w:rPr>
        <w:t xml:space="preserve"> s p</w:t>
      </w:r>
      <w:r w:rsidRPr="00F96844">
        <w:rPr>
          <w:rFonts w:cs="Arial"/>
          <w:sz w:val="24"/>
          <w:szCs w:val="24"/>
          <w:lang w:val="sr-Latn-ME"/>
        </w:rPr>
        <w:t>olovinom vremena, itd</w:t>
      </w:r>
      <w:r w:rsidR="00A2526F">
        <w:rPr>
          <w:rFonts w:cs="Arial"/>
          <w:sz w:val="24"/>
          <w:szCs w:val="24"/>
          <w:lang w:val="sr-Latn-ME"/>
        </w:rPr>
        <w:t>.</w:t>
      </w:r>
      <w:r w:rsidRPr="00F96844">
        <w:rPr>
          <w:rFonts w:cs="Arial"/>
          <w:sz w:val="24"/>
          <w:szCs w:val="24"/>
          <w:lang w:val="sr-Latn-ME"/>
        </w:rPr>
        <w:t>).</w:t>
      </w:r>
      <w:r w:rsidRPr="00F96844">
        <w:rPr>
          <w:rFonts w:cs="Arial"/>
          <w:sz w:val="24"/>
          <w:szCs w:val="24"/>
          <w:vertAlign w:val="superscript"/>
          <w:lang w:val="sr-Latn-ME"/>
        </w:rPr>
        <w:footnoteReference w:id="111"/>
      </w:r>
      <w:r w:rsidRPr="00F96844">
        <w:rPr>
          <w:rFonts w:cs="Arial"/>
          <w:sz w:val="24"/>
          <w:szCs w:val="24"/>
          <w:lang w:val="sr-Latn-ME"/>
        </w:rPr>
        <w:t xml:space="preserve"> Takođe je iz sistema socijalne i dječje zaštite potrebno izmjestiti primjenu Zakona o privremenom izdržavanju</w:t>
      </w:r>
      <w:r w:rsidR="00A2526F">
        <w:rPr>
          <w:rFonts w:cs="Arial"/>
          <w:sz w:val="24"/>
          <w:szCs w:val="24"/>
          <w:lang w:val="sr-Latn-ME"/>
        </w:rPr>
        <w:t>,</w:t>
      </w:r>
      <w:r w:rsidRPr="00F96844">
        <w:rPr>
          <w:rFonts w:cs="Arial"/>
          <w:sz w:val="24"/>
          <w:szCs w:val="24"/>
          <w:lang w:val="sr-Latn-ME"/>
        </w:rPr>
        <w:t xml:space="preserve"> pošto u dijelu postupka koji vodi CZSR nema elemenata socijalnog rada. Izmještanjem ovih prava i funkcija iz sistema socijalne zaštite CZSR bi se dodatno rasteretili kako bi mogli da zadrže svoju osnovnu funkciju, a to su briga u vezi</w:t>
      </w:r>
      <w:r w:rsidR="00867803">
        <w:rPr>
          <w:rFonts w:cs="Arial"/>
          <w:sz w:val="24"/>
          <w:szCs w:val="24"/>
          <w:lang w:val="sr-Latn-ME"/>
        </w:rPr>
        <w:t xml:space="preserve"> s m</w:t>
      </w:r>
      <w:r w:rsidRPr="00F96844">
        <w:rPr>
          <w:rFonts w:cs="Arial"/>
          <w:sz w:val="24"/>
          <w:szCs w:val="24"/>
          <w:lang w:val="sr-Latn-ME"/>
        </w:rPr>
        <w:t>aterijalnim davanjima i podrška sprovođenju usluga SDZ.</w:t>
      </w:r>
      <w:r w:rsidRPr="00F96844">
        <w:rPr>
          <w:rFonts w:cs="Arial"/>
          <w:sz w:val="24"/>
          <w:szCs w:val="24"/>
          <w:vertAlign w:val="superscript"/>
          <w:lang w:val="sr-Latn-ME"/>
        </w:rPr>
        <w:footnoteReference w:id="112"/>
      </w:r>
    </w:p>
    <w:p w14:paraId="45670145" w14:textId="77777777" w:rsidR="00623852" w:rsidRPr="00F96844" w:rsidRDefault="00623852" w:rsidP="00FE626F">
      <w:pPr>
        <w:jc w:val="both"/>
        <w:rPr>
          <w:rFonts w:cs="Arial"/>
          <w:bCs/>
          <w:iCs/>
          <w:sz w:val="24"/>
          <w:szCs w:val="24"/>
          <w:lang w:val="sr-Latn-ME"/>
        </w:rPr>
      </w:pPr>
    </w:p>
    <w:p w14:paraId="1BA8946D" w14:textId="77777777" w:rsidR="00623852" w:rsidRDefault="00623852" w:rsidP="00FE626F">
      <w:pPr>
        <w:jc w:val="both"/>
        <w:rPr>
          <w:rFonts w:cs="Arial"/>
          <w:sz w:val="24"/>
          <w:szCs w:val="24"/>
          <w:lang w:val="sr-Latn-ME"/>
        </w:rPr>
      </w:pPr>
      <w:r w:rsidRPr="00F96844">
        <w:rPr>
          <w:rFonts w:cs="Arial"/>
          <w:sz w:val="24"/>
          <w:szCs w:val="24"/>
          <w:lang w:val="sr-Latn-ME"/>
        </w:rPr>
        <w:t>Preduslovi za unapređenje kvaliteta rada CZSR su povećanje broja voditelja slučaja (80% na nivou cijelog sistema), ograničenje broja korisnika po jednom stručnom radniku, ali i unapređenje materijalnih uslova za rad.</w:t>
      </w:r>
      <w:r w:rsidRPr="00F96844">
        <w:rPr>
          <w:rFonts w:cs="Arial"/>
          <w:sz w:val="24"/>
          <w:szCs w:val="24"/>
          <w:vertAlign w:val="superscript"/>
          <w:lang w:val="sr-Latn-ME"/>
        </w:rPr>
        <w:footnoteReference w:id="113"/>
      </w:r>
      <w:r w:rsidRPr="00F96844">
        <w:rPr>
          <w:rFonts w:cs="Arial"/>
          <w:sz w:val="24"/>
          <w:szCs w:val="24"/>
          <w:lang w:val="sr-Latn-ME"/>
        </w:rPr>
        <w:t xml:space="preserve"> Ističe se i neophodnost da se osnaže stručni kapaciteti voditelja slučaja, ali i kompetencije drugih stručnih radnika.</w:t>
      </w:r>
      <w:r w:rsidRPr="00F96844">
        <w:rPr>
          <w:rFonts w:cs="Arial"/>
          <w:sz w:val="24"/>
          <w:szCs w:val="24"/>
          <w:vertAlign w:val="superscript"/>
          <w:lang w:val="sr-Latn-ME"/>
        </w:rPr>
        <w:footnoteReference w:id="114"/>
      </w:r>
      <w:r w:rsidRPr="00F96844">
        <w:rPr>
          <w:rFonts w:cs="Arial"/>
          <w:sz w:val="24"/>
          <w:szCs w:val="24"/>
          <w:lang w:val="sr-Latn-ME"/>
        </w:rPr>
        <w:t xml:space="preserve"> </w:t>
      </w:r>
    </w:p>
    <w:p w14:paraId="2D52E3B4" w14:textId="77777777" w:rsidR="00FD163F" w:rsidRPr="00FD163F" w:rsidRDefault="00FD163F" w:rsidP="00FE626F">
      <w:pPr>
        <w:jc w:val="both"/>
        <w:rPr>
          <w:rFonts w:cs="Arial"/>
          <w:sz w:val="24"/>
          <w:szCs w:val="24"/>
          <w:lang w:val="sr-Latn-ME"/>
        </w:rPr>
      </w:pPr>
    </w:p>
    <w:p w14:paraId="5FF63C84" w14:textId="77777777" w:rsidR="002C4845" w:rsidRPr="00FD163F" w:rsidRDefault="00FD163F" w:rsidP="002C4845">
      <w:pPr>
        <w:tabs>
          <w:tab w:val="left" w:pos="2535"/>
        </w:tabs>
        <w:jc w:val="both"/>
        <w:rPr>
          <w:rFonts w:cs="Arial"/>
          <w:color w:val="000000"/>
          <w:sz w:val="24"/>
          <w:szCs w:val="24"/>
        </w:rPr>
      </w:pPr>
      <w:r w:rsidRPr="00FD163F">
        <w:rPr>
          <w:rFonts w:cs="Arial"/>
          <w:color w:val="000000"/>
          <w:sz w:val="24"/>
          <w:szCs w:val="24"/>
        </w:rPr>
        <w:t>Tako</w:t>
      </w:r>
      <w:r w:rsidRPr="00FD163F">
        <w:rPr>
          <w:rFonts w:cs="Arial"/>
          <w:color w:val="000000"/>
          <w:sz w:val="24"/>
          <w:szCs w:val="24"/>
          <w:lang w:val="sr-Latn-ME"/>
        </w:rPr>
        <w:t>đe, i</w:t>
      </w:r>
      <w:r w:rsidR="002C4845" w:rsidRPr="00FD163F">
        <w:rPr>
          <w:rFonts w:cs="Arial"/>
          <w:color w:val="000000"/>
          <w:sz w:val="24"/>
          <w:szCs w:val="24"/>
        </w:rPr>
        <w:t>ntegracija koncepta smanjenja rizika od katastrofa u sistem</w:t>
      </w:r>
      <w:r w:rsidRPr="00FD163F">
        <w:rPr>
          <w:rFonts w:cs="Arial"/>
          <w:color w:val="000000"/>
          <w:sz w:val="24"/>
          <w:szCs w:val="24"/>
        </w:rPr>
        <w:t>u</w:t>
      </w:r>
      <w:r w:rsidR="002C4845" w:rsidRPr="00FD163F">
        <w:rPr>
          <w:rFonts w:cs="Arial"/>
          <w:color w:val="000000"/>
          <w:sz w:val="24"/>
          <w:szCs w:val="24"/>
        </w:rPr>
        <w:t xml:space="preserve"> </w:t>
      </w:r>
      <w:r w:rsidRPr="00FD163F">
        <w:rPr>
          <w:rFonts w:cs="Arial"/>
          <w:color w:val="000000"/>
          <w:sz w:val="24"/>
          <w:szCs w:val="24"/>
        </w:rPr>
        <w:t>socijalne</w:t>
      </w:r>
      <w:r w:rsidR="002C4845" w:rsidRPr="00FD163F">
        <w:rPr>
          <w:rFonts w:cs="Arial"/>
          <w:color w:val="000000"/>
          <w:sz w:val="24"/>
          <w:szCs w:val="24"/>
        </w:rPr>
        <w:t xml:space="preserve"> i </w:t>
      </w:r>
      <w:r w:rsidRPr="00FD163F">
        <w:rPr>
          <w:rFonts w:cs="Arial"/>
          <w:color w:val="000000"/>
          <w:sz w:val="24"/>
          <w:szCs w:val="24"/>
        </w:rPr>
        <w:t>dječije</w:t>
      </w:r>
      <w:r w:rsidR="002C4845" w:rsidRPr="00FD163F">
        <w:rPr>
          <w:rFonts w:cs="Arial"/>
          <w:color w:val="000000"/>
          <w:sz w:val="24"/>
          <w:szCs w:val="24"/>
        </w:rPr>
        <w:t xml:space="preserve"> zaštite od ključne je važnosti za izgradnju otpornijeg i inkluzivnijeg društva, te dodatno jača spremnost države za suočavanje sa izazovima prirodnih i drugih katastrofa. </w:t>
      </w:r>
    </w:p>
    <w:p w14:paraId="047C82C7" w14:textId="264E6AD4" w:rsidR="002C4845" w:rsidRPr="00FD163F" w:rsidRDefault="002C4845" w:rsidP="002C4845">
      <w:pPr>
        <w:tabs>
          <w:tab w:val="left" w:pos="2535"/>
        </w:tabs>
        <w:jc w:val="both"/>
        <w:rPr>
          <w:rFonts w:cs="Arial"/>
          <w:color w:val="000000"/>
          <w:sz w:val="24"/>
          <w:szCs w:val="24"/>
        </w:rPr>
      </w:pPr>
      <w:r w:rsidRPr="00FD163F">
        <w:rPr>
          <w:rFonts w:cs="Arial"/>
          <w:color w:val="000000"/>
          <w:sz w:val="24"/>
          <w:szCs w:val="24"/>
        </w:rPr>
        <w:t xml:space="preserve">U cilju smanjenja rizika od katastrofa, potrebno je fokusirati se na jačanje administrativnih, tehničkih i finansijskih kapaciteta za upravljanje rizicima od katastrofa, te uključenostisvih institucija i zainteresovanih aktera u državi za djelovanje u slučaju katastrofa. Bolje razumijevanje specifičnih potreba i izazova sa kojima se suočavaju ranjive grupe, te grupe koje žive u izraženom riziku od siromaštva i isključenosti, omogućava kreiranje efikasnijih mjera prevencije, pripremljenosti, kao i zaštite i spašavanja, što doprinosi smanjenju rizika od katastrofa u oblasti socijalne i dječje zaštite. </w:t>
      </w:r>
    </w:p>
    <w:p w14:paraId="37B1B235" w14:textId="77777777" w:rsidR="00623852" w:rsidRPr="00F96844" w:rsidRDefault="00623852" w:rsidP="00FE626F">
      <w:pPr>
        <w:jc w:val="both"/>
        <w:rPr>
          <w:rFonts w:cs="Arial"/>
          <w:sz w:val="24"/>
          <w:szCs w:val="24"/>
          <w:lang w:val="sr-Latn-ME"/>
        </w:rPr>
      </w:pPr>
    </w:p>
    <w:p w14:paraId="370E71A6" w14:textId="77777777" w:rsidR="00623852" w:rsidRPr="00F96844" w:rsidRDefault="00623852" w:rsidP="00FE626F">
      <w:pPr>
        <w:jc w:val="both"/>
        <w:rPr>
          <w:rFonts w:cs="Arial"/>
          <w:sz w:val="24"/>
          <w:szCs w:val="24"/>
          <w:lang w:val="sr-Latn-ME"/>
        </w:rPr>
      </w:pPr>
      <w:r w:rsidRPr="00F96844">
        <w:rPr>
          <w:rFonts w:cs="Arial"/>
          <w:sz w:val="24"/>
          <w:szCs w:val="24"/>
          <w:lang w:val="sr-Latn-ME"/>
        </w:rPr>
        <w:t>Reformama treba da prethodi normiranje poslova, uz izradu stručnih uputstava za pojedine poslove.</w:t>
      </w:r>
      <w:r w:rsidRPr="00F96844">
        <w:rPr>
          <w:rFonts w:cs="Arial"/>
          <w:sz w:val="24"/>
          <w:szCs w:val="24"/>
          <w:vertAlign w:val="superscript"/>
          <w:lang w:val="sr-Latn-ME"/>
        </w:rPr>
        <w:footnoteReference w:id="115"/>
      </w:r>
      <w:r w:rsidRPr="00F96844">
        <w:rPr>
          <w:rFonts w:cs="Arial"/>
          <w:sz w:val="24"/>
          <w:szCs w:val="24"/>
          <w:lang w:val="sr-Latn-ME"/>
        </w:rPr>
        <w:t xml:space="preserve"> </w:t>
      </w:r>
    </w:p>
    <w:p w14:paraId="402AB157" w14:textId="77777777" w:rsidR="00623852" w:rsidRPr="00F96844" w:rsidRDefault="00623852" w:rsidP="00FE626F">
      <w:pPr>
        <w:jc w:val="both"/>
        <w:rPr>
          <w:rFonts w:cs="Arial"/>
          <w:sz w:val="24"/>
          <w:szCs w:val="24"/>
          <w:lang w:val="sr-Latn-ME"/>
        </w:rPr>
      </w:pPr>
    </w:p>
    <w:p w14:paraId="40E22DBF" w14:textId="77777777" w:rsidR="00623852" w:rsidRPr="00F96844" w:rsidRDefault="00623852" w:rsidP="00FE626F">
      <w:pPr>
        <w:jc w:val="both"/>
        <w:rPr>
          <w:rFonts w:cs="Arial"/>
          <w:sz w:val="24"/>
          <w:szCs w:val="24"/>
          <w:lang w:val="sr-Latn-ME"/>
        </w:rPr>
      </w:pPr>
      <w:r w:rsidRPr="00F96844">
        <w:rPr>
          <w:rFonts w:cs="Arial"/>
          <w:sz w:val="24"/>
          <w:szCs w:val="24"/>
          <w:lang w:val="sr-Latn-ME"/>
        </w:rPr>
        <w:t>U više dokumenata i analiza se ističe i da je značajno da se obezbijedi saradnja CZSR s jedinicama lokalne samouprave, ali i s ustanovama i organizacijama u zajednici, posebno radi proaktivne identifikacije i prepoznavanja potrebe za podrškom i izloženosti različitim vrstama rizika.</w:t>
      </w:r>
      <w:r w:rsidRPr="00F96844">
        <w:rPr>
          <w:rFonts w:cs="Arial"/>
          <w:sz w:val="24"/>
          <w:szCs w:val="24"/>
          <w:vertAlign w:val="superscript"/>
          <w:lang w:val="sr-Latn-ME"/>
        </w:rPr>
        <w:footnoteReference w:id="116"/>
      </w:r>
      <w:r w:rsidRPr="00F96844">
        <w:rPr>
          <w:rFonts w:cs="Arial"/>
          <w:sz w:val="24"/>
          <w:szCs w:val="24"/>
          <w:lang w:val="sr-Latn-ME"/>
        </w:rPr>
        <w:t xml:space="preserve"> </w:t>
      </w:r>
    </w:p>
    <w:p w14:paraId="4001DBBE" w14:textId="77777777" w:rsidR="00623852" w:rsidRPr="00F96844" w:rsidRDefault="00623852" w:rsidP="00FE626F">
      <w:pPr>
        <w:jc w:val="both"/>
        <w:rPr>
          <w:rFonts w:cs="Arial"/>
          <w:sz w:val="24"/>
          <w:szCs w:val="24"/>
          <w:lang w:val="sr-Latn-ME"/>
        </w:rPr>
      </w:pPr>
    </w:p>
    <w:p w14:paraId="2257DC52" w14:textId="77777777" w:rsidR="00623852" w:rsidRPr="00F96844" w:rsidRDefault="00623852" w:rsidP="00FE626F">
      <w:pPr>
        <w:jc w:val="both"/>
        <w:rPr>
          <w:rFonts w:cs="Arial"/>
          <w:kern w:val="2"/>
          <w:sz w:val="24"/>
          <w:szCs w:val="24"/>
          <w:lang w:val="sr-Latn-ME"/>
          <w14:ligatures w14:val="standardContextual"/>
        </w:rPr>
      </w:pPr>
      <w:r w:rsidRPr="00F96844">
        <w:rPr>
          <w:sz w:val="24"/>
          <w:szCs w:val="24"/>
          <w:lang w:val="sr-Latn-ME"/>
        </w:rPr>
        <w:t>U narednom period</w:t>
      </w:r>
      <w:r w:rsidR="00EA1D01">
        <w:rPr>
          <w:sz w:val="24"/>
          <w:szCs w:val="24"/>
          <w:lang w:val="sr-Latn-ME"/>
        </w:rPr>
        <w:t>u</w:t>
      </w:r>
      <w:r w:rsidRPr="00F96844">
        <w:rPr>
          <w:sz w:val="24"/>
          <w:szCs w:val="24"/>
          <w:lang w:val="sr-Latn-ME"/>
        </w:rPr>
        <w:t xml:space="preserve"> potrebna</w:t>
      </w:r>
      <w:r w:rsidR="00801AD6" w:rsidRPr="00F96844">
        <w:rPr>
          <w:sz w:val="24"/>
          <w:szCs w:val="24"/>
          <w:lang w:val="sr-Latn-ME"/>
        </w:rPr>
        <w:t xml:space="preserve"> je jača uloga </w:t>
      </w:r>
      <w:r w:rsidRPr="00F96844">
        <w:rPr>
          <w:b/>
          <w:sz w:val="24"/>
          <w:szCs w:val="24"/>
          <w:lang w:val="sr-Latn-ME"/>
        </w:rPr>
        <w:t>Z</w:t>
      </w:r>
      <w:r w:rsidR="00801AD6" w:rsidRPr="00F96844">
        <w:rPr>
          <w:b/>
          <w:sz w:val="24"/>
          <w:szCs w:val="24"/>
          <w:lang w:val="sr-Latn-ME"/>
        </w:rPr>
        <w:t>avoda za socijalnu zaštitu</w:t>
      </w:r>
      <w:r w:rsidR="00801AD6" w:rsidRPr="00F96844">
        <w:rPr>
          <w:sz w:val="24"/>
          <w:szCs w:val="24"/>
          <w:lang w:val="sr-Latn-ME"/>
        </w:rPr>
        <w:t xml:space="preserve"> </w:t>
      </w:r>
      <w:r w:rsidRPr="00F96844">
        <w:rPr>
          <w:rFonts w:cs="Arial"/>
          <w:kern w:val="2"/>
          <w:sz w:val="24"/>
          <w:szCs w:val="24"/>
          <w:lang w:val="sr-Latn-ME"/>
          <w14:ligatures w14:val="standardContextual"/>
        </w:rPr>
        <w:t xml:space="preserve">u odnosu na sljedeće poslove: savjetodavne, istraživačke i stručne poslove u oblasti socijalne i dječje </w:t>
      </w:r>
      <w:r w:rsidRPr="00F96844">
        <w:rPr>
          <w:rFonts w:cs="Arial"/>
          <w:kern w:val="2"/>
          <w:sz w:val="24"/>
          <w:szCs w:val="24"/>
          <w:lang w:val="sr-Latn-ME"/>
          <w14:ligatures w14:val="standardContextual"/>
        </w:rPr>
        <w:lastRenderedPageBreak/>
        <w:t xml:space="preserve">zaštite; praćenje kvaliteta stručnog rada i usluga u ustanovama socijalne i dječje zaštite; pružanje stručne supervizijske podrške radi </w:t>
      </w:r>
      <w:r w:rsidR="00D757C8">
        <w:rPr>
          <w:rFonts w:cs="Arial"/>
          <w:kern w:val="2"/>
          <w:sz w:val="24"/>
          <w:szCs w:val="24"/>
          <w:lang w:val="sr-Latn-ME"/>
          <w14:ligatures w14:val="standardContextual"/>
        </w:rPr>
        <w:t>unapre</w:t>
      </w:r>
      <w:r w:rsidRPr="00F96844">
        <w:rPr>
          <w:rFonts w:cs="Arial"/>
          <w:kern w:val="2"/>
          <w:sz w:val="24"/>
          <w:szCs w:val="24"/>
          <w:lang w:val="sr-Latn-ME"/>
          <w14:ligatures w14:val="standardContextual"/>
        </w:rPr>
        <w:t>đenja stručnog rada i usluga socijalne i dječje zaštite; obavljanje poslova licenciranja stručnih radnika i izdavanje licence za rad u skladu sa zakonom kojim se uređuje socijalna i dječja zaštita; obavljanje stručnih i organizacionih poslova u postupku akreditacije programa obuke, odnosno programa pružanja usluga kojim se obezbjeđuje stručno usavršavanje stručnim radnicima</w:t>
      </w:r>
      <w:r w:rsidR="00EC437D">
        <w:rPr>
          <w:rFonts w:cs="Arial"/>
          <w:kern w:val="2"/>
          <w:sz w:val="24"/>
          <w:szCs w:val="24"/>
          <w:lang w:val="sr-Latn-ME"/>
          <w14:ligatures w14:val="standardContextual"/>
        </w:rPr>
        <w:t>/</w:t>
      </w:r>
      <w:r w:rsidR="00A2526F">
        <w:rPr>
          <w:rFonts w:cs="Arial"/>
          <w:kern w:val="2"/>
          <w:sz w:val="24"/>
          <w:szCs w:val="24"/>
          <w:lang w:val="sr-Latn-ME"/>
          <w14:ligatures w14:val="standardContextual"/>
        </w:rPr>
        <w:t>radnic</w:t>
      </w:r>
      <w:r w:rsidR="00EC437D">
        <w:rPr>
          <w:rFonts w:cs="Arial"/>
          <w:kern w:val="2"/>
          <w:sz w:val="24"/>
          <w:szCs w:val="24"/>
          <w:lang w:val="sr-Latn-ME"/>
          <w14:ligatures w14:val="standardContextual"/>
        </w:rPr>
        <w:t>ama</w:t>
      </w:r>
      <w:r w:rsidRPr="00F96844">
        <w:rPr>
          <w:rFonts w:cs="Arial"/>
          <w:kern w:val="2"/>
          <w:sz w:val="24"/>
          <w:szCs w:val="24"/>
          <w:lang w:val="sr-Latn-ME"/>
          <w14:ligatures w14:val="standardContextual"/>
        </w:rPr>
        <w:t xml:space="preserve"> i stručnim saradnicima</w:t>
      </w:r>
      <w:r w:rsidR="00EC437D">
        <w:rPr>
          <w:rFonts w:cs="Arial"/>
          <w:kern w:val="2"/>
          <w:sz w:val="24"/>
          <w:szCs w:val="24"/>
          <w:lang w:val="sr-Latn-ME"/>
          <w14:ligatures w14:val="standardContextual"/>
        </w:rPr>
        <w:t>/</w:t>
      </w:r>
      <w:r w:rsidR="00A2526F">
        <w:rPr>
          <w:rFonts w:cs="Arial"/>
          <w:kern w:val="2"/>
          <w:sz w:val="24"/>
          <w:szCs w:val="24"/>
          <w:lang w:val="sr-Latn-ME"/>
          <w14:ligatures w14:val="standardContextual"/>
        </w:rPr>
        <w:t>saradnic</w:t>
      </w:r>
      <w:r w:rsidR="00EC437D">
        <w:rPr>
          <w:rFonts w:cs="Arial"/>
          <w:kern w:val="2"/>
          <w:sz w:val="24"/>
          <w:szCs w:val="24"/>
          <w:lang w:val="sr-Latn-ME"/>
          <w14:ligatures w14:val="standardContextual"/>
        </w:rPr>
        <w:t>ama</w:t>
      </w:r>
      <w:r w:rsidRPr="00F96844">
        <w:rPr>
          <w:rFonts w:cs="Arial"/>
          <w:kern w:val="2"/>
          <w:sz w:val="24"/>
          <w:szCs w:val="24"/>
          <w:lang w:val="sr-Latn-ME"/>
          <w14:ligatures w14:val="standardContextual"/>
        </w:rPr>
        <w:t xml:space="preserve"> i pružaocima usluga; donošenje Etičkog kodeksa za zaposlene u oblasti socijalne i dječje zaštite; istraživanje socijalnih pojava i problema, djelatnosti i efekata socijalne i dječje zaštite, izradu analiza i izvještaja i predlaganje mjera za </w:t>
      </w:r>
      <w:r w:rsidR="00D757C8">
        <w:rPr>
          <w:rFonts w:cs="Arial"/>
          <w:kern w:val="2"/>
          <w:sz w:val="24"/>
          <w:szCs w:val="24"/>
          <w:lang w:val="sr-Latn-ME"/>
          <w14:ligatures w14:val="standardContextual"/>
        </w:rPr>
        <w:t>unapre</w:t>
      </w:r>
      <w:r w:rsidRPr="00F96844">
        <w:rPr>
          <w:rFonts w:cs="Arial"/>
          <w:kern w:val="2"/>
          <w:sz w:val="24"/>
          <w:szCs w:val="24"/>
          <w:lang w:val="sr-Latn-ME"/>
          <w14:ligatures w14:val="standardContextual"/>
        </w:rPr>
        <w:t>đenje u oblasti socijalne i dječje zaštite; razvijanje sistema kvaliteta u socijalnoj i dječjoj zaštiti, koordiniranje razvoja standarda usluga i predlaganje organu državne uprave nadležnom za poslove socijalnog staranja</w:t>
      </w:r>
      <w:r w:rsidR="00A2526F">
        <w:rPr>
          <w:rFonts w:cs="Arial"/>
          <w:kern w:val="2"/>
          <w:sz w:val="24"/>
          <w:szCs w:val="24"/>
          <w:lang w:val="sr-Latn-ME"/>
          <w14:ligatures w14:val="standardContextual"/>
        </w:rPr>
        <w:t>,</w:t>
      </w:r>
      <w:r w:rsidRPr="00F96844">
        <w:rPr>
          <w:rFonts w:cs="Arial"/>
          <w:kern w:val="2"/>
          <w:sz w:val="24"/>
          <w:szCs w:val="24"/>
          <w:lang w:val="sr-Latn-ME"/>
          <w14:ligatures w14:val="standardContextual"/>
        </w:rPr>
        <w:t xml:space="preserve"> </w:t>
      </w:r>
      <w:r w:rsidR="00D757C8">
        <w:rPr>
          <w:rFonts w:cs="Arial"/>
          <w:kern w:val="2"/>
          <w:sz w:val="24"/>
          <w:szCs w:val="24"/>
          <w:lang w:val="sr-Latn-ME"/>
          <w14:ligatures w14:val="standardContextual"/>
        </w:rPr>
        <w:t>unapre</w:t>
      </w:r>
      <w:r w:rsidRPr="00F96844">
        <w:rPr>
          <w:rFonts w:cs="Arial"/>
          <w:kern w:val="2"/>
          <w:sz w:val="24"/>
          <w:szCs w:val="24"/>
          <w:lang w:val="sr-Latn-ME"/>
          <w14:ligatures w14:val="standardContextual"/>
        </w:rPr>
        <w:t xml:space="preserve">đenje postojećih i uvođenje novih standarda; učestvovanje u izradi, sprovođenju, praćenju i ocjeni efekata primjene strategija, akcionih planova, zakona i drugih propisa koji se odnose na razvoj djelatnosti socijalne i dječje zaštite; organizovanje stručnog usavršavanja stručnih radnika i stručnih saradnika; sačinjavanje i publikovanje monografija, časopisa i zbornika radova, stručnih priručnika, vodiča, informatora, studija i primjera dobre prakse; informisanje stručne i šire javnosti o sprovođenju socijalne i dječje zaštite, ukazivanje na potrebe i probleme </w:t>
      </w:r>
      <w:r w:rsidR="00EB2F1D">
        <w:rPr>
          <w:rFonts w:cs="Arial"/>
          <w:kern w:val="2"/>
          <w:sz w:val="24"/>
          <w:szCs w:val="24"/>
          <w:lang w:val="sr-Latn-ME"/>
          <w14:ligatures w14:val="standardContextual"/>
        </w:rPr>
        <w:t>korisnika/korisnica</w:t>
      </w:r>
      <w:r w:rsidRPr="00F96844">
        <w:rPr>
          <w:rFonts w:cs="Arial"/>
          <w:kern w:val="2"/>
          <w:sz w:val="24"/>
          <w:szCs w:val="24"/>
          <w:lang w:val="sr-Latn-ME"/>
          <w14:ligatures w14:val="standardContextual"/>
        </w:rPr>
        <w:t xml:space="preserve">, a posebno </w:t>
      </w:r>
      <w:r w:rsidR="00EB2F1D">
        <w:rPr>
          <w:rFonts w:cs="Arial"/>
          <w:kern w:val="2"/>
          <w:sz w:val="24"/>
          <w:szCs w:val="24"/>
          <w:lang w:val="sr-Latn-ME"/>
          <w14:ligatures w14:val="standardContextual"/>
        </w:rPr>
        <w:t>korisnika/korisnica</w:t>
      </w:r>
      <w:r w:rsidRPr="00F96844">
        <w:rPr>
          <w:rFonts w:cs="Arial"/>
          <w:kern w:val="2"/>
          <w:sz w:val="24"/>
          <w:szCs w:val="24"/>
          <w:lang w:val="sr-Latn-ME"/>
          <w14:ligatures w14:val="standardContextual"/>
        </w:rPr>
        <w:t xml:space="preserve"> iz osjetljivih društvenih grupa.</w:t>
      </w:r>
    </w:p>
    <w:p w14:paraId="1FABF688" w14:textId="77777777" w:rsidR="00623852" w:rsidRPr="00F96844" w:rsidRDefault="00623852" w:rsidP="00FE626F">
      <w:pPr>
        <w:jc w:val="both"/>
        <w:rPr>
          <w:rFonts w:cs="Arial"/>
          <w:kern w:val="2"/>
          <w:sz w:val="24"/>
          <w:szCs w:val="24"/>
          <w:lang w:val="sr-Latn-ME"/>
          <w14:ligatures w14:val="standardContextual"/>
        </w:rPr>
      </w:pPr>
    </w:p>
    <w:p w14:paraId="231D707D" w14:textId="77777777" w:rsidR="00623852" w:rsidRPr="00F96844" w:rsidRDefault="00623852" w:rsidP="00FE626F">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U Zavodu za socijalnu i dječju zaštitu ima sistematizovanih 20 radnih mjesta, a zaposleno je 19 osoba. Trenutno, shodno povjerenim zadacima, istraživačko-an</w:t>
      </w:r>
      <w:r w:rsidR="00130594">
        <w:rPr>
          <w:rFonts w:cs="Arial"/>
          <w:kern w:val="2"/>
          <w:sz w:val="24"/>
          <w:szCs w:val="24"/>
          <w:lang w:val="sr-Latn-ME"/>
          <w14:ligatures w14:val="standardContextual"/>
        </w:rPr>
        <w:t>a</w:t>
      </w:r>
      <w:r w:rsidRPr="00F96844">
        <w:rPr>
          <w:rFonts w:cs="Arial"/>
          <w:kern w:val="2"/>
          <w:sz w:val="24"/>
          <w:szCs w:val="24"/>
          <w:lang w:val="sr-Latn-ME"/>
          <w14:ligatures w14:val="standardContextual"/>
        </w:rPr>
        <w:t>litičke poslove izvršavaju 2 samostalna</w:t>
      </w:r>
      <w:r w:rsidR="00A2526F">
        <w:rPr>
          <w:rFonts w:cs="Arial"/>
          <w:kern w:val="2"/>
          <w:sz w:val="24"/>
          <w:szCs w:val="24"/>
          <w:lang w:val="sr-Latn-ME"/>
          <w14:ligatures w14:val="standardContextual"/>
        </w:rPr>
        <w:t xml:space="preserve"> </w:t>
      </w:r>
      <w:r w:rsidRPr="00F96844">
        <w:rPr>
          <w:rFonts w:cs="Arial"/>
          <w:kern w:val="2"/>
          <w:sz w:val="24"/>
          <w:szCs w:val="24"/>
          <w:lang w:val="sr-Latn-ME"/>
          <w14:ligatures w14:val="standardContextual"/>
        </w:rPr>
        <w:t>savjetnika</w:t>
      </w:r>
      <w:r w:rsidR="00A2526F">
        <w:rPr>
          <w:rFonts w:cs="Arial"/>
          <w:kern w:val="2"/>
          <w:sz w:val="24"/>
          <w:szCs w:val="24"/>
          <w:lang w:val="sr-Latn-ME"/>
          <w14:ligatures w14:val="standardContextual"/>
        </w:rPr>
        <w:t xml:space="preserve"> </w:t>
      </w:r>
      <w:r w:rsidR="00373D84">
        <w:rPr>
          <w:rFonts w:cs="Arial"/>
          <w:kern w:val="2"/>
          <w:sz w:val="24"/>
          <w:szCs w:val="24"/>
          <w:lang w:val="sr-Latn-ME"/>
          <w14:ligatures w14:val="standardContextual"/>
        </w:rPr>
        <w:t>/</w:t>
      </w:r>
      <w:r w:rsidR="00A2526F">
        <w:rPr>
          <w:rFonts w:cs="Arial"/>
          <w:kern w:val="2"/>
          <w:sz w:val="24"/>
          <w:szCs w:val="24"/>
          <w:lang w:val="sr-Latn-ME"/>
          <w14:ligatures w14:val="standardContextual"/>
        </w:rPr>
        <w:t xml:space="preserve"> samostalne savjetni</w:t>
      </w:r>
      <w:r w:rsidR="00373D84">
        <w:rPr>
          <w:rFonts w:cs="Arial"/>
          <w:kern w:val="2"/>
          <w:sz w:val="24"/>
          <w:szCs w:val="24"/>
          <w:lang w:val="sr-Latn-ME"/>
          <w14:ligatures w14:val="standardContextual"/>
        </w:rPr>
        <w:t>ce</w:t>
      </w:r>
      <w:r w:rsidRPr="00F96844">
        <w:rPr>
          <w:rFonts w:cs="Arial"/>
          <w:kern w:val="2"/>
          <w:sz w:val="24"/>
          <w:szCs w:val="24"/>
          <w:lang w:val="sr-Latn-ME"/>
          <w14:ligatures w14:val="standardContextual"/>
        </w:rPr>
        <w:t>. Od ukupnog broja zaposlenih, samo 9 službenika</w:t>
      </w:r>
      <w:r w:rsidR="00373D84">
        <w:rPr>
          <w:rFonts w:cs="Arial"/>
          <w:kern w:val="2"/>
          <w:sz w:val="24"/>
          <w:szCs w:val="24"/>
          <w:lang w:val="sr-Latn-ME"/>
          <w14:ligatures w14:val="standardContextual"/>
        </w:rPr>
        <w:t>/ca</w:t>
      </w:r>
      <w:r w:rsidRPr="00F96844">
        <w:rPr>
          <w:rFonts w:cs="Arial"/>
          <w:kern w:val="2"/>
          <w:sz w:val="24"/>
          <w:szCs w:val="24"/>
          <w:lang w:val="sr-Latn-ME"/>
          <w14:ligatures w14:val="standardContextual"/>
        </w:rPr>
        <w:t xml:space="preserve"> (47%) su stručni radnici</w:t>
      </w:r>
      <w:r w:rsidR="00A2526F">
        <w:rPr>
          <w:rFonts w:cs="Arial"/>
          <w:kern w:val="2"/>
          <w:sz w:val="24"/>
          <w:szCs w:val="24"/>
          <w:lang w:val="sr-Latn-ME"/>
          <w14:ligatures w14:val="standardContextual"/>
        </w:rPr>
        <w:t xml:space="preserve"> </w:t>
      </w:r>
      <w:r w:rsidR="00373D84">
        <w:rPr>
          <w:rFonts w:cs="Arial"/>
          <w:kern w:val="2"/>
          <w:sz w:val="24"/>
          <w:szCs w:val="24"/>
          <w:lang w:val="sr-Latn-ME"/>
          <w14:ligatures w14:val="standardContextual"/>
        </w:rPr>
        <w:t>/</w:t>
      </w:r>
      <w:r w:rsidR="00A2526F">
        <w:rPr>
          <w:rFonts w:cs="Arial"/>
          <w:kern w:val="2"/>
          <w:sz w:val="24"/>
          <w:szCs w:val="24"/>
          <w:lang w:val="sr-Latn-ME"/>
          <w14:ligatures w14:val="standardContextual"/>
        </w:rPr>
        <w:t xml:space="preserve"> stručne radnic</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a 53% je zaposlenih na administrativnim i ostalim poslovima. </w:t>
      </w:r>
    </w:p>
    <w:p w14:paraId="3B711DEA" w14:textId="77777777" w:rsidR="00623852" w:rsidRPr="00F96844" w:rsidRDefault="00623852" w:rsidP="00FE626F">
      <w:pPr>
        <w:jc w:val="both"/>
        <w:rPr>
          <w:rFonts w:cs="Arial"/>
          <w:kern w:val="2"/>
          <w:sz w:val="24"/>
          <w:szCs w:val="24"/>
          <w:lang w:val="sr-Latn-ME"/>
          <w14:ligatures w14:val="standardContextual"/>
        </w:rPr>
      </w:pPr>
    </w:p>
    <w:p w14:paraId="7D955DD1" w14:textId="77777777" w:rsidR="00623852" w:rsidRPr="00F96844" w:rsidRDefault="00623852" w:rsidP="00FE626F">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Zavod posebnu pažnju usmjerava na pružanje podrške stručnim radnicima</w:t>
      </w:r>
      <w:r w:rsidR="00373D84">
        <w:rPr>
          <w:rFonts w:cs="Arial"/>
          <w:kern w:val="2"/>
          <w:sz w:val="24"/>
          <w:szCs w:val="24"/>
          <w:lang w:val="sr-Latn-ME"/>
          <w14:ligatures w14:val="standardContextual"/>
        </w:rPr>
        <w:t>/</w:t>
      </w:r>
      <w:r w:rsidR="00A2526F">
        <w:rPr>
          <w:rFonts w:cs="Arial"/>
          <w:kern w:val="2"/>
          <w:sz w:val="24"/>
          <w:szCs w:val="24"/>
          <w:lang w:val="sr-Latn-ME"/>
          <w14:ligatures w14:val="standardContextual"/>
        </w:rPr>
        <w:t>radnic</w:t>
      </w:r>
      <w:r w:rsidR="00373D84">
        <w:rPr>
          <w:rFonts w:cs="Arial"/>
          <w:kern w:val="2"/>
          <w:sz w:val="24"/>
          <w:szCs w:val="24"/>
          <w:lang w:val="sr-Latn-ME"/>
          <w14:ligatures w14:val="standardContextual"/>
        </w:rPr>
        <w:t>ama</w:t>
      </w:r>
      <w:r w:rsidRPr="00F96844">
        <w:rPr>
          <w:rFonts w:cs="Arial"/>
          <w:kern w:val="2"/>
          <w:sz w:val="24"/>
          <w:szCs w:val="24"/>
          <w:lang w:val="sr-Latn-ME"/>
          <w14:ligatures w14:val="standardContextual"/>
        </w:rPr>
        <w:t xml:space="preserve"> u sistemu socijalne i dječje zaštite kroz stručne konsultacije, ali i učestvovanju na konferencijama slučaja</w:t>
      </w:r>
      <w:r w:rsidR="000B2A93">
        <w:rPr>
          <w:rFonts w:cs="Arial"/>
          <w:kern w:val="2"/>
          <w:sz w:val="24"/>
          <w:szCs w:val="24"/>
          <w:lang w:val="sr-Latn-ME"/>
          <w14:ligatures w14:val="standardContextual"/>
        </w:rPr>
        <w:t>,</w:t>
      </w:r>
      <w:r w:rsidRPr="00F96844">
        <w:rPr>
          <w:rFonts w:cs="Arial"/>
          <w:kern w:val="2"/>
          <w:sz w:val="24"/>
          <w:szCs w:val="24"/>
          <w:lang w:val="sr-Latn-ME"/>
          <w14:ligatures w14:val="standardContextual"/>
        </w:rPr>
        <w:t xml:space="preserve"> kao i kroz sprovođenje razvojno-integrativne supervizije. U Zavodu radi 5 edukovanih stručnjaka koji pružaju ovaj oblik stručne podrške. U toku 2023. godin</w:t>
      </w:r>
      <w:r w:rsidR="00A2526F">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organizovano je 6 supervizijskih grupa za 30 stručn</w:t>
      </w:r>
      <w:r w:rsidR="00A2526F">
        <w:rPr>
          <w:rFonts w:cs="Arial"/>
          <w:kern w:val="2"/>
          <w:sz w:val="24"/>
          <w:szCs w:val="24"/>
          <w:lang w:val="sr-Latn-ME"/>
          <w14:ligatures w14:val="standardContextual"/>
        </w:rPr>
        <w:t>ih</w:t>
      </w:r>
      <w:r w:rsidRPr="00F96844">
        <w:rPr>
          <w:rFonts w:cs="Arial"/>
          <w:kern w:val="2"/>
          <w:sz w:val="24"/>
          <w:szCs w:val="24"/>
          <w:lang w:val="sr-Latn-ME"/>
          <w14:ligatures w14:val="standardContextual"/>
        </w:rPr>
        <w:t xml:space="preserve"> radnika</w:t>
      </w:r>
      <w:r w:rsidR="00373D84">
        <w:rPr>
          <w:rFonts w:cs="Arial"/>
          <w:kern w:val="2"/>
          <w:sz w:val="24"/>
          <w:szCs w:val="24"/>
          <w:lang w:val="sr-Latn-ME"/>
          <w14:ligatures w14:val="standardContextual"/>
        </w:rPr>
        <w:t>/</w:t>
      </w:r>
      <w:r w:rsidR="00A2526F">
        <w:rPr>
          <w:rFonts w:cs="Arial"/>
          <w:kern w:val="2"/>
          <w:sz w:val="24"/>
          <w:szCs w:val="24"/>
          <w:lang w:val="sr-Latn-ME"/>
          <w14:ligatures w14:val="standardContextual"/>
        </w:rPr>
        <w:t>radni</w:t>
      </w:r>
      <w:r w:rsidR="00373D84">
        <w:rPr>
          <w:rFonts w:cs="Arial"/>
          <w:kern w:val="2"/>
          <w:sz w:val="24"/>
          <w:szCs w:val="24"/>
          <w:lang w:val="sr-Latn-ME"/>
          <w14:ligatures w14:val="standardContextual"/>
        </w:rPr>
        <w:t>c</w:t>
      </w:r>
      <w:r w:rsidR="00A2526F">
        <w:rPr>
          <w:rFonts w:cs="Arial"/>
          <w:kern w:val="2"/>
          <w:sz w:val="24"/>
          <w:szCs w:val="24"/>
          <w:lang w:val="sr-Latn-ME"/>
          <w14:ligatures w14:val="standardContextual"/>
        </w:rPr>
        <w:t>a</w:t>
      </w:r>
      <w:r w:rsidRPr="00F96844">
        <w:rPr>
          <w:rFonts w:cs="Arial"/>
          <w:kern w:val="2"/>
          <w:sz w:val="24"/>
          <w:szCs w:val="24"/>
          <w:lang w:val="sr-Latn-ME"/>
          <w14:ligatures w14:val="standardContextual"/>
        </w:rPr>
        <w:t>. S povećanjem broja stručnjaka obučenih za pružanje supervizije po ovom modelu stekli bi se uslovi za učlanjenje supervizora</w:t>
      </w:r>
      <w:r w:rsidR="00373D84">
        <w:rPr>
          <w:rFonts w:cs="Arial"/>
          <w:kern w:val="2"/>
          <w:sz w:val="24"/>
          <w:szCs w:val="24"/>
          <w:lang w:val="sr-Latn-ME"/>
          <w14:ligatures w14:val="standardContextual"/>
        </w:rPr>
        <w:t>/</w:t>
      </w:r>
      <w:r w:rsidR="00A2526F">
        <w:rPr>
          <w:rFonts w:cs="Arial"/>
          <w:kern w:val="2"/>
          <w:sz w:val="24"/>
          <w:szCs w:val="24"/>
          <w:lang w:val="sr-Latn-ME"/>
          <w14:ligatures w14:val="standardContextual"/>
        </w:rPr>
        <w:t>supervizor</w:t>
      </w:r>
      <w:r w:rsidR="00373D84">
        <w:rPr>
          <w:rFonts w:cs="Arial"/>
          <w:kern w:val="2"/>
          <w:sz w:val="24"/>
          <w:szCs w:val="24"/>
          <w:lang w:val="sr-Latn-ME"/>
          <w14:ligatures w14:val="standardContextual"/>
        </w:rPr>
        <w:t>ki</w:t>
      </w:r>
      <w:r w:rsidRPr="00F96844">
        <w:rPr>
          <w:rFonts w:cs="Arial"/>
          <w:kern w:val="2"/>
          <w:sz w:val="24"/>
          <w:szCs w:val="24"/>
          <w:lang w:val="sr-Latn-ME"/>
          <w14:ligatures w14:val="standardContextual"/>
        </w:rPr>
        <w:t xml:space="preserve"> iz Crne Gore u Evropsku asocijaciju nacionalnih organizacija za superviziju (Association of National Organizations for Supervision in Europ</w:t>
      </w:r>
      <w:r w:rsidR="00940897">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 ANSE).</w:t>
      </w:r>
    </w:p>
    <w:p w14:paraId="663D0386" w14:textId="77777777" w:rsidR="00623852" w:rsidRPr="00F96844" w:rsidRDefault="00623852" w:rsidP="00FE626F">
      <w:pPr>
        <w:jc w:val="both"/>
        <w:rPr>
          <w:rFonts w:cs="Arial"/>
          <w:kern w:val="2"/>
          <w:sz w:val="24"/>
          <w:szCs w:val="24"/>
          <w:lang w:val="sr-Latn-ME"/>
          <w14:ligatures w14:val="standardContextual"/>
        </w:rPr>
      </w:pPr>
    </w:p>
    <w:p w14:paraId="4DBD1B66" w14:textId="77777777" w:rsidR="00EA0E39" w:rsidRPr="00F96844" w:rsidRDefault="00EA0E39" w:rsidP="00FE626F">
      <w:pPr>
        <w:jc w:val="both"/>
        <w:rPr>
          <w:rFonts w:eastAsia="Calibri" w:cs="Arial"/>
          <w:sz w:val="24"/>
          <w:szCs w:val="24"/>
          <w:lang w:val="sr-Latn-ME"/>
        </w:rPr>
      </w:pPr>
      <w:r w:rsidRPr="00F96844">
        <w:rPr>
          <w:rFonts w:eastAsia="Calibri" w:cs="Arial"/>
          <w:sz w:val="24"/>
          <w:szCs w:val="24"/>
          <w:lang w:val="sr-Latn-ME"/>
        </w:rPr>
        <w:t xml:space="preserve">Zavod za socijalnu i dječju zaštitu je takođe zadužen za sprovođenje postupka akreditacije programa obuka, licenciranja stručnih </w:t>
      </w:r>
      <w:r w:rsidR="009F661D">
        <w:rPr>
          <w:rFonts w:eastAsia="Calibri" w:cs="Arial"/>
          <w:sz w:val="24"/>
          <w:szCs w:val="24"/>
          <w:lang w:val="sr-Latn-ME"/>
        </w:rPr>
        <w:t>radnika/radnica</w:t>
      </w:r>
      <w:r w:rsidRPr="00F96844">
        <w:rPr>
          <w:rFonts w:eastAsia="Calibri" w:cs="Arial"/>
          <w:sz w:val="24"/>
          <w:szCs w:val="24"/>
          <w:lang w:val="sr-Latn-ME"/>
        </w:rPr>
        <w:t>, organizovanje i sprovođenje edukacija za zaposlene u sistemu socijalne i dječje zaštite, praćenje kvaliteta pružanja usluga, učešće na konferencijama slučaja, stručne konsultacije i dr. Sve navedene aktivnosti su u prethodnih 8 godina bile podložne preispitivanjima i unapređenjima pa su tako done</w:t>
      </w:r>
      <w:r w:rsidR="0008323B">
        <w:rPr>
          <w:rFonts w:eastAsia="Calibri" w:cs="Arial"/>
          <w:sz w:val="24"/>
          <w:szCs w:val="24"/>
          <w:lang w:val="sr-Latn-ME"/>
        </w:rPr>
        <w:t>s</w:t>
      </w:r>
      <w:r w:rsidRPr="00F96844">
        <w:rPr>
          <w:rFonts w:eastAsia="Calibri" w:cs="Arial"/>
          <w:sz w:val="24"/>
          <w:szCs w:val="24"/>
          <w:lang w:val="sr-Latn-ME"/>
        </w:rPr>
        <w:t xml:space="preserve">eni novi pravilnici: o standardima za akreditaciju programa obuke (decembar 2022. godine), o licenciranju stručnih </w:t>
      </w:r>
      <w:r w:rsidR="009F661D">
        <w:rPr>
          <w:rFonts w:eastAsia="Calibri" w:cs="Arial"/>
          <w:sz w:val="24"/>
          <w:szCs w:val="24"/>
          <w:lang w:val="sr-Latn-ME"/>
        </w:rPr>
        <w:t>radnika/radnica</w:t>
      </w:r>
      <w:r w:rsidRPr="00F96844">
        <w:rPr>
          <w:rFonts w:eastAsia="Calibri" w:cs="Arial"/>
          <w:sz w:val="24"/>
          <w:szCs w:val="24"/>
          <w:lang w:val="sr-Latn-ME"/>
        </w:rPr>
        <w:t xml:space="preserve"> (januar 2024. godine).</w:t>
      </w:r>
    </w:p>
    <w:p w14:paraId="6AD0EB39" w14:textId="77777777" w:rsidR="00EA0E39" w:rsidRPr="00F96844" w:rsidRDefault="00EA0E39" w:rsidP="00FE626F">
      <w:pPr>
        <w:jc w:val="both"/>
        <w:rPr>
          <w:rFonts w:eastAsia="Calibri" w:cs="Arial"/>
          <w:sz w:val="24"/>
          <w:szCs w:val="24"/>
          <w:lang w:val="sr-Latn-ME"/>
        </w:rPr>
      </w:pPr>
    </w:p>
    <w:p w14:paraId="6BDCDB5F" w14:textId="77777777" w:rsidR="00EA0E39" w:rsidRPr="00F96844" w:rsidRDefault="00EA0E39" w:rsidP="00FE626F">
      <w:pPr>
        <w:jc w:val="both"/>
        <w:rPr>
          <w:rFonts w:eastAsia="Calibri" w:cs="Arial"/>
          <w:sz w:val="24"/>
          <w:szCs w:val="24"/>
          <w:lang w:val="sr-Latn-ME"/>
        </w:rPr>
      </w:pPr>
      <w:r w:rsidRPr="00F96844">
        <w:rPr>
          <w:rFonts w:eastAsia="Calibri" w:cs="Arial"/>
          <w:sz w:val="24"/>
          <w:szCs w:val="24"/>
          <w:lang w:val="sr-Latn-ME"/>
        </w:rPr>
        <w:lastRenderedPageBreak/>
        <w:t>Izazovi s kojima se Zavod i dalje suočava jes</w:t>
      </w:r>
      <w:r w:rsidR="00DC74CA">
        <w:rPr>
          <w:rFonts w:eastAsia="Calibri" w:cs="Arial"/>
          <w:sz w:val="24"/>
          <w:szCs w:val="24"/>
          <w:lang w:val="sr-Latn-ME"/>
        </w:rPr>
        <w:t>u</w:t>
      </w:r>
      <w:r w:rsidRPr="00F96844">
        <w:rPr>
          <w:rFonts w:eastAsia="Calibri" w:cs="Arial"/>
          <w:sz w:val="24"/>
          <w:szCs w:val="24"/>
          <w:lang w:val="sr-Latn-ME"/>
        </w:rPr>
        <w:t xml:space="preserve"> definisanje obaveznih, osnovnih obuka za stručne </w:t>
      </w:r>
      <w:r w:rsidR="00C178B6">
        <w:rPr>
          <w:rFonts w:eastAsia="Calibri" w:cs="Arial"/>
          <w:sz w:val="24"/>
          <w:szCs w:val="24"/>
          <w:lang w:val="sr-Latn-ME"/>
        </w:rPr>
        <w:t>radnike/radnice</w:t>
      </w:r>
      <w:r w:rsidRPr="00F96844">
        <w:rPr>
          <w:rFonts w:eastAsia="Calibri" w:cs="Arial"/>
          <w:sz w:val="24"/>
          <w:szCs w:val="24"/>
          <w:lang w:val="sr-Latn-ME"/>
        </w:rPr>
        <w:t>, stručne s</w:t>
      </w:r>
      <w:r w:rsidR="00C178B6">
        <w:rPr>
          <w:rFonts w:eastAsia="Calibri" w:cs="Arial"/>
          <w:sz w:val="24"/>
          <w:szCs w:val="24"/>
          <w:lang w:val="sr-Latn-ME"/>
        </w:rPr>
        <w:t>aradnike/saradnice</w:t>
      </w:r>
      <w:r w:rsidRPr="00F96844">
        <w:rPr>
          <w:rFonts w:eastAsia="Calibri" w:cs="Arial"/>
          <w:sz w:val="24"/>
          <w:szCs w:val="24"/>
          <w:lang w:val="sr-Latn-ME"/>
        </w:rPr>
        <w:t xml:space="preserve"> i s</w:t>
      </w:r>
      <w:r w:rsidR="00C178B6">
        <w:rPr>
          <w:rFonts w:eastAsia="Calibri" w:cs="Arial"/>
          <w:sz w:val="24"/>
          <w:szCs w:val="24"/>
          <w:lang w:val="sr-Latn-ME"/>
        </w:rPr>
        <w:t>aradnike/saradnice</w:t>
      </w:r>
      <w:r w:rsidRPr="00F96844">
        <w:rPr>
          <w:rFonts w:eastAsia="Calibri" w:cs="Arial"/>
          <w:sz w:val="24"/>
          <w:szCs w:val="24"/>
          <w:lang w:val="sr-Latn-ME"/>
        </w:rPr>
        <w:t xml:space="preserve"> u odnosu na poslove koju obavljaju. Iako Zakon ne predviđa licenciranje stručnih sa</w:t>
      </w:r>
      <w:r w:rsidR="009F661D">
        <w:rPr>
          <w:rFonts w:eastAsia="Calibri" w:cs="Arial"/>
          <w:sz w:val="24"/>
          <w:szCs w:val="24"/>
          <w:lang w:val="sr-Latn-ME"/>
        </w:rPr>
        <w:t>radnika/</w:t>
      </w:r>
      <w:r w:rsidR="0008323B">
        <w:rPr>
          <w:rFonts w:eastAsia="Calibri" w:cs="Arial"/>
          <w:sz w:val="24"/>
          <w:szCs w:val="24"/>
          <w:lang w:val="sr-Latn-ME"/>
        </w:rPr>
        <w:t>sa</w:t>
      </w:r>
      <w:r w:rsidR="009F661D">
        <w:rPr>
          <w:rFonts w:eastAsia="Calibri" w:cs="Arial"/>
          <w:sz w:val="24"/>
          <w:szCs w:val="24"/>
          <w:lang w:val="sr-Latn-ME"/>
        </w:rPr>
        <w:t>radnica</w:t>
      </w:r>
      <w:r w:rsidRPr="00F96844">
        <w:rPr>
          <w:rFonts w:eastAsia="Calibri" w:cs="Arial"/>
          <w:sz w:val="24"/>
          <w:szCs w:val="24"/>
          <w:lang w:val="sr-Latn-ME"/>
        </w:rPr>
        <w:t xml:space="preserve"> i sa</w:t>
      </w:r>
      <w:r w:rsidR="009F661D">
        <w:rPr>
          <w:rFonts w:eastAsia="Calibri" w:cs="Arial"/>
          <w:sz w:val="24"/>
          <w:szCs w:val="24"/>
          <w:lang w:val="sr-Latn-ME"/>
        </w:rPr>
        <w:t>radnika/</w:t>
      </w:r>
      <w:r w:rsidR="0008323B">
        <w:rPr>
          <w:rFonts w:eastAsia="Calibri" w:cs="Arial"/>
          <w:sz w:val="24"/>
          <w:szCs w:val="24"/>
          <w:lang w:val="sr-Latn-ME"/>
        </w:rPr>
        <w:t>sa</w:t>
      </w:r>
      <w:r w:rsidR="009F661D">
        <w:rPr>
          <w:rFonts w:eastAsia="Calibri" w:cs="Arial"/>
          <w:sz w:val="24"/>
          <w:szCs w:val="24"/>
          <w:lang w:val="sr-Latn-ME"/>
        </w:rPr>
        <w:t>radnica</w:t>
      </w:r>
      <w:r w:rsidRPr="00F96844">
        <w:rPr>
          <w:rFonts w:eastAsia="Calibri" w:cs="Arial"/>
          <w:sz w:val="24"/>
          <w:szCs w:val="24"/>
          <w:lang w:val="sr-Latn-ME"/>
        </w:rPr>
        <w:t>, jasno je da bi i oni trebal</w:t>
      </w:r>
      <w:r w:rsidR="0008323B">
        <w:rPr>
          <w:rFonts w:eastAsia="Calibri" w:cs="Arial"/>
          <w:sz w:val="24"/>
          <w:szCs w:val="24"/>
          <w:lang w:val="sr-Latn-ME"/>
        </w:rPr>
        <w:t>o</w:t>
      </w:r>
      <w:r w:rsidRPr="00F96844">
        <w:rPr>
          <w:rFonts w:eastAsia="Calibri" w:cs="Arial"/>
          <w:sz w:val="24"/>
          <w:szCs w:val="24"/>
          <w:lang w:val="sr-Latn-ME"/>
        </w:rPr>
        <w:t xml:space="preserve"> </w:t>
      </w:r>
      <w:r w:rsidR="0008323B" w:rsidRPr="00F96844">
        <w:rPr>
          <w:rFonts w:eastAsia="Calibri" w:cs="Arial"/>
          <w:sz w:val="24"/>
          <w:szCs w:val="24"/>
          <w:lang w:val="sr-Latn-ME"/>
        </w:rPr>
        <w:t xml:space="preserve">da se </w:t>
      </w:r>
      <w:r w:rsidRPr="00F96844">
        <w:rPr>
          <w:rFonts w:eastAsia="Calibri" w:cs="Arial"/>
          <w:sz w:val="24"/>
          <w:szCs w:val="24"/>
          <w:lang w:val="sr-Latn-ME"/>
        </w:rPr>
        <w:t>stručno usavršavaju, odnosno da za poslove koje obavljaju moraju imati sertifikate o završenim edukacijama. Trenutno stručni</w:t>
      </w:r>
      <w:r w:rsidR="0008323B">
        <w:rPr>
          <w:rFonts w:eastAsia="Calibri" w:cs="Arial"/>
          <w:sz w:val="24"/>
          <w:szCs w:val="24"/>
          <w:lang w:val="sr-Latn-ME"/>
        </w:rPr>
        <w:t xml:space="preserve"> </w:t>
      </w:r>
      <w:r w:rsidRPr="00F96844">
        <w:rPr>
          <w:rFonts w:eastAsia="Calibri" w:cs="Arial"/>
          <w:sz w:val="24"/>
          <w:szCs w:val="24"/>
          <w:lang w:val="sr-Latn-ME"/>
        </w:rPr>
        <w:t>radnici</w:t>
      </w:r>
      <w:r w:rsidR="0008323B">
        <w:rPr>
          <w:rFonts w:eastAsia="Calibri" w:cs="Arial"/>
          <w:sz w:val="24"/>
          <w:szCs w:val="24"/>
          <w:lang w:val="sr-Latn-ME"/>
        </w:rPr>
        <w:t xml:space="preserve"> </w:t>
      </w:r>
      <w:r w:rsidR="00373D84">
        <w:rPr>
          <w:rFonts w:eastAsia="Calibri" w:cs="Arial"/>
          <w:sz w:val="24"/>
          <w:szCs w:val="24"/>
          <w:lang w:val="sr-Latn-ME"/>
        </w:rPr>
        <w:t>/</w:t>
      </w:r>
      <w:r w:rsidR="0008323B">
        <w:rPr>
          <w:rFonts w:eastAsia="Calibri" w:cs="Arial"/>
          <w:sz w:val="24"/>
          <w:szCs w:val="24"/>
          <w:lang w:val="sr-Latn-ME"/>
        </w:rPr>
        <w:t xml:space="preserve"> stručne radnic</w:t>
      </w:r>
      <w:r w:rsidR="00373D84">
        <w:rPr>
          <w:rFonts w:eastAsia="Calibri" w:cs="Arial"/>
          <w:sz w:val="24"/>
          <w:szCs w:val="24"/>
          <w:lang w:val="sr-Latn-ME"/>
        </w:rPr>
        <w:t>e</w:t>
      </w:r>
      <w:r w:rsidRPr="00F96844">
        <w:rPr>
          <w:rFonts w:eastAsia="Calibri" w:cs="Arial"/>
          <w:sz w:val="24"/>
          <w:szCs w:val="24"/>
          <w:lang w:val="sr-Latn-ME"/>
        </w:rPr>
        <w:t xml:space="preserve"> nemaju definisan set obuka koje bi bili u obavezi da pohađaju. Neophodno je sprovesti sveobuhvatnu analizu postojećih akreditovanih programa obuka kako bi se diferencirale osnovne i obavezne obuke u odnosu na napredne i specifične obuke.</w:t>
      </w:r>
    </w:p>
    <w:p w14:paraId="12D8BA7C" w14:textId="77777777" w:rsidR="00F514BB" w:rsidRPr="00F96844" w:rsidRDefault="00F514BB" w:rsidP="00FE626F">
      <w:pPr>
        <w:jc w:val="both"/>
        <w:rPr>
          <w:rFonts w:cs="Arial"/>
          <w:bCs/>
          <w:sz w:val="24"/>
          <w:szCs w:val="24"/>
          <w:lang w:val="sr-Latn-ME"/>
        </w:rPr>
      </w:pPr>
    </w:p>
    <w:p w14:paraId="1F76DAF9" w14:textId="77777777" w:rsidR="00EA0E39" w:rsidRDefault="00F514BB" w:rsidP="00FE626F">
      <w:pPr>
        <w:jc w:val="both"/>
        <w:rPr>
          <w:rFonts w:cs="Arial"/>
          <w:b/>
          <w:sz w:val="24"/>
          <w:szCs w:val="24"/>
          <w:lang w:val="sr-Latn-ME"/>
        </w:rPr>
      </w:pPr>
      <w:r>
        <w:rPr>
          <w:rFonts w:cs="Arial"/>
          <w:b/>
          <w:sz w:val="24"/>
          <w:szCs w:val="24"/>
          <w:lang w:val="sr-Latn-ME"/>
        </w:rPr>
        <w:t>Tabela br.</w:t>
      </w:r>
      <w:r w:rsidR="00B142AA">
        <w:rPr>
          <w:rFonts w:cs="Arial"/>
          <w:b/>
          <w:sz w:val="24"/>
          <w:szCs w:val="24"/>
          <w:lang w:val="sr-Latn-ME"/>
        </w:rPr>
        <w:t xml:space="preserve"> </w:t>
      </w:r>
      <w:r>
        <w:rPr>
          <w:rFonts w:cs="Arial"/>
          <w:b/>
          <w:sz w:val="24"/>
          <w:szCs w:val="24"/>
          <w:lang w:val="sr-Latn-ME"/>
        </w:rPr>
        <w:t xml:space="preserve">8 </w:t>
      </w:r>
      <w:r>
        <w:rPr>
          <w:rFonts w:cs="Arial"/>
          <w:bCs/>
          <w:sz w:val="24"/>
          <w:szCs w:val="24"/>
          <w:lang w:val="sr-Latn-ME"/>
        </w:rPr>
        <w:t>Prikaz broja akreditovanih i realizovanih programa obuke i broja izdatih sertifikata i licenci.</w:t>
      </w:r>
    </w:p>
    <w:p w14:paraId="2DBB5794" w14:textId="77777777" w:rsidR="00F514BB" w:rsidRPr="00F96844" w:rsidRDefault="00F514BB" w:rsidP="00EA0E39">
      <w:pPr>
        <w:jc w:val="both"/>
        <w:rPr>
          <w:rFonts w:cs="Arial"/>
          <w:b/>
          <w:sz w:val="24"/>
          <w:szCs w:val="24"/>
          <w:lang w:val="sr-Latn-ME"/>
        </w:rPr>
      </w:pPr>
    </w:p>
    <w:tbl>
      <w:tblPr>
        <w:tblStyle w:val="GridTable4-Accent1"/>
        <w:tblW w:w="9351" w:type="dxa"/>
        <w:tblLook w:val="04A0" w:firstRow="1" w:lastRow="0" w:firstColumn="1" w:lastColumn="0" w:noHBand="0" w:noVBand="1"/>
      </w:tblPr>
      <w:tblGrid>
        <w:gridCol w:w="4815"/>
        <w:gridCol w:w="4536"/>
      </w:tblGrid>
      <w:tr w:rsidR="00EA0E39" w:rsidRPr="00F96844" w14:paraId="6DCDAC4F" w14:textId="77777777" w:rsidTr="0008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71B896F" w14:textId="77777777" w:rsidR="00EA0E39" w:rsidRPr="00F96844" w:rsidRDefault="00EA0E39" w:rsidP="000840C3">
            <w:pPr>
              <w:jc w:val="center"/>
              <w:rPr>
                <w:rFonts w:cs="Arial"/>
                <w:sz w:val="24"/>
                <w:szCs w:val="24"/>
                <w:lang w:val="sr-Latn-ME"/>
              </w:rPr>
            </w:pPr>
          </w:p>
        </w:tc>
        <w:tc>
          <w:tcPr>
            <w:tcW w:w="4536" w:type="dxa"/>
            <w:vAlign w:val="center"/>
          </w:tcPr>
          <w:p w14:paraId="4674116F" w14:textId="77777777" w:rsidR="00EA0E39" w:rsidRPr="00F96844" w:rsidRDefault="00EA0E39" w:rsidP="000840C3">
            <w:pPr>
              <w:jc w:val="center"/>
              <w:cnfStyle w:val="100000000000" w:firstRow="1" w:lastRow="0" w:firstColumn="0" w:lastColumn="0" w:oddVBand="0" w:evenVBand="0" w:oddHBand="0" w:evenHBand="0" w:firstRowFirstColumn="0" w:firstRowLastColumn="0" w:lastRowFirstColumn="0" w:lastRowLastColumn="0"/>
              <w:rPr>
                <w:rFonts w:cs="Arial"/>
                <w:sz w:val="24"/>
                <w:szCs w:val="24"/>
                <w:lang w:val="sr-Latn-ME"/>
              </w:rPr>
            </w:pPr>
            <w:r w:rsidRPr="00F96844">
              <w:rPr>
                <w:rFonts w:cs="Arial"/>
                <w:sz w:val="24"/>
                <w:szCs w:val="24"/>
                <w:lang w:val="sr-Latn-ME"/>
              </w:rPr>
              <w:t>Ukupno</w:t>
            </w:r>
          </w:p>
        </w:tc>
      </w:tr>
      <w:tr w:rsidR="00EA0E39" w:rsidRPr="00F96844" w14:paraId="177D81F0" w14:textId="77777777" w:rsidTr="0008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6583C80" w14:textId="77777777"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akreditovanih programa obuke</w:t>
            </w:r>
          </w:p>
        </w:tc>
        <w:tc>
          <w:tcPr>
            <w:tcW w:w="4536" w:type="dxa"/>
            <w:vAlign w:val="center"/>
          </w:tcPr>
          <w:p w14:paraId="0215C043" w14:textId="77777777" w:rsidR="00EA0E39" w:rsidRPr="00FE626F" w:rsidRDefault="00EA0E39" w:rsidP="000840C3">
            <w:pPr>
              <w:jc w:val="center"/>
              <w:cnfStyle w:val="000000100000" w:firstRow="0" w:lastRow="0" w:firstColumn="0" w:lastColumn="0" w:oddVBand="0" w:evenVBand="0" w:oddHBand="1" w:evenHBand="0" w:firstRowFirstColumn="0" w:firstRowLastColumn="0" w:lastRowFirstColumn="0" w:lastRowLastColumn="0"/>
              <w:rPr>
                <w:rFonts w:cs="Arial"/>
                <w:b/>
                <w:lang w:val="sr-Latn-ME"/>
              </w:rPr>
            </w:pPr>
            <w:r w:rsidRPr="00FE626F">
              <w:rPr>
                <w:rFonts w:cs="Arial"/>
                <w:b/>
                <w:lang w:val="sr-Latn-ME"/>
              </w:rPr>
              <w:t>132</w:t>
            </w:r>
          </w:p>
        </w:tc>
      </w:tr>
      <w:tr w:rsidR="00EA0E39" w:rsidRPr="00F96844" w14:paraId="0E06AC22" w14:textId="77777777" w:rsidTr="000840C3">
        <w:tc>
          <w:tcPr>
            <w:cnfStyle w:val="001000000000" w:firstRow="0" w:lastRow="0" w:firstColumn="1" w:lastColumn="0" w:oddVBand="0" w:evenVBand="0" w:oddHBand="0" w:evenHBand="0" w:firstRowFirstColumn="0" w:firstRowLastColumn="0" w:lastRowFirstColumn="0" w:lastRowLastColumn="0"/>
            <w:tcW w:w="4815" w:type="dxa"/>
            <w:vAlign w:val="center"/>
          </w:tcPr>
          <w:p w14:paraId="44EEA57D" w14:textId="77777777"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realizovanih akreditovanih programa obuke</w:t>
            </w:r>
          </w:p>
        </w:tc>
        <w:tc>
          <w:tcPr>
            <w:tcW w:w="4536" w:type="dxa"/>
            <w:vAlign w:val="center"/>
          </w:tcPr>
          <w:p w14:paraId="124F79F7" w14:textId="77777777" w:rsidR="00EA0E39" w:rsidRPr="00FE626F" w:rsidRDefault="00EA0E39" w:rsidP="000840C3">
            <w:pPr>
              <w:jc w:val="center"/>
              <w:cnfStyle w:val="000000000000" w:firstRow="0" w:lastRow="0" w:firstColumn="0" w:lastColumn="0" w:oddVBand="0" w:evenVBand="0" w:oddHBand="0" w:evenHBand="0" w:firstRowFirstColumn="0" w:firstRowLastColumn="0" w:lastRowFirstColumn="0" w:lastRowLastColumn="0"/>
              <w:rPr>
                <w:rFonts w:cs="Arial"/>
                <w:b/>
                <w:lang w:val="sr-Latn-ME"/>
              </w:rPr>
            </w:pPr>
            <w:r w:rsidRPr="00FE626F">
              <w:rPr>
                <w:rFonts w:cs="Arial"/>
                <w:b/>
                <w:lang w:val="sr-Latn-ME"/>
              </w:rPr>
              <w:t>250</w:t>
            </w:r>
          </w:p>
        </w:tc>
      </w:tr>
      <w:tr w:rsidR="00EA0E39" w:rsidRPr="00F96844" w14:paraId="3B3AB06F" w14:textId="77777777" w:rsidTr="0008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31065F0E" w14:textId="77777777"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izdatih sertifikata</w:t>
            </w:r>
          </w:p>
        </w:tc>
        <w:tc>
          <w:tcPr>
            <w:tcW w:w="4536" w:type="dxa"/>
            <w:vAlign w:val="center"/>
          </w:tcPr>
          <w:p w14:paraId="5C797998" w14:textId="77777777" w:rsidR="00EA0E39" w:rsidRPr="00FE626F" w:rsidRDefault="00EA0E39" w:rsidP="000840C3">
            <w:pPr>
              <w:jc w:val="center"/>
              <w:cnfStyle w:val="000000100000" w:firstRow="0" w:lastRow="0" w:firstColumn="0" w:lastColumn="0" w:oddVBand="0" w:evenVBand="0" w:oddHBand="1" w:evenHBand="0" w:firstRowFirstColumn="0" w:firstRowLastColumn="0" w:lastRowFirstColumn="0" w:lastRowLastColumn="0"/>
              <w:rPr>
                <w:rFonts w:cs="Arial"/>
                <w:b/>
                <w:lang w:val="sr-Latn-ME"/>
              </w:rPr>
            </w:pPr>
            <w:r w:rsidRPr="00FE626F">
              <w:rPr>
                <w:rFonts w:cs="Arial"/>
                <w:b/>
                <w:lang w:val="sr-Latn-ME"/>
              </w:rPr>
              <w:t>preko 5000</w:t>
            </w:r>
          </w:p>
        </w:tc>
      </w:tr>
      <w:tr w:rsidR="00EA0E39" w:rsidRPr="00F96844" w14:paraId="2ED92945" w14:textId="77777777" w:rsidTr="000840C3">
        <w:tc>
          <w:tcPr>
            <w:cnfStyle w:val="001000000000" w:firstRow="0" w:lastRow="0" w:firstColumn="1" w:lastColumn="0" w:oddVBand="0" w:evenVBand="0" w:oddHBand="0" w:evenHBand="0" w:firstRowFirstColumn="0" w:firstRowLastColumn="0" w:lastRowFirstColumn="0" w:lastRowLastColumn="0"/>
            <w:tcW w:w="4815" w:type="dxa"/>
            <w:vAlign w:val="center"/>
          </w:tcPr>
          <w:p w14:paraId="558F6199" w14:textId="77777777"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izdatih licenci</w:t>
            </w:r>
          </w:p>
        </w:tc>
        <w:tc>
          <w:tcPr>
            <w:tcW w:w="4536" w:type="dxa"/>
            <w:vAlign w:val="center"/>
          </w:tcPr>
          <w:p w14:paraId="78A00B29" w14:textId="77777777" w:rsidR="00EA0E39" w:rsidRPr="00FE626F" w:rsidRDefault="00EA0E39" w:rsidP="000840C3">
            <w:pPr>
              <w:jc w:val="center"/>
              <w:cnfStyle w:val="000000000000" w:firstRow="0" w:lastRow="0" w:firstColumn="0" w:lastColumn="0" w:oddVBand="0" w:evenVBand="0" w:oddHBand="0" w:evenHBand="0" w:firstRowFirstColumn="0" w:firstRowLastColumn="0" w:lastRowFirstColumn="0" w:lastRowLastColumn="0"/>
              <w:rPr>
                <w:rFonts w:cs="Arial"/>
                <w:b/>
                <w:lang w:val="sr-Latn-ME"/>
              </w:rPr>
            </w:pPr>
            <w:r w:rsidRPr="00FE626F">
              <w:rPr>
                <w:rFonts w:cs="Arial"/>
                <w:b/>
                <w:lang w:val="sr-Latn-ME"/>
              </w:rPr>
              <w:t>871</w:t>
            </w:r>
          </w:p>
        </w:tc>
      </w:tr>
    </w:tbl>
    <w:p w14:paraId="5C10FBD4" w14:textId="77777777" w:rsidR="00EA0E39" w:rsidRPr="00F96844" w:rsidRDefault="00EA0E39" w:rsidP="00EA0E39">
      <w:pPr>
        <w:jc w:val="both"/>
        <w:rPr>
          <w:rFonts w:cs="Arial"/>
          <w:b/>
          <w:sz w:val="24"/>
          <w:szCs w:val="24"/>
          <w:lang w:val="sr-Latn-ME"/>
        </w:rPr>
      </w:pPr>
    </w:p>
    <w:p w14:paraId="1299E3F6" w14:textId="77777777" w:rsidR="00623852" w:rsidRPr="00F96844" w:rsidRDefault="00623852" w:rsidP="00623852">
      <w:pPr>
        <w:jc w:val="both"/>
        <w:rPr>
          <w:rFonts w:cs="Arial"/>
          <w:kern w:val="2"/>
          <w:sz w:val="24"/>
          <w:szCs w:val="24"/>
          <w:lang w:val="sr-Latn-ME"/>
          <w14:ligatures w14:val="standardContextual"/>
        </w:rPr>
      </w:pPr>
    </w:p>
    <w:p w14:paraId="34CB1615" w14:textId="77777777" w:rsidR="00623852" w:rsidRPr="00F96844" w:rsidRDefault="00623852" w:rsidP="00FE626F">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 xml:space="preserve">U Zavodu za socijalnu i dječju zaštitu vodi se interna evidencija podataka za licencirane stručne </w:t>
      </w:r>
      <w:r w:rsidR="00C178B6">
        <w:rPr>
          <w:rFonts w:cs="Arial"/>
          <w:kern w:val="2"/>
          <w:sz w:val="24"/>
          <w:szCs w:val="24"/>
          <w:lang w:val="sr-Latn-ME"/>
          <w14:ligatures w14:val="standardContextual"/>
        </w:rPr>
        <w:t>radnike/radnice</w:t>
      </w:r>
      <w:r w:rsidRPr="00F96844">
        <w:rPr>
          <w:rFonts w:cs="Arial"/>
          <w:kern w:val="2"/>
          <w:sz w:val="24"/>
          <w:szCs w:val="24"/>
          <w:lang w:val="sr-Latn-ME"/>
          <w14:ligatures w14:val="standardContextual"/>
        </w:rPr>
        <w:t xml:space="preserve"> po vrsti licence, kao i evidencije akreditovanih i realizovanih programa obuka. </w:t>
      </w:r>
    </w:p>
    <w:p w14:paraId="6E1AE291" w14:textId="77777777" w:rsidR="00623852" w:rsidRPr="00F96844" w:rsidRDefault="00623852" w:rsidP="00623852">
      <w:pPr>
        <w:jc w:val="both"/>
        <w:rPr>
          <w:rFonts w:cs="Arial"/>
          <w:kern w:val="2"/>
          <w:sz w:val="24"/>
          <w:szCs w:val="24"/>
          <w:lang w:val="sr-Latn-ME"/>
          <w14:ligatures w14:val="standardContextual"/>
        </w:rPr>
      </w:pPr>
    </w:p>
    <w:p w14:paraId="1872C4B2" w14:textId="77777777" w:rsidR="00623852" w:rsidRPr="00F96844" w:rsidRDefault="00623852" w:rsidP="00623852">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Problemi u vezi</w:t>
      </w:r>
      <w:r w:rsidR="004C5D23">
        <w:rPr>
          <w:rFonts w:cs="Arial"/>
          <w:kern w:val="2"/>
          <w:sz w:val="24"/>
          <w:szCs w:val="24"/>
          <w:lang w:val="sr-Latn-ME"/>
          <w14:ligatures w14:val="standardContextual"/>
        </w:rPr>
        <w:t xml:space="preserve"> s r</w:t>
      </w:r>
      <w:r w:rsidRPr="00F96844">
        <w:rPr>
          <w:rFonts w:cs="Arial"/>
          <w:kern w:val="2"/>
          <w:sz w:val="24"/>
          <w:szCs w:val="24"/>
          <w:lang w:val="sr-Latn-ME"/>
          <w14:ligatures w14:val="standardContextual"/>
        </w:rPr>
        <w:t>adom Zavoda su: nedostatak kadra, manjak broj supervizora</w:t>
      </w:r>
      <w:r w:rsidR="00373D84">
        <w:rPr>
          <w:rFonts w:cs="Arial"/>
          <w:kern w:val="2"/>
          <w:sz w:val="24"/>
          <w:szCs w:val="24"/>
          <w:lang w:val="sr-Latn-ME"/>
          <w14:ligatures w14:val="standardContextual"/>
        </w:rPr>
        <w:t>/</w:t>
      </w:r>
      <w:r w:rsidR="0008323B">
        <w:rPr>
          <w:rFonts w:cs="Arial"/>
          <w:kern w:val="2"/>
          <w:sz w:val="24"/>
          <w:szCs w:val="24"/>
          <w:lang w:val="sr-Latn-ME"/>
          <w14:ligatures w14:val="standardContextual"/>
        </w:rPr>
        <w:t>supervizor</w:t>
      </w:r>
      <w:r w:rsidR="00373D84">
        <w:rPr>
          <w:rFonts w:cs="Arial"/>
          <w:kern w:val="2"/>
          <w:sz w:val="24"/>
          <w:szCs w:val="24"/>
          <w:lang w:val="sr-Latn-ME"/>
          <w14:ligatures w14:val="standardContextual"/>
        </w:rPr>
        <w:t>ki</w:t>
      </w:r>
      <w:r w:rsidRPr="00F96844">
        <w:rPr>
          <w:rFonts w:cs="Arial"/>
          <w:kern w:val="2"/>
          <w:sz w:val="24"/>
          <w:szCs w:val="24"/>
          <w:lang w:val="sr-Latn-ME"/>
          <w14:ligatures w14:val="standardContextual"/>
        </w:rPr>
        <w:t>, obuke nisu razdvojene na osnovne i napredne obuke, pa stručni</w:t>
      </w:r>
      <w:r w:rsidR="0008323B">
        <w:rPr>
          <w:rFonts w:cs="Arial"/>
          <w:kern w:val="2"/>
          <w:sz w:val="24"/>
          <w:szCs w:val="24"/>
          <w:lang w:val="sr-Latn-ME"/>
          <w14:ligatures w14:val="standardContextual"/>
        </w:rPr>
        <w:t xml:space="preserve"> </w:t>
      </w:r>
      <w:r w:rsidRPr="00F96844">
        <w:rPr>
          <w:rFonts w:cs="Arial"/>
          <w:kern w:val="2"/>
          <w:sz w:val="24"/>
          <w:szCs w:val="24"/>
          <w:lang w:val="sr-Latn-ME"/>
          <w14:ligatures w14:val="standardContextual"/>
        </w:rPr>
        <w:t>radnici</w:t>
      </w:r>
      <w:r w:rsidR="0008323B">
        <w:rPr>
          <w:rFonts w:cs="Arial"/>
          <w:kern w:val="2"/>
          <w:sz w:val="24"/>
          <w:szCs w:val="24"/>
          <w:lang w:val="sr-Latn-ME"/>
          <w14:ligatures w14:val="standardContextual"/>
        </w:rPr>
        <w:t xml:space="preserve"> </w:t>
      </w:r>
      <w:r w:rsidR="00373D84">
        <w:rPr>
          <w:rFonts w:cs="Arial"/>
          <w:kern w:val="2"/>
          <w:sz w:val="24"/>
          <w:szCs w:val="24"/>
          <w:lang w:val="sr-Latn-ME"/>
          <w14:ligatures w14:val="standardContextual"/>
        </w:rPr>
        <w:t>/</w:t>
      </w:r>
      <w:r w:rsidR="0008323B">
        <w:rPr>
          <w:rFonts w:cs="Arial"/>
          <w:kern w:val="2"/>
          <w:sz w:val="24"/>
          <w:szCs w:val="24"/>
          <w:lang w:val="sr-Latn-ME"/>
          <w14:ligatures w14:val="standardContextual"/>
        </w:rPr>
        <w:t xml:space="preserve"> stručne radnic</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pohađaju obuke shodno svojim željama, a ne uvijek potrebama opisa i vrste posla koji obavljaju, ne postoji definisan set obuka koji su stručn</w:t>
      </w:r>
      <w:r w:rsidR="00373D84">
        <w:rPr>
          <w:rFonts w:cs="Arial"/>
          <w:kern w:val="2"/>
          <w:sz w:val="24"/>
          <w:szCs w:val="24"/>
          <w:lang w:val="sr-Latn-ME"/>
          <w14:ligatures w14:val="standardContextual"/>
        </w:rPr>
        <w:t>i</w:t>
      </w:r>
      <w:r w:rsidRPr="00F96844">
        <w:rPr>
          <w:rFonts w:cs="Arial"/>
          <w:kern w:val="2"/>
          <w:sz w:val="24"/>
          <w:szCs w:val="24"/>
          <w:lang w:val="sr-Latn-ME"/>
          <w14:ligatures w14:val="standardContextual"/>
        </w:rPr>
        <w:t xml:space="preserve"> radnici</w:t>
      </w:r>
      <w:r w:rsidR="0008323B">
        <w:rPr>
          <w:rFonts w:cs="Arial"/>
          <w:kern w:val="2"/>
          <w:sz w:val="24"/>
          <w:szCs w:val="24"/>
          <w:lang w:val="sr-Latn-ME"/>
          <w14:ligatures w14:val="standardContextual"/>
        </w:rPr>
        <w:t xml:space="preserve"> </w:t>
      </w:r>
      <w:r w:rsidR="00373D84">
        <w:rPr>
          <w:rFonts w:cs="Arial"/>
          <w:kern w:val="2"/>
          <w:sz w:val="24"/>
          <w:szCs w:val="24"/>
          <w:lang w:val="sr-Latn-ME"/>
          <w14:ligatures w14:val="standardContextual"/>
        </w:rPr>
        <w:t>/</w:t>
      </w:r>
      <w:r w:rsidR="0008323B">
        <w:rPr>
          <w:rFonts w:cs="Arial"/>
          <w:kern w:val="2"/>
          <w:sz w:val="24"/>
          <w:szCs w:val="24"/>
          <w:lang w:val="sr-Latn-ME"/>
          <w14:ligatures w14:val="standardContextual"/>
        </w:rPr>
        <w:t xml:space="preserve"> stručne radnic</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u obavezi da pohađaju, ne postoji posebno odjeljenje koje bi se bavilo isključivo analitičko-istraživačkim poslovima...</w:t>
      </w:r>
    </w:p>
    <w:p w14:paraId="05F0A96C" w14:textId="77777777" w:rsidR="00555742" w:rsidRPr="00F96844" w:rsidRDefault="00555742" w:rsidP="00623852">
      <w:pPr>
        <w:jc w:val="both"/>
        <w:rPr>
          <w:rFonts w:cs="Arial"/>
          <w:kern w:val="2"/>
          <w:sz w:val="24"/>
          <w:szCs w:val="24"/>
          <w:lang w:val="sr-Latn-ME"/>
          <w14:ligatures w14:val="standardContextual"/>
        </w:rPr>
      </w:pPr>
    </w:p>
    <w:p w14:paraId="7CA05605" w14:textId="77777777" w:rsidR="00555742" w:rsidRPr="00F96844" w:rsidRDefault="00555742" w:rsidP="00555742">
      <w:pPr>
        <w:jc w:val="both"/>
        <w:rPr>
          <w:rFonts w:cs="Arial"/>
          <w:sz w:val="24"/>
          <w:szCs w:val="24"/>
          <w:lang w:val="sr-Latn-ME"/>
        </w:rPr>
      </w:pPr>
      <w:r w:rsidRPr="00F96844">
        <w:rPr>
          <w:rFonts w:cs="Arial"/>
          <w:sz w:val="24"/>
          <w:szCs w:val="24"/>
          <w:lang w:val="sr-Latn-ME"/>
        </w:rPr>
        <w:t xml:space="preserve">Kvalitet procesa </w:t>
      </w:r>
      <w:r w:rsidRPr="00F77397">
        <w:rPr>
          <w:rFonts w:cs="Arial"/>
          <w:bCs/>
          <w:sz w:val="24"/>
          <w:szCs w:val="24"/>
          <w:lang w:val="sr-Latn-ME"/>
        </w:rPr>
        <w:t>licenciranja pružalaca usluga</w:t>
      </w:r>
      <w:r w:rsidRPr="00F96844">
        <w:rPr>
          <w:rFonts w:cs="Arial"/>
          <w:b/>
          <w:sz w:val="24"/>
          <w:szCs w:val="24"/>
          <w:lang w:val="sr-Latn-ME"/>
        </w:rPr>
        <w:t>,</w:t>
      </w:r>
      <w:r w:rsidRPr="00F96844">
        <w:rPr>
          <w:rFonts w:cs="Arial"/>
          <w:sz w:val="24"/>
          <w:szCs w:val="24"/>
          <w:lang w:val="sr-Latn-ME"/>
        </w:rPr>
        <w:t xml:space="preserve"> monitoringa i evaluacije su značajni preduslovi za unapređenje socijalne i dječje zaštite. Licenciranje pružalaca usluga treba da se unaprijedi s obzirom</w:t>
      </w:r>
      <w:r w:rsidR="0008323B">
        <w:rPr>
          <w:rFonts w:cs="Arial"/>
          <w:sz w:val="24"/>
          <w:szCs w:val="24"/>
          <w:lang w:val="sr-Latn-ME"/>
        </w:rPr>
        <w:t xml:space="preserve"> na to</w:t>
      </w:r>
      <w:r w:rsidRPr="00F96844">
        <w:rPr>
          <w:rFonts w:cs="Arial"/>
          <w:sz w:val="24"/>
          <w:szCs w:val="24"/>
          <w:lang w:val="sr-Latn-ME"/>
        </w:rPr>
        <w:t xml:space="preserve"> da zajedno s licenciranjem stručnih </w:t>
      </w:r>
      <w:r w:rsidR="009F661D">
        <w:rPr>
          <w:rFonts w:cs="Arial"/>
          <w:sz w:val="24"/>
          <w:szCs w:val="24"/>
          <w:lang w:val="sr-Latn-ME"/>
        </w:rPr>
        <w:t>radnika/radnica</w:t>
      </w:r>
      <w:r w:rsidRPr="00F96844">
        <w:rPr>
          <w:rFonts w:cs="Arial"/>
          <w:sz w:val="24"/>
          <w:szCs w:val="24"/>
          <w:lang w:val="sr-Latn-ME"/>
        </w:rPr>
        <w:t xml:space="preserve"> i akreditacijom programa obuke, predstavlja okvir za obezbjeđenje kvaliteta usluga SDZ. Analize ukazuju da standardi pojedinih usluga nijesu dovoljno jasno definisani što otežava licenciranje, kao i da treba da se dodatno preciziraju propisi, posebno u dijelu suspenzije i oduzimanje licence pružaocima usluga.</w:t>
      </w:r>
      <w:r w:rsidRPr="00F96844">
        <w:rPr>
          <w:rFonts w:cs="Arial"/>
          <w:sz w:val="24"/>
          <w:szCs w:val="24"/>
          <w:vertAlign w:val="superscript"/>
          <w:lang w:val="sr-Latn-ME"/>
        </w:rPr>
        <w:footnoteReference w:id="117"/>
      </w:r>
      <w:r w:rsidRPr="00F96844">
        <w:rPr>
          <w:rFonts w:cs="Arial"/>
          <w:sz w:val="24"/>
          <w:szCs w:val="24"/>
          <w:lang w:val="sr-Latn-ME"/>
        </w:rPr>
        <w:t xml:space="preserve"> </w:t>
      </w:r>
    </w:p>
    <w:p w14:paraId="2E10EA17" w14:textId="77777777" w:rsidR="00555742" w:rsidRPr="00F96844" w:rsidRDefault="00555742" w:rsidP="00555742">
      <w:pPr>
        <w:jc w:val="both"/>
        <w:rPr>
          <w:rFonts w:cs="Arial"/>
          <w:sz w:val="24"/>
          <w:szCs w:val="24"/>
          <w:lang w:val="sr-Latn-ME"/>
        </w:rPr>
      </w:pPr>
    </w:p>
    <w:p w14:paraId="59F139F6" w14:textId="77777777" w:rsidR="00555742" w:rsidRPr="00F96844" w:rsidRDefault="00555742" w:rsidP="00555742">
      <w:pPr>
        <w:jc w:val="both"/>
        <w:rPr>
          <w:rFonts w:cs="Arial"/>
          <w:sz w:val="24"/>
          <w:szCs w:val="24"/>
          <w:lang w:val="sr-Latn-ME"/>
        </w:rPr>
      </w:pPr>
      <w:r w:rsidRPr="00F96844">
        <w:rPr>
          <w:rFonts w:cs="Arial"/>
          <w:sz w:val="24"/>
          <w:szCs w:val="24"/>
          <w:lang w:val="sr-Latn-ME"/>
        </w:rPr>
        <w:t>Minimalni standardi koji su nužno povezani</w:t>
      </w:r>
      <w:r w:rsidR="00867803">
        <w:rPr>
          <w:rFonts w:cs="Arial"/>
          <w:sz w:val="24"/>
          <w:szCs w:val="24"/>
          <w:lang w:val="sr-Latn-ME"/>
        </w:rPr>
        <w:t xml:space="preserve"> s i</w:t>
      </w:r>
      <w:r w:rsidRPr="00F96844">
        <w:rPr>
          <w:rFonts w:cs="Arial"/>
          <w:sz w:val="24"/>
          <w:szCs w:val="24"/>
          <w:lang w:val="sr-Latn-ME"/>
        </w:rPr>
        <w:t>spunjavanjem uslova za dobijanje licence treba da se dodatno preispitaju. Njihovo unapređenje bi unapr</w:t>
      </w:r>
      <w:r w:rsidR="0008323B">
        <w:rPr>
          <w:rFonts w:cs="Arial"/>
          <w:sz w:val="24"/>
          <w:szCs w:val="24"/>
          <w:lang w:val="sr-Latn-ME"/>
        </w:rPr>
        <w:t>ij</w:t>
      </w:r>
      <w:r w:rsidRPr="00F96844">
        <w:rPr>
          <w:rFonts w:cs="Arial"/>
          <w:sz w:val="24"/>
          <w:szCs w:val="24"/>
          <w:lang w:val="sr-Latn-ME"/>
        </w:rPr>
        <w:t>edilo i proces dobijanja, suspenzije i oduziman</w:t>
      </w:r>
      <w:r w:rsidR="0008323B">
        <w:rPr>
          <w:rFonts w:cs="Arial"/>
          <w:sz w:val="24"/>
          <w:szCs w:val="24"/>
          <w:lang w:val="sr-Latn-ME"/>
        </w:rPr>
        <w:t>ja</w:t>
      </w:r>
      <w:r w:rsidRPr="00F96844">
        <w:rPr>
          <w:rFonts w:cs="Arial"/>
          <w:sz w:val="24"/>
          <w:szCs w:val="24"/>
          <w:lang w:val="sr-Latn-ME"/>
        </w:rPr>
        <w:t xml:space="preserve"> licence pružaocima usluga.</w:t>
      </w:r>
      <w:r w:rsidRPr="00F96844">
        <w:rPr>
          <w:rFonts w:cs="Arial"/>
          <w:sz w:val="24"/>
          <w:szCs w:val="24"/>
          <w:vertAlign w:val="superscript"/>
          <w:lang w:val="sr-Latn-ME"/>
        </w:rPr>
        <w:footnoteReference w:id="118"/>
      </w:r>
      <w:r w:rsidRPr="00F96844">
        <w:rPr>
          <w:rFonts w:cs="Arial"/>
          <w:sz w:val="24"/>
          <w:szCs w:val="24"/>
          <w:lang w:val="sr-Latn-ME"/>
        </w:rPr>
        <w:t xml:space="preserve"> Eventualno snižavanje minimalnih </w:t>
      </w:r>
      <w:r w:rsidRPr="00F96844">
        <w:rPr>
          <w:rFonts w:cs="Arial"/>
          <w:sz w:val="24"/>
          <w:szCs w:val="24"/>
          <w:lang w:val="sr-Latn-ME"/>
        </w:rPr>
        <w:lastRenderedPageBreak/>
        <w:t>standarda moglo bi da se odrazi na kvalitet usluga, a treba imati u vidu i da se formiranje cijene usluga u Crnoj Gori zasniva na minimalnim standardima, te da bi njihovo snižavanje dovelo do smanjenja cijena.</w:t>
      </w:r>
    </w:p>
    <w:p w14:paraId="164988C2" w14:textId="77777777" w:rsidR="00EA0E39" w:rsidRPr="00F96844" w:rsidRDefault="00EA0E39" w:rsidP="00555742">
      <w:pPr>
        <w:jc w:val="both"/>
        <w:rPr>
          <w:rFonts w:cs="Arial"/>
          <w:sz w:val="24"/>
          <w:szCs w:val="24"/>
          <w:lang w:val="sr-Latn-ME"/>
        </w:rPr>
      </w:pPr>
    </w:p>
    <w:p w14:paraId="1E102DA8" w14:textId="57E510C6" w:rsidR="00555742" w:rsidRPr="00F96844" w:rsidRDefault="00555742" w:rsidP="00555742">
      <w:pPr>
        <w:jc w:val="both"/>
        <w:rPr>
          <w:rFonts w:cs="Arial"/>
          <w:sz w:val="24"/>
          <w:szCs w:val="24"/>
          <w:lang w:val="sr-Latn-ME"/>
        </w:rPr>
      </w:pPr>
      <w:r w:rsidRPr="00F96844">
        <w:rPr>
          <w:rFonts w:cs="Arial"/>
          <w:sz w:val="24"/>
          <w:szCs w:val="24"/>
          <w:lang w:val="sr-Latn-ME"/>
        </w:rPr>
        <w:t>Mehanizmi kontrole, monitoringa i evaluacije nisu razvijeni u skladu sa striktnim uslovima licenciranja.</w:t>
      </w:r>
      <w:r w:rsidRPr="00F96844">
        <w:rPr>
          <w:rFonts w:cs="Arial"/>
          <w:sz w:val="24"/>
          <w:szCs w:val="24"/>
          <w:vertAlign w:val="superscript"/>
          <w:lang w:val="sr-Latn-ME"/>
        </w:rPr>
        <w:footnoteReference w:id="119"/>
      </w:r>
      <w:r w:rsidRPr="00F96844">
        <w:rPr>
          <w:rFonts w:cs="Arial"/>
          <w:sz w:val="24"/>
          <w:szCs w:val="24"/>
          <w:lang w:val="sr-Latn-ME"/>
        </w:rPr>
        <w:t xml:space="preserve"> Pojedine analize upućuju na potrebu da se utvrde jasne odgovornosti za ove funkc</w:t>
      </w:r>
      <w:r w:rsidR="00422BC1">
        <w:rPr>
          <w:rFonts w:cs="Arial"/>
          <w:sz w:val="24"/>
          <w:szCs w:val="24"/>
          <w:lang w:val="sr-Latn-ME"/>
        </w:rPr>
        <w:t xml:space="preserve">ije i da se osnaže </w:t>
      </w:r>
      <w:r w:rsidR="00422BC1" w:rsidRPr="00736811">
        <w:rPr>
          <w:rFonts w:cs="Arial"/>
          <w:sz w:val="24"/>
          <w:szCs w:val="24"/>
          <w:lang w:val="sr-Latn-ME"/>
        </w:rPr>
        <w:t>kapaciteti M</w:t>
      </w:r>
      <w:r w:rsidRPr="00736811">
        <w:rPr>
          <w:rFonts w:cs="Arial"/>
          <w:sz w:val="24"/>
          <w:szCs w:val="24"/>
          <w:lang w:val="sr-Latn-ME"/>
        </w:rPr>
        <w:t>SS</w:t>
      </w:r>
      <w:r w:rsidR="00B33911" w:rsidRPr="00736811">
        <w:rPr>
          <w:rFonts w:cs="Arial"/>
          <w:sz w:val="24"/>
          <w:szCs w:val="24"/>
          <w:lang w:val="sr-Latn-ME"/>
        </w:rPr>
        <w:t>D</w:t>
      </w:r>
      <w:r w:rsidRPr="00736811">
        <w:rPr>
          <w:rFonts w:cs="Arial"/>
          <w:sz w:val="24"/>
          <w:szCs w:val="24"/>
          <w:lang w:val="sr-Latn-ME"/>
        </w:rPr>
        <w:t>, uključujući i inspekcijske službe, kako bi se osiguralo obezbjeđivanje kvaliteta u sistemu socijalne</w:t>
      </w:r>
      <w:r w:rsidRPr="00F96844">
        <w:rPr>
          <w:rFonts w:cs="Arial"/>
          <w:sz w:val="24"/>
          <w:szCs w:val="24"/>
          <w:lang w:val="sr-Latn-ME"/>
        </w:rPr>
        <w:t xml:space="preserve"> i dječje zaštite.</w:t>
      </w:r>
      <w:r w:rsidRPr="00F96844">
        <w:rPr>
          <w:rFonts w:cs="Arial"/>
          <w:sz w:val="24"/>
          <w:szCs w:val="24"/>
          <w:vertAlign w:val="superscript"/>
          <w:lang w:val="sr-Latn-ME"/>
        </w:rPr>
        <w:footnoteReference w:id="120"/>
      </w:r>
      <w:r w:rsidRPr="00F96844">
        <w:rPr>
          <w:rFonts w:cs="Arial"/>
          <w:sz w:val="24"/>
          <w:szCs w:val="24"/>
          <w:lang w:val="sr-Latn-ME"/>
        </w:rPr>
        <w:t xml:space="preserve"> </w:t>
      </w:r>
    </w:p>
    <w:p w14:paraId="6DB43BD4" w14:textId="77777777" w:rsidR="00555742" w:rsidRPr="00F96844" w:rsidRDefault="00555742" w:rsidP="00555742">
      <w:pPr>
        <w:jc w:val="both"/>
        <w:rPr>
          <w:rFonts w:cs="Arial"/>
          <w:b/>
          <w:sz w:val="24"/>
          <w:szCs w:val="24"/>
          <w:lang w:val="sr-Latn-ME"/>
        </w:rPr>
      </w:pPr>
    </w:p>
    <w:p w14:paraId="36681DE4" w14:textId="77777777" w:rsidR="00EA0E39" w:rsidRPr="00F96844" w:rsidRDefault="00B325D3" w:rsidP="00B325D3">
      <w:pPr>
        <w:jc w:val="both"/>
        <w:rPr>
          <w:sz w:val="24"/>
          <w:szCs w:val="24"/>
          <w:lang w:val="sr-Latn-ME"/>
        </w:rPr>
      </w:pPr>
      <w:r w:rsidRPr="00F96844">
        <w:rPr>
          <w:sz w:val="24"/>
          <w:szCs w:val="24"/>
          <w:lang w:val="sr-Latn-ME"/>
        </w:rPr>
        <w:t>U sistemu socijalne i d</w:t>
      </w:r>
      <w:r w:rsidR="00EB2F1D">
        <w:rPr>
          <w:sz w:val="24"/>
          <w:szCs w:val="24"/>
          <w:lang w:val="sr-Latn-ME"/>
        </w:rPr>
        <w:t>ječj</w:t>
      </w:r>
      <w:r w:rsidRPr="00F96844">
        <w:rPr>
          <w:sz w:val="24"/>
          <w:szCs w:val="24"/>
          <w:lang w:val="sr-Latn-ME"/>
        </w:rPr>
        <w:t>e zaštite n</w:t>
      </w:r>
      <w:r w:rsidR="00801AD6" w:rsidRPr="00F96844">
        <w:rPr>
          <w:sz w:val="24"/>
          <w:szCs w:val="24"/>
          <w:lang w:val="sr-Latn-ME"/>
        </w:rPr>
        <w:t xml:space="preserve">edostaje </w:t>
      </w:r>
      <w:r w:rsidR="00EA0E39" w:rsidRPr="00F96844">
        <w:rPr>
          <w:rFonts w:cs="Arial"/>
          <w:b/>
          <w:sz w:val="24"/>
          <w:szCs w:val="24"/>
          <w:lang w:val="sr-Latn-ME"/>
        </w:rPr>
        <w:t>efikasan mehanizama kontrole</w:t>
      </w:r>
      <w:r w:rsidRPr="00F96844">
        <w:rPr>
          <w:sz w:val="24"/>
          <w:szCs w:val="24"/>
          <w:lang w:val="sr-Latn-ME"/>
        </w:rPr>
        <w:t xml:space="preserve"> prilikom ostv</w:t>
      </w:r>
      <w:r w:rsidR="00DC74CA">
        <w:rPr>
          <w:sz w:val="24"/>
          <w:szCs w:val="24"/>
          <w:lang w:val="sr-Latn-ME"/>
        </w:rPr>
        <w:t>a</w:t>
      </w:r>
      <w:r w:rsidRPr="00F96844">
        <w:rPr>
          <w:sz w:val="24"/>
          <w:szCs w:val="24"/>
          <w:lang w:val="sr-Latn-ME"/>
        </w:rPr>
        <w:t>rivanja prava, kako u pogledu</w:t>
      </w:r>
      <w:r w:rsidR="00EA0E39" w:rsidRPr="00F96844">
        <w:rPr>
          <w:sz w:val="24"/>
          <w:szCs w:val="24"/>
          <w:lang w:val="sr-Latn-ME"/>
        </w:rPr>
        <w:t xml:space="preserve"> vršenja</w:t>
      </w:r>
      <w:r w:rsidRPr="00F96844">
        <w:rPr>
          <w:sz w:val="24"/>
          <w:szCs w:val="24"/>
          <w:lang w:val="sr-Latn-ME"/>
        </w:rPr>
        <w:t xml:space="preserve"> in</w:t>
      </w:r>
      <w:r w:rsidR="003108F3">
        <w:rPr>
          <w:sz w:val="24"/>
          <w:szCs w:val="24"/>
          <w:lang w:val="sr-Latn-ME"/>
        </w:rPr>
        <w:t>s</w:t>
      </w:r>
      <w:r w:rsidRPr="00F96844">
        <w:rPr>
          <w:sz w:val="24"/>
          <w:szCs w:val="24"/>
          <w:lang w:val="sr-Latn-ME"/>
        </w:rPr>
        <w:t>pekcijskog tako i u pogledu vršenja stručnog nadzora</w:t>
      </w:r>
      <w:r w:rsidR="00EA0E39" w:rsidRPr="00F96844">
        <w:rPr>
          <w:sz w:val="24"/>
          <w:szCs w:val="24"/>
          <w:lang w:val="sr-Latn-ME"/>
        </w:rPr>
        <w:t xml:space="preserve"> nad radom pružalaca usluga.</w:t>
      </w:r>
      <w:r w:rsidRPr="00F96844">
        <w:rPr>
          <w:sz w:val="24"/>
          <w:szCs w:val="24"/>
          <w:lang w:val="sr-Latn-ME"/>
        </w:rPr>
        <w:t xml:space="preserve"> </w:t>
      </w:r>
    </w:p>
    <w:p w14:paraId="534F80A1" w14:textId="77777777" w:rsidR="00EA0E39" w:rsidRPr="00F96844" w:rsidRDefault="00B325D3" w:rsidP="00EA0E39">
      <w:pPr>
        <w:jc w:val="both"/>
        <w:rPr>
          <w:rFonts w:eastAsia="Times New Roman" w:cs="Arial"/>
          <w:noProof/>
          <w:sz w:val="24"/>
          <w:szCs w:val="24"/>
          <w:lang w:val="sr-Latn-ME"/>
        </w:rPr>
      </w:pPr>
      <w:r w:rsidRPr="00F96844">
        <w:rPr>
          <w:rFonts w:eastAsia="Times New Roman" w:cs="Arial"/>
          <w:noProof/>
          <w:sz w:val="24"/>
          <w:szCs w:val="24"/>
          <w:lang w:val="sr-Latn-ME"/>
        </w:rPr>
        <w:t xml:space="preserve">Inspekcija socijalne i dječje zaštite sprovodi nadzor nad primjenom Zakona o socijalnoj i dječjoj zaštiti, Zakona o povlastici na putovanje lica </w:t>
      </w:r>
      <w:r w:rsidR="00867803">
        <w:rPr>
          <w:rFonts w:eastAsia="Times New Roman" w:cs="Arial"/>
          <w:noProof/>
          <w:sz w:val="24"/>
          <w:szCs w:val="24"/>
          <w:lang w:val="sr-Latn-ME"/>
        </w:rPr>
        <w:t>sa</w:t>
      </w:r>
      <w:r w:rsidRPr="00F96844">
        <w:rPr>
          <w:rFonts w:eastAsia="Times New Roman" w:cs="Arial"/>
          <w:noProof/>
          <w:sz w:val="24"/>
          <w:szCs w:val="24"/>
          <w:lang w:val="sr-Latn-ME"/>
        </w:rPr>
        <w:t xml:space="preserve"> invaliditetom, Zakona o izvršenju Odluke Ustavnog suda Crne Gore, Zakona o privremenom izdr</w:t>
      </w:r>
      <w:r w:rsidR="00DC74CA">
        <w:rPr>
          <w:rFonts w:eastAsia="Times New Roman" w:cs="Arial"/>
          <w:noProof/>
          <w:sz w:val="24"/>
          <w:szCs w:val="24"/>
          <w:lang w:val="sr-Latn-ME"/>
        </w:rPr>
        <w:t>ž</w:t>
      </w:r>
      <w:r w:rsidRPr="00F96844">
        <w:rPr>
          <w:rFonts w:eastAsia="Times New Roman" w:cs="Arial"/>
          <w:noProof/>
          <w:sz w:val="24"/>
          <w:szCs w:val="24"/>
          <w:lang w:val="sr-Latn-ME"/>
        </w:rPr>
        <w:t xml:space="preserve">avanju djece, kao i nad podzakonskim aktima donesenim na osnovu pomenutih zakona. </w:t>
      </w:r>
      <w:r w:rsidR="00EA0E39" w:rsidRPr="00F96844">
        <w:rPr>
          <w:rFonts w:eastAsia="Times New Roman" w:cs="Arial"/>
          <w:noProof/>
          <w:sz w:val="24"/>
          <w:szCs w:val="24"/>
          <w:lang w:val="sr-Latn-ME"/>
        </w:rPr>
        <w:t>Nadzor se sprovodi i nad primjenom velikog broja podzakonskih akata donesenih na osnovu navedenih zakona.</w:t>
      </w:r>
    </w:p>
    <w:p w14:paraId="2C06814C" w14:textId="77777777" w:rsidR="00B325D3" w:rsidRPr="00F96844" w:rsidRDefault="00B325D3" w:rsidP="00B325D3">
      <w:pPr>
        <w:jc w:val="both"/>
        <w:rPr>
          <w:rFonts w:eastAsia="Times New Roman" w:cs="Arial"/>
          <w:noProof/>
          <w:sz w:val="24"/>
          <w:szCs w:val="24"/>
          <w:lang w:val="sr-Latn-ME"/>
        </w:rPr>
      </w:pPr>
    </w:p>
    <w:p w14:paraId="109B0E2A" w14:textId="77777777" w:rsidR="00B325D3" w:rsidRPr="00F96844" w:rsidRDefault="00B325D3" w:rsidP="00FE626F">
      <w:pPr>
        <w:jc w:val="both"/>
        <w:rPr>
          <w:rFonts w:eastAsia="Times New Roman" w:cs="Arial"/>
          <w:noProof/>
          <w:sz w:val="24"/>
          <w:szCs w:val="24"/>
          <w:lang w:val="sr-Latn-ME"/>
        </w:rPr>
      </w:pPr>
      <w:r w:rsidRPr="00F96844">
        <w:rPr>
          <w:rFonts w:eastAsia="Times New Roman" w:cs="Arial"/>
          <w:noProof/>
          <w:sz w:val="24"/>
          <w:szCs w:val="24"/>
          <w:lang w:val="sr-Latn-ME"/>
        </w:rPr>
        <w:t>Nadzorom je obuhvaćena primjena propisa koji uređuju navedene oblasti u dijelu: provjere zakonitosti ostvarivanja i korišćenja prava na osnovna materijalna davanja i usluge iz socijalne i dječje zaštite; provjere ispunjenosti uslova za obavljanje djelatnosti socijalne i dječje zaštite; neposrednog uvida u ostvarivanje prava i usluga, uključujući i sprovođenje naloga izrečenih u postupku inspekcijskog nadzora; poštovanja hitnosti postupaka i blagovremenost postupanja po podnijetim zahtjevima korisnika za ostvarivanje prava iz socijalne i dječje zaštite, kao i sprovođenja postupaka za naknadu štete prema korisnicima koji su koristili prava na osnovna materijalna davanja na nezakonit način.</w:t>
      </w:r>
    </w:p>
    <w:p w14:paraId="277B14A9" w14:textId="77777777" w:rsidR="00B325D3" w:rsidRPr="00F96844" w:rsidRDefault="00B325D3" w:rsidP="00FE626F">
      <w:pPr>
        <w:jc w:val="both"/>
        <w:rPr>
          <w:rFonts w:eastAsia="Times New Roman" w:cs="Arial"/>
          <w:noProof/>
          <w:sz w:val="24"/>
          <w:szCs w:val="24"/>
          <w:lang w:val="sr-Latn-ME"/>
        </w:rPr>
      </w:pPr>
    </w:p>
    <w:p w14:paraId="37D46219" w14:textId="77777777" w:rsidR="00B325D3" w:rsidRPr="00F96844" w:rsidRDefault="00B325D3" w:rsidP="00FE626F">
      <w:pPr>
        <w:jc w:val="both"/>
        <w:rPr>
          <w:rFonts w:eastAsia="Times New Roman" w:cs="Arial"/>
          <w:noProof/>
          <w:sz w:val="24"/>
          <w:szCs w:val="24"/>
          <w:lang w:val="sr-Latn-ME"/>
        </w:rPr>
      </w:pPr>
      <w:r w:rsidRPr="00F96844">
        <w:rPr>
          <w:rFonts w:eastAsia="Times New Roman" w:cs="Arial"/>
          <w:noProof/>
          <w:sz w:val="24"/>
          <w:szCs w:val="24"/>
          <w:lang w:val="sr-Latn-ME"/>
        </w:rPr>
        <w:t xml:space="preserve">U Inspekciji socijalne i dječje zaštite broj sistematizovanih radnih mjesta za inspektore je sedam, od čega </w:t>
      </w:r>
      <w:r w:rsidR="00DC74CA">
        <w:rPr>
          <w:rFonts w:eastAsia="Times New Roman" w:cs="Arial"/>
          <w:noProof/>
          <w:sz w:val="24"/>
          <w:szCs w:val="24"/>
          <w:lang w:val="sr-Latn-ME"/>
        </w:rPr>
        <w:t>je</w:t>
      </w:r>
      <w:r w:rsidRPr="00F96844">
        <w:rPr>
          <w:rFonts w:eastAsia="Times New Roman" w:cs="Arial"/>
          <w:noProof/>
          <w:sz w:val="24"/>
          <w:szCs w:val="24"/>
          <w:lang w:val="sr-Latn-ME"/>
        </w:rPr>
        <w:t xml:space="preserve"> popunjen</w:t>
      </w:r>
      <w:r w:rsidR="00DC74CA">
        <w:rPr>
          <w:rFonts w:eastAsia="Times New Roman" w:cs="Arial"/>
          <w:noProof/>
          <w:sz w:val="24"/>
          <w:szCs w:val="24"/>
          <w:lang w:val="sr-Latn-ME"/>
        </w:rPr>
        <w:t>o</w:t>
      </w:r>
      <w:r w:rsidRPr="00F96844">
        <w:rPr>
          <w:rFonts w:eastAsia="Times New Roman" w:cs="Arial"/>
          <w:noProof/>
          <w:sz w:val="24"/>
          <w:szCs w:val="24"/>
          <w:lang w:val="sr-Latn-ME"/>
        </w:rPr>
        <w:t xml:space="preserve"> pet radnih mjesta, uključujući i mjesto glavnog inspektora (2 muškarca i 3 žene) (jedan dipl.</w:t>
      </w:r>
      <w:r w:rsidR="00DC74CA">
        <w:rPr>
          <w:rFonts w:eastAsia="Times New Roman" w:cs="Arial"/>
          <w:noProof/>
          <w:sz w:val="24"/>
          <w:szCs w:val="24"/>
          <w:lang w:val="sr-Latn-ME"/>
        </w:rPr>
        <w:t xml:space="preserve"> </w:t>
      </w:r>
      <w:r w:rsidRPr="00F96844">
        <w:rPr>
          <w:rFonts w:eastAsia="Times New Roman" w:cs="Arial"/>
          <w:noProof/>
          <w:sz w:val="24"/>
          <w:szCs w:val="24"/>
          <w:lang w:val="sr-Latn-ME"/>
        </w:rPr>
        <w:t>pravnik, jedan dipl. psiholog, jedan dipl. sociolog</w:t>
      </w:r>
      <w:r w:rsidR="00DC74CA">
        <w:rPr>
          <w:rFonts w:eastAsia="Times New Roman" w:cs="Arial"/>
          <w:noProof/>
          <w:sz w:val="24"/>
          <w:szCs w:val="24"/>
          <w:lang w:val="sr-Latn-ME"/>
        </w:rPr>
        <w:t>,</w:t>
      </w:r>
      <w:r w:rsidRPr="00F96844">
        <w:rPr>
          <w:rFonts w:eastAsia="Times New Roman" w:cs="Arial"/>
          <w:noProof/>
          <w:sz w:val="24"/>
          <w:szCs w:val="24"/>
          <w:lang w:val="sr-Latn-ME"/>
        </w:rPr>
        <w:t xml:space="preserve"> jedan dipl.</w:t>
      </w:r>
      <w:r w:rsidR="00DC74CA">
        <w:rPr>
          <w:rFonts w:eastAsia="Times New Roman" w:cs="Arial"/>
          <w:noProof/>
          <w:sz w:val="24"/>
          <w:szCs w:val="24"/>
          <w:lang w:val="sr-Latn-ME"/>
        </w:rPr>
        <w:t xml:space="preserve"> </w:t>
      </w:r>
      <w:r w:rsidRPr="00F96844">
        <w:rPr>
          <w:rFonts w:eastAsia="Times New Roman" w:cs="Arial"/>
          <w:noProof/>
          <w:sz w:val="24"/>
          <w:szCs w:val="24"/>
          <w:lang w:val="sr-Latn-ME"/>
        </w:rPr>
        <w:t>politikolog i jedan dipl.</w:t>
      </w:r>
      <w:r w:rsidR="00DC74CA">
        <w:rPr>
          <w:rFonts w:eastAsia="Times New Roman" w:cs="Arial"/>
          <w:noProof/>
          <w:sz w:val="24"/>
          <w:szCs w:val="24"/>
          <w:lang w:val="sr-Latn-ME"/>
        </w:rPr>
        <w:t xml:space="preserve"> </w:t>
      </w:r>
      <w:r w:rsidRPr="00F96844">
        <w:rPr>
          <w:rFonts w:eastAsia="Times New Roman" w:cs="Arial"/>
          <w:noProof/>
          <w:sz w:val="24"/>
          <w:szCs w:val="24"/>
          <w:lang w:val="sr-Latn-ME"/>
        </w:rPr>
        <w:t>socij</w:t>
      </w:r>
      <w:r w:rsidR="00DC74CA">
        <w:rPr>
          <w:rFonts w:eastAsia="Times New Roman" w:cs="Arial"/>
          <w:noProof/>
          <w:sz w:val="24"/>
          <w:szCs w:val="24"/>
          <w:lang w:val="sr-Latn-ME"/>
        </w:rPr>
        <w:t>a</w:t>
      </w:r>
      <w:r w:rsidRPr="00F96844">
        <w:rPr>
          <w:rFonts w:eastAsia="Times New Roman" w:cs="Arial"/>
          <w:noProof/>
          <w:sz w:val="24"/>
          <w:szCs w:val="24"/>
          <w:lang w:val="sr-Latn-ME"/>
        </w:rPr>
        <w:t>lni radnik).</w:t>
      </w:r>
    </w:p>
    <w:p w14:paraId="69C43697" w14:textId="77777777" w:rsidR="00B325D3" w:rsidRPr="00F96844" w:rsidRDefault="00B325D3" w:rsidP="00FE626F">
      <w:pPr>
        <w:jc w:val="both"/>
        <w:rPr>
          <w:rFonts w:eastAsia="Times New Roman" w:cs="Arial"/>
          <w:noProof/>
          <w:sz w:val="24"/>
          <w:szCs w:val="24"/>
          <w:lang w:val="sr-Latn-ME"/>
        </w:rPr>
      </w:pPr>
    </w:p>
    <w:p w14:paraId="276F3312" w14:textId="77777777" w:rsidR="00B325D3" w:rsidRPr="00F96844" w:rsidRDefault="00B325D3" w:rsidP="00FE626F">
      <w:pPr>
        <w:jc w:val="both"/>
        <w:rPr>
          <w:rFonts w:eastAsia="Times New Roman" w:cs="Arial"/>
          <w:noProof/>
          <w:sz w:val="24"/>
          <w:szCs w:val="24"/>
          <w:lang w:val="sr-Latn-ME"/>
        </w:rPr>
      </w:pPr>
      <w:r w:rsidRPr="00F96844">
        <w:rPr>
          <w:rFonts w:eastAsia="Times New Roman" w:cs="Arial"/>
          <w:noProof/>
          <w:sz w:val="24"/>
          <w:szCs w:val="24"/>
          <w:lang w:val="sr-Latn-ME"/>
        </w:rPr>
        <w:t>Od ukupnog broja zaposlenih, 4 inspektora su</w:t>
      </w:r>
      <w:r w:rsidR="00867803">
        <w:rPr>
          <w:rFonts w:eastAsia="Times New Roman" w:cs="Arial"/>
          <w:noProof/>
          <w:sz w:val="24"/>
          <w:szCs w:val="24"/>
          <w:lang w:val="sr-Latn-ME"/>
        </w:rPr>
        <w:t xml:space="preserve"> s m</w:t>
      </w:r>
      <w:r w:rsidRPr="00F96844">
        <w:rPr>
          <w:rFonts w:eastAsia="Times New Roman" w:cs="Arial"/>
          <w:noProof/>
          <w:sz w:val="24"/>
          <w:szCs w:val="24"/>
          <w:lang w:val="sr-Latn-ME"/>
        </w:rPr>
        <w:t xml:space="preserve">jestom rada u Podgorici (a pokrivaju teritoriju cijele </w:t>
      </w:r>
      <w:r w:rsidR="00DC74CA">
        <w:rPr>
          <w:rFonts w:eastAsia="Times New Roman" w:cs="Arial"/>
          <w:noProof/>
          <w:sz w:val="24"/>
          <w:szCs w:val="24"/>
          <w:lang w:val="sr-Latn-ME"/>
        </w:rPr>
        <w:t>d</w:t>
      </w:r>
      <w:r w:rsidRPr="00F96844">
        <w:rPr>
          <w:rFonts w:eastAsia="Times New Roman" w:cs="Arial"/>
          <w:noProof/>
          <w:sz w:val="24"/>
          <w:szCs w:val="24"/>
          <w:lang w:val="sr-Latn-ME"/>
        </w:rPr>
        <w:t>ržave</w:t>
      </w:r>
      <w:r w:rsidR="00DC74CA">
        <w:rPr>
          <w:rFonts w:eastAsia="Times New Roman" w:cs="Arial"/>
          <w:noProof/>
          <w:sz w:val="24"/>
          <w:szCs w:val="24"/>
          <w:lang w:val="sr-Latn-ME"/>
        </w:rPr>
        <w:t>)</w:t>
      </w:r>
      <w:r w:rsidRPr="00F96844">
        <w:rPr>
          <w:rFonts w:eastAsia="Times New Roman" w:cs="Arial"/>
          <w:noProof/>
          <w:sz w:val="24"/>
          <w:szCs w:val="24"/>
          <w:lang w:val="sr-Latn-ME"/>
        </w:rPr>
        <w:t>, dok je 1 inspektorka</w:t>
      </w:r>
      <w:r w:rsidR="00867803">
        <w:rPr>
          <w:rFonts w:eastAsia="Times New Roman" w:cs="Arial"/>
          <w:noProof/>
          <w:sz w:val="24"/>
          <w:szCs w:val="24"/>
          <w:lang w:val="sr-Latn-ME"/>
        </w:rPr>
        <w:t xml:space="preserve"> s m</w:t>
      </w:r>
      <w:r w:rsidRPr="00F96844">
        <w:rPr>
          <w:rFonts w:eastAsia="Times New Roman" w:cs="Arial"/>
          <w:noProof/>
          <w:sz w:val="24"/>
          <w:szCs w:val="24"/>
          <w:lang w:val="sr-Latn-ME"/>
        </w:rPr>
        <w:t xml:space="preserve">jestom rada u Mojkovcu – za opštine Mojkovac i Kolašin. </w:t>
      </w:r>
    </w:p>
    <w:p w14:paraId="700708D0" w14:textId="77777777" w:rsidR="00B325D3" w:rsidRPr="00F96844" w:rsidRDefault="00F77397" w:rsidP="00FE626F">
      <w:pPr>
        <w:widowControl w:val="0"/>
        <w:jc w:val="both"/>
        <w:rPr>
          <w:rFonts w:eastAsia="Times New Roman" w:cs="Arial"/>
          <w:noProof/>
          <w:sz w:val="24"/>
          <w:szCs w:val="24"/>
          <w:lang w:val="sr-Latn-ME"/>
        </w:rPr>
      </w:pPr>
      <w:r>
        <w:rPr>
          <w:rFonts w:eastAsia="Times New Roman" w:cs="Arial"/>
          <w:noProof/>
          <w:sz w:val="24"/>
          <w:szCs w:val="24"/>
          <w:lang w:val="sr-Latn-ME"/>
        </w:rPr>
        <w:t>U toku 2023. godine</w:t>
      </w:r>
      <w:r w:rsidR="00B325D3" w:rsidRPr="00F96844">
        <w:rPr>
          <w:rFonts w:eastAsia="Times New Roman" w:cs="Arial"/>
          <w:noProof/>
          <w:sz w:val="24"/>
          <w:szCs w:val="24"/>
          <w:lang w:val="sr-Latn-ME"/>
        </w:rPr>
        <w:t xml:space="preserve"> Inspekcija za socijalnu i dječju zaštitu je izvršila ukupno 247 inspekcijskih pregleda, u kojima je utvrđeno ukupno 100 nepravilnosti.</w:t>
      </w:r>
    </w:p>
    <w:p w14:paraId="58E9F425" w14:textId="77777777" w:rsidR="00B325D3" w:rsidRPr="00F96844" w:rsidRDefault="00B325D3" w:rsidP="00FE626F">
      <w:pPr>
        <w:widowControl w:val="0"/>
        <w:jc w:val="both"/>
        <w:rPr>
          <w:rFonts w:eastAsia="Times New Roman" w:cs="Arial"/>
          <w:noProof/>
          <w:sz w:val="24"/>
          <w:szCs w:val="24"/>
          <w:lang w:val="sr-Latn-ME"/>
        </w:rPr>
      </w:pPr>
    </w:p>
    <w:p w14:paraId="22480E87" w14:textId="77777777" w:rsidR="00B325D3" w:rsidRPr="00F96844" w:rsidRDefault="00F77397" w:rsidP="00FE626F">
      <w:pPr>
        <w:widowControl w:val="0"/>
        <w:jc w:val="both"/>
        <w:rPr>
          <w:rFonts w:eastAsia="Times New Roman" w:cs="Arial"/>
          <w:noProof/>
          <w:sz w:val="24"/>
          <w:szCs w:val="24"/>
          <w:lang w:val="sr-Latn-ME"/>
        </w:rPr>
      </w:pPr>
      <w:r>
        <w:rPr>
          <w:rFonts w:eastAsia="Times New Roman" w:cs="Arial"/>
          <w:noProof/>
          <w:sz w:val="24"/>
          <w:szCs w:val="24"/>
          <w:lang w:val="sr-Latn-ME"/>
        </w:rPr>
        <w:t>U toku 2023. godine</w:t>
      </w:r>
      <w:r w:rsidR="00B325D3" w:rsidRPr="00F96844">
        <w:rPr>
          <w:rFonts w:eastAsia="Times New Roman" w:cs="Arial"/>
          <w:noProof/>
          <w:sz w:val="24"/>
          <w:szCs w:val="24"/>
          <w:lang w:val="sr-Latn-ME"/>
        </w:rPr>
        <w:t xml:space="preserve"> podnijeto je 70 inicijativa, koje su se odnosile na: ostvarivanje prava na materijalno obezbjeđenje, dodatak za njegu i pomoć, ličnu invalidninu, pravo na troškove sahrane, jednokratnu novčanu pomoć, naknadu roditelju ili staratelju</w:t>
      </w:r>
      <w:r w:rsidR="00DC74CA">
        <w:rPr>
          <w:rFonts w:eastAsia="Times New Roman" w:cs="Arial"/>
          <w:noProof/>
          <w:sz w:val="24"/>
          <w:szCs w:val="24"/>
          <w:lang w:val="sr-Latn-ME"/>
        </w:rPr>
        <w:t>‒</w:t>
      </w:r>
      <w:r w:rsidR="00B325D3" w:rsidRPr="00F96844">
        <w:rPr>
          <w:rFonts w:eastAsia="Times New Roman" w:cs="Arial"/>
          <w:noProof/>
          <w:sz w:val="24"/>
          <w:szCs w:val="24"/>
          <w:lang w:val="sr-Latn-ME"/>
        </w:rPr>
        <w:t xml:space="preserve">njegovatelju lica koje je korisnik lične invalidnine, ostvarivanje prava na dodatak za djecu, </w:t>
      </w:r>
      <w:r w:rsidR="00B325D3" w:rsidRPr="00F96844">
        <w:rPr>
          <w:rFonts w:eastAsia="Times New Roman" w:cs="Arial"/>
          <w:noProof/>
          <w:sz w:val="24"/>
          <w:szCs w:val="24"/>
          <w:lang w:val="sr-Latn-ME"/>
        </w:rPr>
        <w:lastRenderedPageBreak/>
        <w:t>naknadu za novorođeno dijete, troškove ishrane u predškolskim ustanovama, refundacij</w:t>
      </w:r>
      <w:r w:rsidR="00DC74CA">
        <w:rPr>
          <w:rFonts w:eastAsia="Times New Roman" w:cs="Arial"/>
          <w:noProof/>
          <w:sz w:val="24"/>
          <w:szCs w:val="24"/>
          <w:lang w:val="sr-Latn-ME"/>
        </w:rPr>
        <w:t>u</w:t>
      </w:r>
      <w:r w:rsidR="00B325D3" w:rsidRPr="00F96844">
        <w:rPr>
          <w:rFonts w:eastAsia="Times New Roman" w:cs="Arial"/>
          <w:noProof/>
          <w:sz w:val="24"/>
          <w:szCs w:val="24"/>
          <w:lang w:val="sr-Latn-ME"/>
        </w:rPr>
        <w:t xml:space="preserve"> naknade zarade i naknade zarade za rad</w:t>
      </w:r>
      <w:r w:rsidR="004C5D23">
        <w:rPr>
          <w:rFonts w:eastAsia="Times New Roman" w:cs="Arial"/>
          <w:noProof/>
          <w:sz w:val="24"/>
          <w:szCs w:val="24"/>
          <w:lang w:val="sr-Latn-ME"/>
        </w:rPr>
        <w:t xml:space="preserve"> s p</w:t>
      </w:r>
      <w:r w:rsidR="00B325D3" w:rsidRPr="00F96844">
        <w:rPr>
          <w:rFonts w:eastAsia="Times New Roman" w:cs="Arial"/>
          <w:noProof/>
          <w:sz w:val="24"/>
          <w:szCs w:val="24"/>
          <w:lang w:val="sr-Latn-ME"/>
        </w:rPr>
        <w:t>olovinom punog radnog vremena), pritužbe u odnosu na pružanje i koriš</w:t>
      </w:r>
      <w:r w:rsidR="00DC74CA">
        <w:rPr>
          <w:rFonts w:eastAsia="Times New Roman" w:cs="Arial"/>
          <w:noProof/>
          <w:sz w:val="24"/>
          <w:szCs w:val="24"/>
          <w:lang w:val="sr-Latn-ME"/>
        </w:rPr>
        <w:t>ć</w:t>
      </w:r>
      <w:r w:rsidR="00B325D3" w:rsidRPr="00F96844">
        <w:rPr>
          <w:rFonts w:eastAsia="Times New Roman" w:cs="Arial"/>
          <w:noProof/>
          <w:sz w:val="24"/>
          <w:szCs w:val="24"/>
          <w:lang w:val="sr-Latn-ME"/>
        </w:rPr>
        <w:t>enj</w:t>
      </w:r>
      <w:r w:rsidR="00DC74CA">
        <w:rPr>
          <w:rFonts w:eastAsia="Times New Roman" w:cs="Arial"/>
          <w:noProof/>
          <w:sz w:val="24"/>
          <w:szCs w:val="24"/>
          <w:lang w:val="sr-Latn-ME"/>
        </w:rPr>
        <w:t>e</w:t>
      </w:r>
      <w:r w:rsidR="00B325D3" w:rsidRPr="00F96844">
        <w:rPr>
          <w:rFonts w:eastAsia="Times New Roman" w:cs="Arial"/>
          <w:noProof/>
          <w:sz w:val="24"/>
          <w:szCs w:val="24"/>
          <w:lang w:val="sr-Latn-ME"/>
        </w:rPr>
        <w:t xml:space="preserve"> prava na usluge socijalne i dječje zaštite (pravo na podršku za život u zajednici, savjetodavno terapijske i socijalno edukativne usluge, smještaj i druge usluge); jedna inicijativa na provjeru ispunjenosti za obavljanje djelatnosti socijalne i dječje zaštite, uvid u opšte i pojedinačne akte javne ustanove socijalne i dječje zaštite i drugog pružaoca usluga i dokumentaciju javne ustanove socijalne i dječje zaštite i drugog pružaoca usluga na osnovu koje se ostvaruju prava i usluge socijalne i dječje zaštite.</w:t>
      </w:r>
    </w:p>
    <w:p w14:paraId="416217C7" w14:textId="77777777" w:rsidR="0028178C" w:rsidRPr="00F96844" w:rsidRDefault="0028178C" w:rsidP="00FE626F">
      <w:pPr>
        <w:widowControl w:val="0"/>
        <w:jc w:val="both"/>
        <w:rPr>
          <w:rFonts w:eastAsia="Times New Roman" w:cs="Arial"/>
          <w:noProof/>
          <w:sz w:val="24"/>
          <w:szCs w:val="24"/>
          <w:lang w:val="sr-Latn-ME"/>
        </w:rPr>
      </w:pPr>
    </w:p>
    <w:p w14:paraId="6B36F2C0" w14:textId="77777777" w:rsidR="0028178C" w:rsidRPr="00F96844" w:rsidRDefault="0028178C" w:rsidP="00FE626F">
      <w:pPr>
        <w:widowControl w:val="0"/>
        <w:jc w:val="both"/>
        <w:rPr>
          <w:rFonts w:eastAsia="Times New Roman" w:cs="Arial"/>
          <w:noProof/>
          <w:sz w:val="24"/>
          <w:szCs w:val="24"/>
          <w:lang w:val="sr-Latn-ME"/>
        </w:rPr>
      </w:pPr>
      <w:r w:rsidRPr="00F96844">
        <w:rPr>
          <w:rFonts w:eastAsia="Times New Roman" w:cs="Arial"/>
          <w:noProof/>
          <w:sz w:val="24"/>
          <w:szCs w:val="24"/>
          <w:lang w:val="sr-Latn-ME"/>
        </w:rPr>
        <w:t>Dosadašnja praksa ukazuje da je u odnosu na broj podnijetih inicijativa postupa nedovoljan broj inspektora</w:t>
      </w:r>
      <w:r w:rsidR="002542E0">
        <w:rPr>
          <w:rFonts w:eastAsia="Times New Roman" w:cs="Arial"/>
          <w:noProof/>
          <w:sz w:val="24"/>
          <w:szCs w:val="24"/>
          <w:lang w:val="sr-Latn-ME"/>
        </w:rPr>
        <w:t>/</w:t>
      </w:r>
      <w:r w:rsidR="00DC74CA">
        <w:rPr>
          <w:rFonts w:eastAsia="Times New Roman" w:cs="Arial"/>
          <w:noProof/>
          <w:sz w:val="24"/>
          <w:szCs w:val="24"/>
          <w:lang w:val="sr-Latn-ME"/>
        </w:rPr>
        <w:t>inspektor</w:t>
      </w:r>
      <w:r w:rsidR="002542E0">
        <w:rPr>
          <w:rFonts w:eastAsia="Times New Roman" w:cs="Arial"/>
          <w:noProof/>
          <w:sz w:val="24"/>
          <w:szCs w:val="24"/>
          <w:lang w:val="sr-Latn-ME"/>
        </w:rPr>
        <w:t>ki,</w:t>
      </w:r>
      <w:r w:rsidRPr="00F96844">
        <w:rPr>
          <w:rFonts w:eastAsia="Times New Roman" w:cs="Arial"/>
          <w:noProof/>
          <w:sz w:val="24"/>
          <w:szCs w:val="24"/>
          <w:lang w:val="sr-Latn-ME"/>
        </w:rPr>
        <w:t xml:space="preserve"> te je u narednom periodu neophodno povećati broj izvršilaca i osnažiti njihove profesionalne kompetencije kroz povećanje broja obuka.</w:t>
      </w:r>
    </w:p>
    <w:p w14:paraId="360B9833" w14:textId="77777777" w:rsidR="00874AB6" w:rsidRPr="00F96844" w:rsidRDefault="00874AB6" w:rsidP="00FE626F">
      <w:pPr>
        <w:autoSpaceDE w:val="0"/>
        <w:autoSpaceDN w:val="0"/>
        <w:adjustRightInd w:val="0"/>
        <w:jc w:val="both"/>
        <w:rPr>
          <w:rFonts w:cs="Arial"/>
          <w:sz w:val="24"/>
          <w:szCs w:val="24"/>
          <w:lang w:val="sr-Latn-ME"/>
        </w:rPr>
      </w:pPr>
    </w:p>
    <w:p w14:paraId="75DABE75" w14:textId="48212AB9" w:rsidR="00874AB6" w:rsidRPr="00F96844" w:rsidRDefault="00874AB6" w:rsidP="00FE626F">
      <w:pPr>
        <w:autoSpaceDE w:val="0"/>
        <w:autoSpaceDN w:val="0"/>
        <w:adjustRightInd w:val="0"/>
        <w:jc w:val="both"/>
        <w:rPr>
          <w:rFonts w:cs="Arial"/>
          <w:sz w:val="24"/>
          <w:szCs w:val="24"/>
          <w:lang w:val="sr-Latn-ME"/>
        </w:rPr>
      </w:pPr>
      <w:r w:rsidRPr="00736811">
        <w:rPr>
          <w:rFonts w:cs="Arial"/>
          <w:sz w:val="24"/>
          <w:szCs w:val="24"/>
          <w:lang w:val="sr-Latn-ME"/>
        </w:rPr>
        <w:t xml:space="preserve">Ministarstvo </w:t>
      </w:r>
      <w:r w:rsidR="00422BC1" w:rsidRPr="00736811">
        <w:rPr>
          <w:rFonts w:cs="Arial"/>
          <w:sz w:val="24"/>
          <w:szCs w:val="24"/>
          <w:lang w:val="sr-Latn-ME"/>
        </w:rPr>
        <w:t>socijalnog staranja, brig</w:t>
      </w:r>
      <w:r w:rsidR="00736811" w:rsidRPr="00736811">
        <w:rPr>
          <w:rFonts w:cs="Arial"/>
          <w:sz w:val="24"/>
          <w:szCs w:val="24"/>
          <w:lang w:val="sr-Latn-ME"/>
        </w:rPr>
        <w:t>e</w:t>
      </w:r>
      <w:r w:rsidR="00422BC1" w:rsidRPr="00736811">
        <w:rPr>
          <w:rFonts w:cs="Arial"/>
          <w:sz w:val="24"/>
          <w:szCs w:val="24"/>
          <w:lang w:val="sr-Latn-ME"/>
        </w:rPr>
        <w:t xml:space="preserve"> o porodici i demografij</w:t>
      </w:r>
      <w:r w:rsidR="00736811" w:rsidRPr="00736811">
        <w:rPr>
          <w:rFonts w:cs="Arial"/>
          <w:sz w:val="24"/>
          <w:szCs w:val="24"/>
          <w:lang w:val="sr-Latn-ME"/>
        </w:rPr>
        <w:t>e</w:t>
      </w:r>
      <w:r w:rsidR="00422BC1" w:rsidRPr="00736811">
        <w:rPr>
          <w:rFonts w:cs="Arial"/>
          <w:sz w:val="24"/>
          <w:szCs w:val="24"/>
          <w:lang w:val="sr-Latn-ME"/>
        </w:rPr>
        <w:t xml:space="preserve"> </w:t>
      </w:r>
      <w:r w:rsidRPr="00736811">
        <w:rPr>
          <w:rFonts w:cs="Arial"/>
          <w:sz w:val="24"/>
          <w:szCs w:val="24"/>
          <w:lang w:val="sr-Latn-ME"/>
        </w:rPr>
        <w:t>vrši nadzor nad stručnim radom pružalaca usluga preko Komisije za vršenje nadzora</w:t>
      </w:r>
      <w:r w:rsidRPr="00F96844">
        <w:rPr>
          <w:rFonts w:cs="Arial"/>
          <w:sz w:val="24"/>
          <w:szCs w:val="24"/>
          <w:lang w:val="sr-Latn-ME"/>
        </w:rPr>
        <w:t xml:space="preserve"> nad stručnim radom pružalaca usluga socijalne i dječje zaštite. Ministarstvo obrazuje Komisiju za postupanje u svakom pojedinačnom pre</w:t>
      </w:r>
      <w:r w:rsidR="002542E0">
        <w:rPr>
          <w:rFonts w:cs="Arial"/>
          <w:sz w:val="24"/>
          <w:szCs w:val="24"/>
          <w:lang w:val="sr-Latn-ME"/>
        </w:rPr>
        <w:t>dmetu. Komisiju čine predsjednica</w:t>
      </w:r>
      <w:r w:rsidRPr="00F96844">
        <w:rPr>
          <w:rFonts w:cs="Arial"/>
          <w:sz w:val="24"/>
          <w:szCs w:val="24"/>
          <w:lang w:val="sr-Latn-ME"/>
        </w:rPr>
        <w:t xml:space="preserve"> i članovi</w:t>
      </w:r>
      <w:r w:rsidR="002542E0">
        <w:rPr>
          <w:rFonts w:cs="Arial"/>
          <w:sz w:val="24"/>
          <w:szCs w:val="24"/>
          <w:lang w:val="sr-Latn-ME"/>
        </w:rPr>
        <w:t>/</w:t>
      </w:r>
      <w:r w:rsidR="00DC74CA">
        <w:rPr>
          <w:rFonts w:cs="Arial"/>
          <w:sz w:val="24"/>
          <w:szCs w:val="24"/>
          <w:lang w:val="sr-Latn-ME"/>
        </w:rPr>
        <w:t>člani</w:t>
      </w:r>
      <w:r w:rsidR="002542E0">
        <w:rPr>
          <w:rFonts w:cs="Arial"/>
          <w:sz w:val="24"/>
          <w:szCs w:val="24"/>
          <w:lang w:val="sr-Latn-ME"/>
        </w:rPr>
        <w:t>ce</w:t>
      </w:r>
      <w:r w:rsidRPr="00F96844">
        <w:rPr>
          <w:rFonts w:cs="Arial"/>
          <w:sz w:val="24"/>
          <w:szCs w:val="24"/>
          <w:lang w:val="sr-Latn-ME"/>
        </w:rPr>
        <w:t xml:space="preserve"> koji su predstavnici Ministarstva i Zavoda za socijalnu i dječju zaštitu. U periodu od 1. januara 2023.</w:t>
      </w:r>
      <w:r w:rsidR="00536AB2">
        <w:rPr>
          <w:rFonts w:cs="Arial"/>
          <w:sz w:val="24"/>
          <w:szCs w:val="24"/>
          <w:lang w:val="sr-Latn-ME"/>
        </w:rPr>
        <w:t xml:space="preserve"> </w:t>
      </w:r>
      <w:r w:rsidRPr="00F96844">
        <w:rPr>
          <w:rFonts w:cs="Arial"/>
          <w:sz w:val="24"/>
          <w:szCs w:val="24"/>
          <w:lang w:val="sr-Latn-ME"/>
        </w:rPr>
        <w:t xml:space="preserve">godine do 31. </w:t>
      </w:r>
      <w:r w:rsidR="00114F70" w:rsidRPr="00F96844">
        <w:rPr>
          <w:rFonts w:cs="Arial"/>
          <w:sz w:val="24"/>
          <w:szCs w:val="24"/>
          <w:lang w:val="sr-Latn-ME"/>
        </w:rPr>
        <w:t>d</w:t>
      </w:r>
      <w:r w:rsidRPr="00F96844">
        <w:rPr>
          <w:rFonts w:cs="Arial"/>
          <w:sz w:val="24"/>
          <w:szCs w:val="24"/>
          <w:lang w:val="sr-Latn-ME"/>
        </w:rPr>
        <w:t>ecembra 2023. godine, Komisija za vršenje nadzora nad stručnim radom pružalaca usluga socijalne i dječje zaštite je izvršila ukupno 14 nadzora nad stručnim radom ustanova i pružalaca usluga u oblasti socijalne i d</w:t>
      </w:r>
      <w:r w:rsidR="00EB2F1D">
        <w:rPr>
          <w:rFonts w:cs="Arial"/>
          <w:sz w:val="24"/>
          <w:szCs w:val="24"/>
          <w:lang w:val="sr-Latn-ME"/>
        </w:rPr>
        <w:t>ječj</w:t>
      </w:r>
      <w:r w:rsidRPr="00F96844">
        <w:rPr>
          <w:rFonts w:cs="Arial"/>
          <w:sz w:val="24"/>
          <w:szCs w:val="24"/>
          <w:lang w:val="sr-Latn-ME"/>
        </w:rPr>
        <w:t>e zaštite.</w:t>
      </w:r>
    </w:p>
    <w:p w14:paraId="63C977DA" w14:textId="77777777" w:rsidR="00874AB6" w:rsidRPr="00F96844" w:rsidRDefault="00874AB6" w:rsidP="00FE626F">
      <w:pPr>
        <w:autoSpaceDE w:val="0"/>
        <w:autoSpaceDN w:val="0"/>
        <w:adjustRightInd w:val="0"/>
        <w:jc w:val="both"/>
        <w:rPr>
          <w:rFonts w:cs="Arial"/>
          <w:sz w:val="24"/>
          <w:szCs w:val="24"/>
          <w:lang w:val="sr-Latn-ME"/>
        </w:rPr>
      </w:pPr>
      <w:r w:rsidRPr="00F96844">
        <w:rPr>
          <w:rFonts w:cs="Arial"/>
          <w:sz w:val="24"/>
          <w:szCs w:val="24"/>
          <w:lang w:val="sr-Latn-ME"/>
        </w:rPr>
        <w:t xml:space="preserve">U nadzoru nad stručnim radom </w:t>
      </w:r>
      <w:r w:rsidR="003D6D7B">
        <w:rPr>
          <w:rFonts w:cs="Arial"/>
          <w:sz w:val="24"/>
          <w:szCs w:val="24"/>
          <w:lang w:val="sr-Latn-ME"/>
        </w:rPr>
        <w:t xml:space="preserve">pružalaca </w:t>
      </w:r>
      <w:r w:rsidRPr="00F96844">
        <w:rPr>
          <w:rFonts w:cs="Arial"/>
          <w:sz w:val="24"/>
          <w:szCs w:val="24"/>
          <w:lang w:val="sr-Latn-ME"/>
        </w:rPr>
        <w:t>usluge utvrđuje se da li su ispunjeni uslovi u odnosu na primjenu propisanih stručnih procedura i na korišćenje stručnih znanja i vještina tokom prijema, procjene, planiranja, pregleda efekata realizovanih aktivnosti i završetka rada s korisnikom, na osnovu uvida u dokumentaciju i uvida u proces pružanja i efekata usluga.</w:t>
      </w:r>
    </w:p>
    <w:p w14:paraId="4307CF05" w14:textId="77777777" w:rsidR="00874AB6" w:rsidRPr="00F96844" w:rsidRDefault="00874AB6" w:rsidP="00874AB6">
      <w:pPr>
        <w:autoSpaceDE w:val="0"/>
        <w:autoSpaceDN w:val="0"/>
        <w:adjustRightInd w:val="0"/>
        <w:spacing w:line="276" w:lineRule="auto"/>
        <w:jc w:val="both"/>
        <w:rPr>
          <w:rFonts w:cs="Arial"/>
          <w:sz w:val="24"/>
          <w:szCs w:val="24"/>
          <w:lang w:val="sr-Latn-ME"/>
        </w:rPr>
      </w:pPr>
    </w:p>
    <w:p w14:paraId="1D9DD114" w14:textId="0D30081D" w:rsidR="00874AB6" w:rsidRPr="00FE626F" w:rsidRDefault="00874AB6" w:rsidP="00FE626F">
      <w:pPr>
        <w:autoSpaceDE w:val="0"/>
        <w:autoSpaceDN w:val="0"/>
        <w:adjustRightInd w:val="0"/>
        <w:jc w:val="both"/>
        <w:rPr>
          <w:rFonts w:cs="Arial"/>
          <w:sz w:val="24"/>
          <w:szCs w:val="24"/>
          <w:lang w:val="sr-Latn-ME"/>
        </w:rPr>
      </w:pPr>
      <w:r w:rsidRPr="00FE626F">
        <w:rPr>
          <w:rFonts w:cs="Arial"/>
          <w:sz w:val="24"/>
          <w:szCs w:val="24"/>
          <w:lang w:val="sr-Latn-ME"/>
        </w:rPr>
        <w:t xml:space="preserve">U skladu s Pravilnikom o unutrašnjoj organizaciji i sistematizaciji </w:t>
      </w:r>
      <w:r w:rsidRPr="00736811">
        <w:rPr>
          <w:rFonts w:cs="Arial"/>
          <w:sz w:val="24"/>
          <w:szCs w:val="24"/>
          <w:lang w:val="sr-Latn-ME"/>
        </w:rPr>
        <w:t>Ministarstva rada i socijalnog staranja</w:t>
      </w:r>
      <w:r w:rsidR="00422BC1" w:rsidRPr="00736811">
        <w:rPr>
          <w:rFonts w:cs="Arial"/>
          <w:sz w:val="24"/>
          <w:szCs w:val="24"/>
          <w:lang w:val="sr-Latn-ME"/>
        </w:rPr>
        <w:t xml:space="preserve"> </w:t>
      </w:r>
      <w:r w:rsidRPr="00736811">
        <w:rPr>
          <w:rFonts w:cs="Arial"/>
          <w:sz w:val="24"/>
          <w:szCs w:val="24"/>
          <w:lang w:val="sr-Latn-ME"/>
        </w:rPr>
        <w:t>, u februaru 2024. godine formirana je Direkcija za nadzor nad stručnim radom javnih ustanova i pružalaca usluga socijalne i d</w:t>
      </w:r>
      <w:r w:rsidR="00EB2F1D" w:rsidRPr="00736811">
        <w:rPr>
          <w:rFonts w:cs="Arial"/>
          <w:sz w:val="24"/>
          <w:szCs w:val="24"/>
          <w:lang w:val="sr-Latn-ME"/>
        </w:rPr>
        <w:t>ječj</w:t>
      </w:r>
      <w:r w:rsidRPr="00736811">
        <w:rPr>
          <w:rFonts w:cs="Arial"/>
          <w:sz w:val="24"/>
          <w:szCs w:val="24"/>
          <w:lang w:val="sr-Latn-ME"/>
        </w:rPr>
        <w:t>e zaštite u okviru Direktorata za razvoj usluga, stručni nadzor i drugostepeni upravni postupak u s</w:t>
      </w:r>
      <w:r w:rsidRPr="00FE626F">
        <w:rPr>
          <w:rFonts w:cs="Arial"/>
          <w:sz w:val="24"/>
          <w:szCs w:val="24"/>
          <w:lang w:val="sr-Latn-ME"/>
        </w:rPr>
        <w:t>ocijalnoj i dječjoj zaštiti. U skladu</w:t>
      </w:r>
      <w:r w:rsidR="00867803">
        <w:rPr>
          <w:rFonts w:cs="Arial"/>
          <w:sz w:val="24"/>
          <w:szCs w:val="24"/>
          <w:lang w:val="sr-Latn-ME"/>
        </w:rPr>
        <w:t xml:space="preserve"> s n</w:t>
      </w:r>
      <w:r w:rsidRPr="00FE626F">
        <w:rPr>
          <w:rFonts w:cs="Arial"/>
          <w:sz w:val="24"/>
          <w:szCs w:val="24"/>
          <w:lang w:val="sr-Latn-ME"/>
        </w:rPr>
        <w:t>avedenim Pravilnikom</w:t>
      </w:r>
      <w:r w:rsidR="00DC74CA">
        <w:rPr>
          <w:rFonts w:cs="Arial"/>
          <w:sz w:val="24"/>
          <w:szCs w:val="24"/>
          <w:lang w:val="sr-Latn-ME"/>
        </w:rPr>
        <w:t>,</w:t>
      </w:r>
      <w:r w:rsidRPr="00FE626F">
        <w:rPr>
          <w:rFonts w:cs="Arial"/>
          <w:sz w:val="24"/>
          <w:szCs w:val="24"/>
          <w:lang w:val="sr-Latn-ME"/>
        </w:rPr>
        <w:t xml:space="preserve"> u Direkciji je sistematizovano pet radnih mjesta</w:t>
      </w:r>
      <w:r w:rsidR="000C2F0F">
        <w:rPr>
          <w:rFonts w:cs="Arial"/>
          <w:sz w:val="24"/>
          <w:szCs w:val="24"/>
          <w:lang w:val="sr-Latn-ME"/>
        </w:rPr>
        <w:t>,</w:t>
      </w:r>
      <w:r w:rsidRPr="00FE626F">
        <w:rPr>
          <w:rFonts w:cs="Arial"/>
          <w:sz w:val="24"/>
          <w:szCs w:val="24"/>
          <w:lang w:val="sr-Latn-ME"/>
        </w:rPr>
        <w:t xml:space="preserve"> dok </w:t>
      </w:r>
      <w:r w:rsidR="00DC74CA">
        <w:rPr>
          <w:rFonts w:cs="Arial"/>
          <w:sz w:val="24"/>
          <w:szCs w:val="24"/>
          <w:lang w:val="sr-Latn-ME"/>
        </w:rPr>
        <w:t>su</w:t>
      </w:r>
      <w:r w:rsidRPr="00FE626F">
        <w:rPr>
          <w:rFonts w:cs="Arial"/>
          <w:sz w:val="24"/>
          <w:szCs w:val="24"/>
          <w:lang w:val="sr-Latn-ME"/>
        </w:rPr>
        <w:t xml:space="preserve"> trenutno popunjen</w:t>
      </w:r>
      <w:r w:rsidR="00DC74CA">
        <w:rPr>
          <w:rFonts w:cs="Arial"/>
          <w:sz w:val="24"/>
          <w:szCs w:val="24"/>
          <w:lang w:val="sr-Latn-ME"/>
        </w:rPr>
        <w:t>a</w:t>
      </w:r>
      <w:r w:rsidRPr="00FE626F">
        <w:rPr>
          <w:rFonts w:cs="Arial"/>
          <w:sz w:val="24"/>
          <w:szCs w:val="24"/>
          <w:lang w:val="sr-Latn-ME"/>
        </w:rPr>
        <w:t xml:space="preserve"> dva radna mjesta.</w:t>
      </w:r>
      <w:r w:rsidR="00391E7E">
        <w:rPr>
          <w:rFonts w:cs="Arial"/>
          <w:sz w:val="24"/>
          <w:szCs w:val="24"/>
          <w:lang w:val="sr-Latn-ME"/>
        </w:rPr>
        <w:t xml:space="preserve"> I Ministarstvo socijalnog staranja, brige o porodici i demografije preoznalo je pomenutu Direkciju kao relevantnu, te će razvijati njene kapacitete. </w:t>
      </w:r>
    </w:p>
    <w:p w14:paraId="4A6AB313" w14:textId="77777777" w:rsidR="00874AB6" w:rsidRPr="00FE626F" w:rsidRDefault="00874AB6" w:rsidP="00FE626F">
      <w:pPr>
        <w:autoSpaceDE w:val="0"/>
        <w:autoSpaceDN w:val="0"/>
        <w:adjustRightInd w:val="0"/>
        <w:jc w:val="both"/>
        <w:rPr>
          <w:rFonts w:cs="Arial"/>
          <w:sz w:val="24"/>
          <w:szCs w:val="24"/>
          <w:lang w:val="sr-Latn-ME"/>
        </w:rPr>
      </w:pPr>
    </w:p>
    <w:p w14:paraId="7A64AC53" w14:textId="77777777" w:rsidR="00874AB6" w:rsidRPr="00FE626F" w:rsidRDefault="00874AB6" w:rsidP="00FE626F">
      <w:pPr>
        <w:autoSpaceDE w:val="0"/>
        <w:autoSpaceDN w:val="0"/>
        <w:adjustRightInd w:val="0"/>
        <w:jc w:val="both"/>
        <w:rPr>
          <w:rFonts w:cs="Arial"/>
          <w:sz w:val="24"/>
          <w:szCs w:val="24"/>
          <w:lang w:val="sr-Latn-ME"/>
        </w:rPr>
      </w:pPr>
      <w:r w:rsidRPr="00FE626F">
        <w:rPr>
          <w:rFonts w:cs="Arial"/>
          <w:sz w:val="24"/>
          <w:szCs w:val="24"/>
          <w:lang w:val="sr-Latn-ME"/>
        </w:rPr>
        <w:t>U narednom periodu je neophodno jačati kapacitete Direkcije kroz zapošljavanje novih službenika i kontinuirane obuke zaposlenih. Takođe, imajući u vidu da je Direkcija za vršenje nadzora uspostavljena ali da se stručni nadzor i dalje sprovodi preko Komisije za vršenje nadzora nad stručnim radom pružalaca usluga socijalne i dječje zaštite koja se obrazuje u svakom pojedinačnom predmetu, u narednom periodu će biti neophodno izmijeniti Pravilnik o vršenju nadzora nad stručnim radom ustanova, drugih oblika organizovanja i fizičkih lica koji obavljaju djelatnost socijalne i dječje zaštite.</w:t>
      </w:r>
    </w:p>
    <w:p w14:paraId="0333F6D9" w14:textId="77777777" w:rsidR="00B325D3" w:rsidRPr="00FE626F" w:rsidRDefault="00B325D3" w:rsidP="00FE626F">
      <w:pPr>
        <w:jc w:val="both"/>
        <w:rPr>
          <w:sz w:val="24"/>
          <w:szCs w:val="24"/>
          <w:lang w:val="sr-Latn-ME"/>
        </w:rPr>
      </w:pPr>
    </w:p>
    <w:p w14:paraId="7B919EB2" w14:textId="77777777" w:rsidR="00220341" w:rsidRPr="00FE626F" w:rsidRDefault="00024F76" w:rsidP="00FE626F">
      <w:pPr>
        <w:shd w:val="clear" w:color="auto" w:fill="FFFFFF" w:themeFill="background1"/>
        <w:jc w:val="both"/>
        <w:rPr>
          <w:sz w:val="24"/>
          <w:szCs w:val="24"/>
          <w:lang w:val="sr-Latn-ME"/>
        </w:rPr>
      </w:pPr>
      <w:r w:rsidRPr="00FE626F">
        <w:rPr>
          <w:sz w:val="24"/>
          <w:szCs w:val="24"/>
          <w:lang w:val="sr-Latn-ME"/>
        </w:rPr>
        <w:lastRenderedPageBreak/>
        <w:t>Na</w:t>
      </w:r>
      <w:r w:rsidR="00241AE1" w:rsidRPr="00FE626F">
        <w:rPr>
          <w:sz w:val="24"/>
          <w:szCs w:val="24"/>
          <w:lang w:val="sr-Latn-ME"/>
        </w:rPr>
        <w:t xml:space="preserve"> </w:t>
      </w:r>
      <w:r w:rsidRPr="00FE626F">
        <w:rPr>
          <w:sz w:val="24"/>
          <w:szCs w:val="24"/>
          <w:lang w:val="sr-Latn-ME"/>
        </w:rPr>
        <w:t>nivou</w:t>
      </w:r>
      <w:r w:rsidR="00241AE1" w:rsidRPr="00FE626F">
        <w:rPr>
          <w:b/>
          <w:sz w:val="24"/>
          <w:szCs w:val="24"/>
          <w:lang w:val="sr-Latn-ME"/>
        </w:rPr>
        <w:t xml:space="preserve"> </w:t>
      </w:r>
      <w:r w:rsidR="00801AD6" w:rsidRPr="00FE626F">
        <w:rPr>
          <w:b/>
          <w:sz w:val="24"/>
          <w:szCs w:val="24"/>
          <w:lang w:val="sr-Latn-ME"/>
        </w:rPr>
        <w:t>lokalnih samouprava</w:t>
      </w:r>
      <w:r w:rsidR="00DC74CA">
        <w:rPr>
          <w:b/>
          <w:sz w:val="24"/>
          <w:szCs w:val="24"/>
          <w:lang w:val="sr-Latn-ME"/>
        </w:rPr>
        <w:t>,</w:t>
      </w:r>
      <w:r w:rsidR="00801AD6" w:rsidRPr="00FE626F">
        <w:rPr>
          <w:sz w:val="24"/>
          <w:szCs w:val="24"/>
          <w:lang w:val="sr-Latn-ME"/>
        </w:rPr>
        <w:t xml:space="preserve"> </w:t>
      </w:r>
      <w:r w:rsidRPr="00FE626F">
        <w:rPr>
          <w:sz w:val="24"/>
          <w:szCs w:val="24"/>
          <w:lang w:val="sr-Latn-ME"/>
        </w:rPr>
        <w:t>mehanizmi</w:t>
      </w:r>
      <w:r w:rsidR="00801AD6" w:rsidRPr="00FE626F">
        <w:rPr>
          <w:sz w:val="24"/>
          <w:szCs w:val="24"/>
          <w:lang w:val="sr-Latn-ME"/>
        </w:rPr>
        <w:t xml:space="preserve"> za </w:t>
      </w:r>
      <w:r w:rsidR="00241AE1" w:rsidRPr="00FE626F">
        <w:rPr>
          <w:sz w:val="24"/>
          <w:szCs w:val="24"/>
          <w:lang w:val="sr-Latn-ME"/>
        </w:rPr>
        <w:t>kvalitetno</w:t>
      </w:r>
      <w:r w:rsidR="00801AD6" w:rsidRPr="00FE626F">
        <w:rPr>
          <w:sz w:val="24"/>
          <w:szCs w:val="24"/>
          <w:lang w:val="sr-Latn-ME"/>
        </w:rPr>
        <w:t xml:space="preserve"> i efikasno sprovođenje </w:t>
      </w:r>
      <w:r w:rsidR="00241AE1" w:rsidRPr="00FE626F">
        <w:rPr>
          <w:sz w:val="24"/>
          <w:szCs w:val="24"/>
          <w:lang w:val="sr-Latn-ME"/>
        </w:rPr>
        <w:t xml:space="preserve">mjera iz </w:t>
      </w:r>
      <w:r w:rsidR="00801AD6" w:rsidRPr="00FE626F">
        <w:rPr>
          <w:sz w:val="24"/>
          <w:szCs w:val="24"/>
          <w:lang w:val="sr-Latn-ME"/>
        </w:rPr>
        <w:t xml:space="preserve"> oblasti socijalne</w:t>
      </w:r>
      <w:r w:rsidR="00241AE1" w:rsidRPr="00FE626F">
        <w:rPr>
          <w:sz w:val="24"/>
          <w:szCs w:val="24"/>
          <w:lang w:val="sr-Latn-ME"/>
        </w:rPr>
        <w:t xml:space="preserve"> </w:t>
      </w:r>
      <w:r w:rsidRPr="00FE626F">
        <w:rPr>
          <w:sz w:val="24"/>
          <w:szCs w:val="24"/>
          <w:lang w:val="sr-Latn-ME"/>
        </w:rPr>
        <w:t>i</w:t>
      </w:r>
      <w:r w:rsidR="00241AE1" w:rsidRPr="00FE626F">
        <w:rPr>
          <w:sz w:val="24"/>
          <w:szCs w:val="24"/>
          <w:lang w:val="sr-Latn-ME"/>
        </w:rPr>
        <w:t xml:space="preserve"> d</w:t>
      </w:r>
      <w:r w:rsidR="00EB2F1D">
        <w:rPr>
          <w:sz w:val="24"/>
          <w:szCs w:val="24"/>
          <w:lang w:val="sr-Latn-ME"/>
        </w:rPr>
        <w:t>ječj</w:t>
      </w:r>
      <w:r w:rsidR="00241AE1" w:rsidRPr="00FE626F">
        <w:rPr>
          <w:sz w:val="24"/>
          <w:szCs w:val="24"/>
          <w:lang w:val="sr-Latn-ME"/>
        </w:rPr>
        <w:t>e</w:t>
      </w:r>
      <w:r w:rsidR="00801AD6" w:rsidRPr="00FE626F">
        <w:rPr>
          <w:sz w:val="24"/>
          <w:szCs w:val="24"/>
          <w:lang w:val="sr-Latn-ME"/>
        </w:rPr>
        <w:t xml:space="preserve"> zaštite</w:t>
      </w:r>
      <w:r w:rsidR="00241AE1" w:rsidRPr="00FE626F">
        <w:rPr>
          <w:sz w:val="24"/>
          <w:szCs w:val="24"/>
          <w:lang w:val="sr-Latn-ME"/>
        </w:rPr>
        <w:t xml:space="preserve"> su nedovoljno razvijeni</w:t>
      </w:r>
      <w:r w:rsidR="00801AD6" w:rsidRPr="00FE626F">
        <w:rPr>
          <w:sz w:val="24"/>
          <w:szCs w:val="24"/>
          <w:lang w:val="sr-Latn-ME"/>
        </w:rPr>
        <w:t xml:space="preserve">. U prethodnom </w:t>
      </w:r>
      <w:r w:rsidR="00241AE1" w:rsidRPr="00FE626F">
        <w:rPr>
          <w:sz w:val="24"/>
          <w:szCs w:val="24"/>
          <w:lang w:val="sr-Latn-ME"/>
        </w:rPr>
        <w:t>periodu</w:t>
      </w:r>
      <w:r w:rsidR="00801AD6" w:rsidRPr="00FE626F">
        <w:rPr>
          <w:sz w:val="24"/>
          <w:szCs w:val="24"/>
          <w:lang w:val="sr-Latn-ME"/>
        </w:rPr>
        <w:t xml:space="preserve"> izrada </w:t>
      </w:r>
      <w:r w:rsidRPr="00FE626F">
        <w:rPr>
          <w:sz w:val="24"/>
          <w:szCs w:val="24"/>
          <w:lang w:val="sr-Latn-ME"/>
        </w:rPr>
        <w:t xml:space="preserve">i revidiranje </w:t>
      </w:r>
      <w:r w:rsidR="00801AD6" w:rsidRPr="00FE626F">
        <w:rPr>
          <w:sz w:val="24"/>
          <w:szCs w:val="24"/>
          <w:lang w:val="sr-Latn-ME"/>
        </w:rPr>
        <w:t xml:space="preserve">lokalnih </w:t>
      </w:r>
      <w:r w:rsidR="00241AE1" w:rsidRPr="00FE626F">
        <w:rPr>
          <w:sz w:val="24"/>
          <w:szCs w:val="24"/>
          <w:lang w:val="sr-Latn-ME"/>
        </w:rPr>
        <w:t xml:space="preserve">planova za </w:t>
      </w:r>
      <w:r w:rsidR="00801AD6" w:rsidRPr="00FE626F">
        <w:rPr>
          <w:sz w:val="24"/>
          <w:szCs w:val="24"/>
          <w:lang w:val="sr-Latn-ME"/>
        </w:rPr>
        <w:t>socijaln</w:t>
      </w:r>
      <w:r w:rsidR="00241AE1" w:rsidRPr="00FE626F">
        <w:rPr>
          <w:sz w:val="24"/>
          <w:szCs w:val="24"/>
          <w:lang w:val="sr-Latn-ME"/>
        </w:rPr>
        <w:t>u</w:t>
      </w:r>
      <w:r w:rsidR="00801AD6" w:rsidRPr="00FE626F">
        <w:rPr>
          <w:sz w:val="24"/>
          <w:szCs w:val="24"/>
          <w:lang w:val="sr-Latn-ME"/>
        </w:rPr>
        <w:t xml:space="preserve"> </w:t>
      </w:r>
      <w:r w:rsidRPr="00FE626F">
        <w:rPr>
          <w:sz w:val="24"/>
          <w:szCs w:val="24"/>
          <w:lang w:val="sr-Latn-ME"/>
        </w:rPr>
        <w:t>i</w:t>
      </w:r>
      <w:r w:rsidR="00241AE1" w:rsidRPr="00FE626F">
        <w:rPr>
          <w:sz w:val="24"/>
          <w:szCs w:val="24"/>
          <w:lang w:val="sr-Latn-ME"/>
        </w:rPr>
        <w:t xml:space="preserve"> d</w:t>
      </w:r>
      <w:r w:rsidR="00EB2F1D">
        <w:rPr>
          <w:sz w:val="24"/>
          <w:szCs w:val="24"/>
          <w:lang w:val="sr-Latn-ME"/>
        </w:rPr>
        <w:t>ječj</w:t>
      </w:r>
      <w:r w:rsidR="00241AE1" w:rsidRPr="00FE626F">
        <w:rPr>
          <w:sz w:val="24"/>
          <w:szCs w:val="24"/>
          <w:lang w:val="sr-Latn-ME"/>
        </w:rPr>
        <w:t xml:space="preserve">u </w:t>
      </w:r>
      <w:r w:rsidR="00801AD6" w:rsidRPr="00FE626F">
        <w:rPr>
          <w:sz w:val="24"/>
          <w:szCs w:val="24"/>
          <w:lang w:val="sr-Latn-ME"/>
        </w:rPr>
        <w:t>zaštit</w:t>
      </w:r>
      <w:r w:rsidR="00241AE1" w:rsidRPr="00FE626F">
        <w:rPr>
          <w:sz w:val="24"/>
          <w:szCs w:val="24"/>
          <w:lang w:val="sr-Latn-ME"/>
        </w:rPr>
        <w:t>u</w:t>
      </w:r>
      <w:r w:rsidR="00801AD6" w:rsidRPr="00FE626F">
        <w:rPr>
          <w:sz w:val="24"/>
          <w:szCs w:val="24"/>
          <w:lang w:val="sr-Latn-ME"/>
        </w:rPr>
        <w:t xml:space="preserve">, </w:t>
      </w:r>
      <w:r w:rsidRPr="00FE626F">
        <w:rPr>
          <w:sz w:val="24"/>
          <w:szCs w:val="24"/>
          <w:lang w:val="sr-Latn-ME"/>
        </w:rPr>
        <w:t>koja je bila definisana prethodnim strateškim dokumentom čiji si nosioci bile lokalne samouprave</w:t>
      </w:r>
      <w:r w:rsidR="00DC74CA">
        <w:rPr>
          <w:sz w:val="24"/>
          <w:szCs w:val="24"/>
          <w:lang w:val="sr-Latn-ME"/>
        </w:rPr>
        <w:t>,</w:t>
      </w:r>
      <w:r w:rsidRPr="00FE626F">
        <w:rPr>
          <w:sz w:val="24"/>
          <w:szCs w:val="24"/>
          <w:lang w:val="sr-Latn-ME"/>
        </w:rPr>
        <w:t xml:space="preserve"> realizovan</w:t>
      </w:r>
      <w:r w:rsidR="00DC74CA">
        <w:rPr>
          <w:sz w:val="24"/>
          <w:szCs w:val="24"/>
          <w:lang w:val="sr-Latn-ME"/>
        </w:rPr>
        <w:t>i</w:t>
      </w:r>
      <w:r w:rsidRPr="00FE626F">
        <w:rPr>
          <w:sz w:val="24"/>
          <w:szCs w:val="24"/>
          <w:lang w:val="sr-Latn-ME"/>
        </w:rPr>
        <w:t xml:space="preserve"> </w:t>
      </w:r>
      <w:r w:rsidR="00DC74CA">
        <w:rPr>
          <w:sz w:val="24"/>
          <w:szCs w:val="24"/>
          <w:lang w:val="sr-Latn-ME"/>
        </w:rPr>
        <w:t>su</w:t>
      </w:r>
      <w:r w:rsidR="00DC74CA" w:rsidRPr="00FE626F">
        <w:rPr>
          <w:sz w:val="24"/>
          <w:szCs w:val="24"/>
          <w:lang w:val="sr-Latn-ME"/>
        </w:rPr>
        <w:t xml:space="preserve"> </w:t>
      </w:r>
      <w:r w:rsidRPr="00FE626F">
        <w:rPr>
          <w:sz w:val="24"/>
          <w:szCs w:val="24"/>
          <w:lang w:val="sr-Latn-ME"/>
        </w:rPr>
        <w:t>na veoma niskom nivou, što ukazuje na postojanje potrebe za pružanjem podrške prilikom izrade i revidir</w:t>
      </w:r>
      <w:r w:rsidR="00DC74CA">
        <w:rPr>
          <w:sz w:val="24"/>
          <w:szCs w:val="24"/>
          <w:lang w:val="sr-Latn-ME"/>
        </w:rPr>
        <w:t>a</w:t>
      </w:r>
      <w:r w:rsidRPr="00FE626F">
        <w:rPr>
          <w:sz w:val="24"/>
          <w:szCs w:val="24"/>
          <w:lang w:val="sr-Latn-ME"/>
        </w:rPr>
        <w:t xml:space="preserve">nja lokalnih planova u narednom </w:t>
      </w:r>
      <w:r w:rsidR="00B815C1" w:rsidRPr="00FE626F">
        <w:rPr>
          <w:sz w:val="24"/>
          <w:szCs w:val="24"/>
          <w:lang w:val="sr-Latn-ME"/>
        </w:rPr>
        <w:t>period</w:t>
      </w:r>
      <w:r w:rsidR="00DC74CA">
        <w:rPr>
          <w:sz w:val="24"/>
          <w:szCs w:val="24"/>
          <w:lang w:val="sr-Latn-ME"/>
        </w:rPr>
        <w:t>u</w:t>
      </w:r>
      <w:r w:rsidR="00B815C1" w:rsidRPr="00FE626F">
        <w:rPr>
          <w:sz w:val="24"/>
          <w:szCs w:val="24"/>
          <w:lang w:val="sr-Latn-ME"/>
        </w:rPr>
        <w:t xml:space="preserve">. </w:t>
      </w:r>
      <w:r w:rsidR="005E4A7F" w:rsidRPr="00400090">
        <w:rPr>
          <w:sz w:val="24"/>
          <w:szCs w:val="24"/>
        </w:rPr>
        <w:t>Prilikom izrade samih planova lokalnih samouprava neophodno je oslanjanje na prethodnu analizu potreba muškaraca i žena na lokalnom nivou, kao bi razvoj samih usluga bio ciljano usmjeren na unapredjivanje kvaliteta njihovog života</w:t>
      </w:r>
      <w:r w:rsidR="00400090">
        <w:rPr>
          <w:sz w:val="24"/>
          <w:szCs w:val="24"/>
        </w:rPr>
        <w:t>.</w:t>
      </w:r>
    </w:p>
    <w:p w14:paraId="1C8217E4" w14:textId="77777777" w:rsidR="00B815C1" w:rsidRPr="002542E0" w:rsidRDefault="00220341" w:rsidP="00FE626F">
      <w:pPr>
        <w:spacing w:after="160"/>
        <w:jc w:val="both"/>
        <w:rPr>
          <w:rFonts w:cs="Arial"/>
          <w:sz w:val="24"/>
          <w:szCs w:val="24"/>
          <w:lang w:val="sr-Latn-ME"/>
        </w:rPr>
      </w:pPr>
      <w:r w:rsidRPr="00FE626F">
        <w:rPr>
          <w:rFonts w:ascii="Cambria" w:eastAsia="Times New Roman" w:hAnsi="Cambria" w:cs="Arial"/>
          <w:sz w:val="24"/>
          <w:szCs w:val="24"/>
          <w:lang w:val="sr-Latn-ME" w:eastAsia="sr-Latn-ME"/>
        </w:rPr>
        <w:t> </w:t>
      </w:r>
      <w:r w:rsidR="00B815C1" w:rsidRPr="002542E0">
        <w:rPr>
          <w:rFonts w:asciiTheme="minorHAnsi" w:hAnsiTheme="minorHAnsi"/>
          <w:sz w:val="24"/>
          <w:szCs w:val="24"/>
          <w:lang w:val="sr-Latn-ME"/>
        </w:rPr>
        <w:br/>
      </w:r>
      <w:r w:rsidR="00B815C1" w:rsidRPr="002542E0">
        <w:rPr>
          <w:rFonts w:cs="Arial"/>
          <w:b/>
          <w:bCs/>
          <w:sz w:val="24"/>
          <w:szCs w:val="24"/>
          <w:lang w:val="sr-Latn-ME"/>
        </w:rPr>
        <w:t>Evropski socijalni fond (ESF)</w:t>
      </w:r>
      <w:r w:rsidR="00B815C1" w:rsidRPr="002542E0">
        <w:rPr>
          <w:rFonts w:cs="Arial"/>
          <w:sz w:val="24"/>
          <w:szCs w:val="24"/>
          <w:lang w:val="sr-Latn-ME"/>
        </w:rPr>
        <w:t xml:space="preserve"> je glavni instrument E</w:t>
      </w:r>
      <w:r w:rsidR="00DC74CA">
        <w:rPr>
          <w:rFonts w:cs="Arial"/>
          <w:sz w:val="24"/>
          <w:szCs w:val="24"/>
          <w:lang w:val="sr-Latn-ME"/>
        </w:rPr>
        <w:t>v</w:t>
      </w:r>
      <w:r w:rsidR="00B815C1" w:rsidRPr="002542E0">
        <w:rPr>
          <w:rFonts w:cs="Arial"/>
          <w:sz w:val="24"/>
          <w:szCs w:val="24"/>
          <w:lang w:val="sr-Latn-ME"/>
        </w:rPr>
        <w:t>ropske unije za ulaganje u ljude i implementaciju  </w:t>
      </w:r>
      <w:hyperlink r:id="rId42" w:tgtFrame="_blank" w:history="1">
        <w:r w:rsidR="00B815C1" w:rsidRPr="002542E0">
          <w:rPr>
            <w:rFonts w:cs="Arial"/>
            <w:sz w:val="24"/>
            <w:szCs w:val="24"/>
            <w:lang w:val="sr-Latn-ME"/>
          </w:rPr>
          <w:t>E</w:t>
        </w:r>
        <w:r w:rsidR="00940897">
          <w:rPr>
            <w:rFonts w:cs="Arial"/>
            <w:sz w:val="24"/>
            <w:szCs w:val="24"/>
            <w:lang w:val="sr-Latn-ME"/>
          </w:rPr>
          <w:t>v</w:t>
        </w:r>
        <w:r w:rsidR="00B815C1" w:rsidRPr="002542E0">
          <w:rPr>
            <w:rFonts w:cs="Arial"/>
            <w:sz w:val="24"/>
            <w:szCs w:val="24"/>
            <w:lang w:val="sr-Latn-ME"/>
          </w:rPr>
          <w:t>ropskog stupa socijalnih prava</w:t>
        </w:r>
      </w:hyperlink>
      <w:r w:rsidR="00B815C1" w:rsidRPr="002542E0">
        <w:rPr>
          <w:rFonts w:cs="Arial"/>
          <w:sz w:val="24"/>
          <w:szCs w:val="24"/>
          <w:lang w:val="sr-Latn-ME"/>
        </w:rPr>
        <w:t>.</w:t>
      </w:r>
    </w:p>
    <w:p w14:paraId="45DB4EBC" w14:textId="77777777" w:rsidR="00B815C1" w:rsidRPr="00FE626F" w:rsidRDefault="00B815C1" w:rsidP="00FE626F">
      <w:pPr>
        <w:spacing w:after="160"/>
        <w:jc w:val="both"/>
        <w:rPr>
          <w:rFonts w:cs="Arial"/>
          <w:sz w:val="24"/>
          <w:szCs w:val="24"/>
          <w:lang w:val="sr-Latn-ME"/>
        </w:rPr>
      </w:pPr>
      <w:r w:rsidRPr="00FE626F">
        <w:rPr>
          <w:rFonts w:cs="Arial"/>
          <w:sz w:val="24"/>
          <w:szCs w:val="24"/>
          <w:lang w:val="sr-Latn-ME"/>
        </w:rPr>
        <w:t>Članstvom u EU</w:t>
      </w:r>
      <w:r w:rsidR="00940897">
        <w:rPr>
          <w:rFonts w:cs="Arial"/>
          <w:sz w:val="24"/>
          <w:szCs w:val="24"/>
          <w:lang w:val="sr-Latn-ME"/>
        </w:rPr>
        <w:t>,</w:t>
      </w:r>
      <w:r w:rsidRPr="00FE626F">
        <w:rPr>
          <w:rFonts w:cs="Arial"/>
          <w:sz w:val="24"/>
          <w:szCs w:val="24"/>
          <w:lang w:val="sr-Latn-ME"/>
        </w:rPr>
        <w:t xml:space="preserve"> Crna Gora će na raspolaganju imati 8 do 10 puta veće iznose finansijske podrške iz Evropskog socijalnog fonda (ESF) u odnosu na novac koji trenutno dobija u okviru Instrumenta pretpristupne podrške (IPA). Ova sredstva predstavljaju značaj</w:t>
      </w:r>
      <w:r w:rsidR="00940897">
        <w:rPr>
          <w:rFonts w:cs="Arial"/>
          <w:sz w:val="24"/>
          <w:szCs w:val="24"/>
          <w:lang w:val="sr-Latn-ME"/>
        </w:rPr>
        <w:t>an</w:t>
      </w:r>
      <w:r w:rsidRPr="00FE626F">
        <w:rPr>
          <w:rFonts w:cs="Arial"/>
          <w:sz w:val="24"/>
          <w:szCs w:val="24"/>
          <w:lang w:val="sr-Latn-ME"/>
        </w:rPr>
        <w:t xml:space="preserve"> resurs za r</w:t>
      </w:r>
      <w:r w:rsidR="00940897">
        <w:rPr>
          <w:rFonts w:cs="Arial"/>
          <w:sz w:val="24"/>
          <w:szCs w:val="24"/>
          <w:lang w:val="sr-Latn-ME"/>
        </w:rPr>
        <w:t>j</w:t>
      </w:r>
      <w:r w:rsidRPr="00FE626F">
        <w:rPr>
          <w:rFonts w:cs="Arial"/>
          <w:sz w:val="24"/>
          <w:szCs w:val="24"/>
          <w:lang w:val="sr-Latn-ME"/>
        </w:rPr>
        <w:t>ešavanje brojnih izazova u oblasti socijalne i dječje zaštite, ali uz pretpostavku da postoje ojačani administrativni kapaciteti za upravljanje pomenutim sredstvima. S tim u vezi, sve aktivnosti koje su sprovodene kroz prethodne Operativne programe koji su se finansirali iz IPA I i IPA II finansijske perspektive za sektor zapošljavanja i socijalne inkluzije govore o pripremanju crnogorske administracije za koriš</w:t>
      </w:r>
      <w:r w:rsidR="00940897">
        <w:rPr>
          <w:rFonts w:cs="Arial"/>
          <w:sz w:val="24"/>
          <w:szCs w:val="24"/>
          <w:lang w:val="sr-Latn-ME"/>
        </w:rPr>
        <w:t>ć</w:t>
      </w:r>
      <w:r w:rsidRPr="00FE626F">
        <w:rPr>
          <w:rFonts w:cs="Arial"/>
          <w:sz w:val="24"/>
          <w:szCs w:val="24"/>
          <w:lang w:val="sr-Latn-ME"/>
        </w:rPr>
        <w:t>enje Evropskog socijalnog fonda (ESP) po ulasku u EU i ispunjavanju obaveze iz PP 19</w:t>
      </w:r>
      <w:r w:rsidRPr="00FE626F">
        <w:rPr>
          <w:rFonts w:cs="Arial"/>
          <w:b/>
          <w:bCs/>
          <w:sz w:val="24"/>
          <w:szCs w:val="24"/>
          <w:lang w:val="sr-Latn-ME"/>
        </w:rPr>
        <w:t>,</w:t>
      </w:r>
      <w:r w:rsidRPr="00FE626F">
        <w:rPr>
          <w:rFonts w:cs="Arial"/>
          <w:sz w:val="24"/>
          <w:szCs w:val="24"/>
          <w:lang w:val="sr-Latn-ME"/>
        </w:rPr>
        <w:t> odnosno ispunjavanju završnog mjerila koje poziva na uspostavljanje administrativnih kapaciteta za buduće korišćenje ESF-a.</w:t>
      </w:r>
    </w:p>
    <w:p w14:paraId="09685206" w14:textId="77777777" w:rsidR="00B815C1" w:rsidRPr="00F96844" w:rsidRDefault="00B815C1" w:rsidP="00FE626F">
      <w:pPr>
        <w:spacing w:after="160"/>
        <w:jc w:val="both"/>
        <w:rPr>
          <w:rFonts w:cs="Arial"/>
          <w:sz w:val="24"/>
          <w:szCs w:val="24"/>
          <w:lang w:val="sr-Latn-ME"/>
        </w:rPr>
      </w:pPr>
      <w:r w:rsidRPr="00FE626F">
        <w:rPr>
          <w:rFonts w:cs="Arial"/>
          <w:sz w:val="24"/>
          <w:szCs w:val="24"/>
          <w:lang w:val="sr-Latn-ME"/>
        </w:rPr>
        <w:t>Jedna od njih bili su projekti u okviru Višegodišnjeg operativnog programa za zapošljavanje, obrazovanje i socijalnu zaštitu (SOPEES 2015</w:t>
      </w:r>
      <w:r w:rsidR="00940897">
        <w:rPr>
          <w:rFonts w:cs="Arial"/>
          <w:sz w:val="24"/>
          <w:szCs w:val="24"/>
          <w:lang w:val="sr-Latn-ME"/>
        </w:rPr>
        <w:t>‒</w:t>
      </w:r>
      <w:r w:rsidRPr="00FE626F">
        <w:rPr>
          <w:rFonts w:cs="Arial"/>
          <w:sz w:val="24"/>
          <w:szCs w:val="24"/>
          <w:lang w:val="sr-Latn-ME"/>
        </w:rPr>
        <w:t>2017) „Tehnička pomoć Operativnoj strukturi za Sektorski operativni program za zapošljavanje, obrazovanje i socijalnu politiku“  i  „Jačanje kapaciteta sistema socijalne i dječje zaštite“ koji su imali za cilj pružanje podrške crnogorskim institucijama da ojačaju svoje kapacitete. Kao svojevrsni nastavak i nadgradnja očekivanih rezultata, kroz Jednogodišnji Akcioni dokument „Podrška pametnom i inkluzivnom rastu – obrazovanje, zapošljavanje i socijalna inkluzija 2020“ jačaju se kapaciteti institucija korisnica da preuzmu ob</w:t>
      </w:r>
      <w:r w:rsidR="00940897">
        <w:rPr>
          <w:rFonts w:cs="Arial"/>
          <w:sz w:val="24"/>
          <w:szCs w:val="24"/>
          <w:lang w:val="sr-Latn-ME"/>
        </w:rPr>
        <w:t>a</w:t>
      </w:r>
      <w:r w:rsidRPr="00FE626F">
        <w:rPr>
          <w:rFonts w:cs="Arial"/>
          <w:sz w:val="24"/>
          <w:szCs w:val="24"/>
          <w:lang w:val="sr-Latn-ME"/>
        </w:rPr>
        <w:t>veze koje</w:t>
      </w:r>
      <w:r w:rsidRPr="00F96844">
        <w:rPr>
          <w:rFonts w:cs="Arial"/>
          <w:sz w:val="24"/>
          <w:szCs w:val="24"/>
          <w:lang w:val="sr-Latn-ME"/>
        </w:rPr>
        <w:t xml:space="preserve"> proizlaze iz procesa pristupanja EU u sektoru zapošljavanja i socijalne zaštite (u skladu s Poglavljem 2, Poglavljem 19 i Poglavljem 22).</w:t>
      </w:r>
    </w:p>
    <w:p w14:paraId="7CA75031" w14:textId="1990568C" w:rsidR="006E2B7C" w:rsidRPr="006E2B7C" w:rsidRDefault="006E2B7C" w:rsidP="006E2B7C">
      <w:pPr>
        <w:spacing w:after="160"/>
        <w:jc w:val="both"/>
        <w:rPr>
          <w:rFonts w:cs="Arial"/>
          <w:sz w:val="24"/>
          <w:szCs w:val="24"/>
          <w:lang w:val="sr-Latn-ME"/>
        </w:rPr>
      </w:pPr>
      <w:r w:rsidRPr="006E2B7C">
        <w:rPr>
          <w:rFonts w:cs="Arial"/>
          <w:sz w:val="24"/>
          <w:szCs w:val="24"/>
          <w:lang w:val="sr-Latn-ME"/>
        </w:rPr>
        <w:t>Nadalje, bivše Ministarstvo rada i socijalnog staranja</w:t>
      </w:r>
      <w:r w:rsidR="00066657">
        <w:rPr>
          <w:rFonts w:cs="Arial"/>
          <w:sz w:val="24"/>
          <w:szCs w:val="24"/>
          <w:lang w:val="sr-Latn-ME"/>
        </w:rPr>
        <w:t xml:space="preserve"> </w:t>
      </w:r>
      <w:r w:rsidRPr="006E2B7C">
        <w:rPr>
          <w:rFonts w:cs="Arial"/>
          <w:sz w:val="24"/>
          <w:szCs w:val="24"/>
          <w:lang w:val="sr-Latn-ME"/>
        </w:rPr>
        <w:t>u skladu sa smjernicama Evropske komisije finalizovalo je</w:t>
      </w:r>
      <w:r w:rsidR="00066657">
        <w:rPr>
          <w:rFonts w:cs="Arial"/>
          <w:sz w:val="24"/>
          <w:szCs w:val="24"/>
          <w:lang w:val="sr-Latn-ME"/>
        </w:rPr>
        <w:t xml:space="preserve"> </w:t>
      </w:r>
      <w:r w:rsidRPr="006E2B7C">
        <w:rPr>
          <w:rFonts w:cs="Arial"/>
          <w:sz w:val="24"/>
          <w:szCs w:val="24"/>
          <w:lang w:val="sr-Latn-ME"/>
        </w:rPr>
        <w:t>proces programiranja nove IPA III finansijske perspektive započet 2022. godine ‒ definisanjem prioriteta kroz pripremu Strateškog odgovora i izradom nacrta za Višegodišnji Operativni program za zapošljavanje i socijalnu inkluziju 2024‒2027. (IPA III). Ključni kriterijumi za dobijanje finansijske podrške EU su relevantnost i zrelost predloženih projekata, a sve u cilju pripreme država za buduće korišćenje Evropskih strukturnih i kohezionih</w:t>
      </w:r>
      <w:r w:rsidR="00066657">
        <w:rPr>
          <w:rFonts w:cs="Arial"/>
          <w:sz w:val="24"/>
          <w:szCs w:val="24"/>
          <w:lang w:val="sr-Latn-ME"/>
        </w:rPr>
        <w:t xml:space="preserve"> </w:t>
      </w:r>
      <w:r w:rsidRPr="006E2B7C">
        <w:rPr>
          <w:rFonts w:cs="Arial"/>
          <w:sz w:val="24"/>
          <w:szCs w:val="24"/>
          <w:lang w:val="sr-Latn-ME"/>
        </w:rPr>
        <w:t xml:space="preserve">fondova. Ovakav pristup će zahtijevati dodatni angažman i jačanje kapaciteta cjelokupne administracije, kako bi ispunili kriterijume koje je Evropska komisija definisala. S tim u vezi, izrađen je i nacrt Jednogodišnjeg Akcionog dokumenta za 2024. godinu kao pripremnog dokumenta za realizaciju Višegodišnjeg Operativnog programa za zapošljavanje i socijalnu inkluziju 2024‒2027. (IPA III), čiji je cilj da se poboljšaju kapaciteti Crne Gore za efikasno i efektivno korišćenje IPA III i </w:t>
      </w:r>
      <w:r w:rsidRPr="006E2B7C">
        <w:rPr>
          <w:rFonts w:cs="Arial"/>
          <w:sz w:val="24"/>
          <w:szCs w:val="24"/>
          <w:lang w:val="sr-Latn-ME"/>
        </w:rPr>
        <w:lastRenderedPageBreak/>
        <w:t xml:space="preserve">budućih fondova kohezione politike EU/ESF kroz podršku uspostavljanju funkcionalnih operativnih struktura, pripremnog rada i kapaciteta za razvoj relevantnih programa i projekata u oblasti zapošljavanja i socijalne inkluzije. </w:t>
      </w:r>
    </w:p>
    <w:p w14:paraId="51B0DC44" w14:textId="77777777" w:rsidR="006E2B7C" w:rsidRDefault="006E2B7C" w:rsidP="006E2B7C">
      <w:pPr>
        <w:spacing w:after="160"/>
        <w:jc w:val="both"/>
        <w:rPr>
          <w:rFonts w:cs="Arial"/>
          <w:sz w:val="24"/>
          <w:szCs w:val="24"/>
          <w:lang w:val="sr-Latn-ME"/>
        </w:rPr>
      </w:pPr>
      <w:r w:rsidRPr="006E2B7C">
        <w:rPr>
          <w:rFonts w:cs="Arial"/>
          <w:sz w:val="24"/>
          <w:szCs w:val="24"/>
          <w:lang w:val="sr-Latn-ME"/>
        </w:rPr>
        <w:t>Nova IPA III finansijska perspektiva predstavlja test institucionalnog opterećenja za buduću upotrebu Evropskog socijalnog fonda (uz mapiranje uskih grla u procesu i sistemu).  Ministarstvo socijalnog staranja, brige o porodici i demografije, kao buduće Posredničko tijelo za upravljanje politikama za Operativni program za zapošljavanje i socijalnu politiku 2024‒2027. trebalo bi da posebnu pažnju usmjeri na osobe u riziku od siromaštva i socijalne isključenosti, posebno na djecu u nepovoljnom socio-ekonomskom položaju, mlade, kao i ostale ranjive kategorije, uključujući i žene, u cilju obezbjeđivanja njihove pune ravnopravnosti u društvu.</w:t>
      </w:r>
    </w:p>
    <w:p w14:paraId="64CD14E9" w14:textId="41FE3E82" w:rsidR="00B815C1" w:rsidRPr="00F96844" w:rsidRDefault="00B815C1" w:rsidP="006E2B7C">
      <w:pPr>
        <w:spacing w:after="160"/>
        <w:jc w:val="both"/>
        <w:rPr>
          <w:rFonts w:cs="Arial"/>
          <w:sz w:val="24"/>
          <w:szCs w:val="24"/>
          <w:lang w:val="sr-Latn-ME"/>
        </w:rPr>
      </w:pPr>
      <w:r w:rsidRPr="00F96844">
        <w:rPr>
          <w:rFonts w:cs="Arial"/>
          <w:sz w:val="24"/>
          <w:szCs w:val="24"/>
          <w:lang w:val="sr-Latn-ME"/>
        </w:rPr>
        <w:t>Takođe, implementacija prethodnih Operativnih programa pokazala je partnerstvo sa socijalnim partnerima i organizacijama civilnoga društva (OCD) koje imaju puni potencijal za ostvarivanje zadatih ciljeva u procesu pristupanja Crne Gore ka EU. Kroz implementaciju aktivnosti, socijalni partneri i OCD-ovi imaju mogućnost razvoja svojih kapaciteta za ostvarivanje ESF ciljeva. Činjenica je da su OCD-ovi posebno aktivni u pružanju socijalnih usluga i implementaciji aktivnosti za socijalno uključivanje ranjivih grupa. </w:t>
      </w:r>
    </w:p>
    <w:p w14:paraId="2AA82074" w14:textId="77777777" w:rsidR="00B815C1" w:rsidRPr="00F96844" w:rsidRDefault="00B815C1" w:rsidP="00FE626F">
      <w:pPr>
        <w:spacing w:after="160"/>
        <w:jc w:val="both"/>
        <w:rPr>
          <w:rFonts w:cs="Arial"/>
          <w:sz w:val="24"/>
          <w:szCs w:val="24"/>
          <w:lang w:val="sr-Latn-ME"/>
        </w:rPr>
      </w:pPr>
      <w:r w:rsidRPr="00F96844">
        <w:rPr>
          <w:rFonts w:cs="Arial"/>
          <w:sz w:val="24"/>
          <w:szCs w:val="24"/>
          <w:lang w:val="sr-Latn-ME"/>
        </w:rPr>
        <w:t>Najbitniji ciljevi socijalne politike Evropske unije jesu postizanje jedinstvenog i pravednog pristupa osnovnim socijalnim uslugama, unapređenje sistema socijalne zaštite, visoka stopa zaposlenosti, dobri uslovi rada, visoka produktivnost i socijalna kohezija.  S tim u vezi, izazovi Crne Gore su unapređenje normativnog okvira u socijalnoj i dječjoj zaštiti, unapređenje sistema kvaliteta u socijalnoj i dječjoj zaštiti i unapređenje usluga socijalne i dječje zaštite, stvaranje preduslova za nastavak deinstitucionalizacije</w:t>
      </w:r>
      <w:r w:rsidR="00940897">
        <w:rPr>
          <w:rFonts w:cs="Arial"/>
          <w:sz w:val="24"/>
          <w:szCs w:val="24"/>
          <w:lang w:val="sr-Latn-ME"/>
        </w:rPr>
        <w:t>,</w:t>
      </w:r>
      <w:r w:rsidRPr="00F96844">
        <w:rPr>
          <w:rFonts w:cs="Arial"/>
          <w:sz w:val="24"/>
          <w:szCs w:val="24"/>
          <w:lang w:val="sr-Latn-ME"/>
        </w:rPr>
        <w:t xml:space="preserve"> što su  preporuke EK u po</w:t>
      </w:r>
      <w:r w:rsidR="009F661D">
        <w:rPr>
          <w:rFonts w:cs="Arial"/>
          <w:sz w:val="24"/>
          <w:szCs w:val="24"/>
          <w:lang w:val="sr-Latn-ME"/>
        </w:rPr>
        <w:t>sljed</w:t>
      </w:r>
      <w:r w:rsidRPr="00F96844">
        <w:rPr>
          <w:rFonts w:cs="Arial"/>
          <w:sz w:val="24"/>
          <w:szCs w:val="24"/>
          <w:lang w:val="sr-Latn-ME"/>
        </w:rPr>
        <w:t xml:space="preserve">njim </w:t>
      </w:r>
      <w:r w:rsidR="00FE626F">
        <w:rPr>
          <w:rFonts w:cs="Arial"/>
          <w:sz w:val="24"/>
          <w:szCs w:val="24"/>
          <w:lang w:val="sr-Latn-ME"/>
        </w:rPr>
        <w:t>Izvještajima EK za Crnu Goru.  </w:t>
      </w:r>
    </w:p>
    <w:p w14:paraId="0EF1C953" w14:textId="77777777" w:rsidR="00B815C1" w:rsidRPr="00F96844" w:rsidRDefault="00B815C1" w:rsidP="00FE626F">
      <w:pPr>
        <w:spacing w:after="160"/>
        <w:jc w:val="both"/>
        <w:rPr>
          <w:rFonts w:cs="Arial"/>
          <w:sz w:val="24"/>
          <w:szCs w:val="24"/>
          <w:lang w:val="sr-Latn-ME"/>
        </w:rPr>
      </w:pPr>
      <w:r w:rsidRPr="00F96844">
        <w:rPr>
          <w:rFonts w:cs="Arial"/>
          <w:sz w:val="24"/>
          <w:szCs w:val="24"/>
          <w:lang w:val="sr-Latn-ME"/>
        </w:rPr>
        <w:t xml:space="preserve">Razlozi za donošenje novog </w:t>
      </w:r>
      <w:r w:rsidR="0084108E" w:rsidRPr="00F96844">
        <w:rPr>
          <w:rFonts w:cs="Arial"/>
          <w:sz w:val="24"/>
          <w:szCs w:val="24"/>
          <w:lang w:val="sr-Latn-ME"/>
        </w:rPr>
        <w:t>Z</w:t>
      </w:r>
      <w:r w:rsidRPr="00F96844">
        <w:rPr>
          <w:rFonts w:cs="Arial"/>
          <w:sz w:val="24"/>
          <w:szCs w:val="24"/>
          <w:lang w:val="sr-Latn-ME"/>
        </w:rPr>
        <w:t>akona o socijalnoj i dječjoj zaštiti, proističu iz potrebe daljeg unapređenja kvaliteta života pojedinca</w:t>
      </w:r>
      <w:r w:rsidR="002542E0">
        <w:rPr>
          <w:rFonts w:cs="Arial"/>
          <w:sz w:val="24"/>
          <w:szCs w:val="24"/>
          <w:lang w:val="sr-Latn-ME"/>
        </w:rPr>
        <w:t>/</w:t>
      </w:r>
      <w:r w:rsidR="00940897">
        <w:rPr>
          <w:rFonts w:cs="Arial"/>
          <w:sz w:val="24"/>
          <w:szCs w:val="24"/>
          <w:lang w:val="sr-Latn-ME"/>
        </w:rPr>
        <w:t>pojedin</w:t>
      </w:r>
      <w:r w:rsidR="002542E0">
        <w:rPr>
          <w:rFonts w:cs="Arial"/>
          <w:sz w:val="24"/>
          <w:szCs w:val="24"/>
          <w:lang w:val="sr-Latn-ME"/>
        </w:rPr>
        <w:t>ke</w:t>
      </w:r>
      <w:r w:rsidRPr="00F96844">
        <w:rPr>
          <w:rFonts w:cs="Arial"/>
          <w:sz w:val="24"/>
          <w:szCs w:val="24"/>
          <w:lang w:val="sr-Latn-ME"/>
        </w:rPr>
        <w:t xml:space="preserve"> i porodice </w:t>
      </w:r>
      <w:r w:rsidR="00940897">
        <w:rPr>
          <w:rFonts w:cs="Arial"/>
          <w:sz w:val="24"/>
          <w:szCs w:val="24"/>
          <w:lang w:val="sr-Latn-ME"/>
        </w:rPr>
        <w:t>tako</w:t>
      </w:r>
      <w:r w:rsidRPr="00F96844">
        <w:rPr>
          <w:rFonts w:cs="Arial"/>
          <w:sz w:val="24"/>
          <w:szCs w:val="24"/>
          <w:lang w:val="sr-Latn-ME"/>
        </w:rPr>
        <w:t xml:space="preserve"> što će se unaprijediti materijalna davanja i usluge iz oblasti socijalne i dječje zaštite, postupak licenciranja pružaoca usluge i licenciranja stručnih radnika, kao i postupak akreditacije programa obuke što će uticati na sistem kvaliteta u socijalnoj i dječjoj zaštiti. Takođe, razlozi za donošenje novog zakona o socijalnoj i dječjoj zaštiti, nalaze se i u cilju usaglašavanja</w:t>
      </w:r>
      <w:r w:rsidR="00867803">
        <w:rPr>
          <w:rFonts w:cs="Arial"/>
          <w:sz w:val="24"/>
          <w:szCs w:val="24"/>
          <w:lang w:val="sr-Latn-ME"/>
        </w:rPr>
        <w:t xml:space="preserve"> s m</w:t>
      </w:r>
      <w:r w:rsidRPr="00F96844">
        <w:rPr>
          <w:rFonts w:cs="Arial"/>
          <w:sz w:val="24"/>
          <w:szCs w:val="24"/>
          <w:lang w:val="sr-Latn-ME"/>
        </w:rPr>
        <w:t>eđunarodnim standardima i ispunjavanja obaveza preuzetih ratifikacijom međunarodnih ugovora, prije svega onih koji se odnose na garancije ljudskih prava i sloboda, prava djeteta i prava lica</w:t>
      </w:r>
      <w:r w:rsidR="00867803">
        <w:rPr>
          <w:rFonts w:cs="Arial"/>
          <w:sz w:val="24"/>
          <w:szCs w:val="24"/>
          <w:lang w:val="sr-Latn-ME"/>
        </w:rPr>
        <w:t xml:space="preserve"> s i</w:t>
      </w:r>
      <w:r w:rsidRPr="00F96844">
        <w:rPr>
          <w:rFonts w:cs="Arial"/>
          <w:sz w:val="24"/>
          <w:szCs w:val="24"/>
          <w:lang w:val="sr-Latn-ME"/>
        </w:rPr>
        <w:t>nvaliditetom.</w:t>
      </w:r>
    </w:p>
    <w:p w14:paraId="6CC53E0E" w14:textId="77777777" w:rsidR="000E29C7" w:rsidRPr="00F96844" w:rsidRDefault="000E29C7" w:rsidP="005114FD">
      <w:pPr>
        <w:jc w:val="both"/>
        <w:rPr>
          <w:rFonts w:cs="Arial"/>
          <w:b/>
          <w:sz w:val="24"/>
          <w:szCs w:val="24"/>
          <w:lang w:val="sr-Latn-ME"/>
        </w:rPr>
      </w:pPr>
    </w:p>
    <w:p w14:paraId="65EA952C" w14:textId="77777777" w:rsidR="00E94870" w:rsidRPr="00F96844" w:rsidRDefault="00E94870" w:rsidP="00E94870">
      <w:pPr>
        <w:jc w:val="both"/>
        <w:rPr>
          <w:rFonts w:cs="Arial"/>
          <w:sz w:val="24"/>
          <w:szCs w:val="24"/>
          <w:lang w:val="sr-Latn-ME"/>
        </w:rPr>
      </w:pPr>
    </w:p>
    <w:tbl>
      <w:tblPr>
        <w:tblStyle w:val="GridTable4-Accent4"/>
        <w:tblpPr w:leftFromText="180" w:rightFromText="180" w:vertAnchor="text" w:horzAnchor="margin" w:tblpX="-545" w:tblpY="25"/>
        <w:tblW w:w="10795" w:type="dxa"/>
        <w:tblLayout w:type="fixed"/>
        <w:tblLook w:val="04A0" w:firstRow="1" w:lastRow="0" w:firstColumn="1" w:lastColumn="0" w:noHBand="0" w:noVBand="1"/>
      </w:tblPr>
      <w:tblGrid>
        <w:gridCol w:w="3060"/>
        <w:gridCol w:w="2885"/>
        <w:gridCol w:w="3240"/>
        <w:gridCol w:w="1610"/>
      </w:tblGrid>
      <w:tr w:rsidR="003678F7" w:rsidRPr="00F96844" w14:paraId="24F3DCD3" w14:textId="77777777" w:rsidTr="00FE626F">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060" w:type="dxa"/>
            <w:hideMark/>
          </w:tcPr>
          <w:p w14:paraId="73699D03" w14:textId="77777777" w:rsidR="003678F7" w:rsidRPr="00F96844" w:rsidRDefault="003678F7" w:rsidP="003C5DC6">
            <w:pPr>
              <w:ind w:left="3"/>
              <w:rPr>
                <w:rFonts w:ascii="Calibri" w:eastAsia="Calibri" w:hAnsi="Calibri" w:cs="Calibri"/>
                <w:b w:val="0"/>
                <w:sz w:val="24"/>
                <w:szCs w:val="24"/>
                <w:lang w:val="sr-Latn-ME"/>
              </w:rPr>
            </w:pPr>
            <w:r w:rsidRPr="00F96844">
              <w:rPr>
                <w:rFonts w:ascii="Calibri" w:eastAsia="Arial" w:hAnsi="Calibri" w:cs="Calibri"/>
                <w:b w:val="0"/>
                <w:sz w:val="24"/>
                <w:szCs w:val="24"/>
                <w:lang w:val="sr-Latn-ME"/>
              </w:rPr>
              <w:t xml:space="preserve">Operativni cilj </w:t>
            </w:r>
            <w:r w:rsidRPr="00F96844">
              <w:rPr>
                <w:rFonts w:asciiTheme="minorHAnsi" w:eastAsia="Arial" w:hAnsiTheme="minorHAnsi" w:cs="Calibri"/>
                <w:b w:val="0"/>
                <w:sz w:val="24"/>
                <w:szCs w:val="24"/>
                <w:lang w:val="sr-Latn-ME"/>
              </w:rPr>
              <w:t>3</w:t>
            </w:r>
            <w:r w:rsidRPr="00F96844">
              <w:rPr>
                <w:rFonts w:ascii="Calibri" w:eastAsia="Arial" w:hAnsi="Calibri" w:cs="Calibri"/>
                <w:b w:val="0"/>
                <w:sz w:val="24"/>
                <w:szCs w:val="24"/>
                <w:lang w:val="sr-Latn-ME"/>
              </w:rPr>
              <w:t xml:space="preserve">: </w:t>
            </w:r>
          </w:p>
        </w:tc>
        <w:tc>
          <w:tcPr>
            <w:tcW w:w="7735" w:type="dxa"/>
            <w:gridSpan w:val="3"/>
          </w:tcPr>
          <w:p w14:paraId="35B968BD" w14:textId="77777777" w:rsidR="003678F7" w:rsidRPr="00F96844" w:rsidRDefault="003678F7" w:rsidP="003C5DC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Theme="minorHAnsi" w:eastAsia="Times New Roman" w:hAnsiTheme="minorHAnsi"/>
                <w:sz w:val="24"/>
                <w:szCs w:val="24"/>
                <w:lang w:val="sr-Latn-ME"/>
              </w:rPr>
              <w:t>Unapređenje kvaliteta upravljanja u sistemu socijalne i dječje zaštite na svim nivoima</w:t>
            </w:r>
          </w:p>
        </w:tc>
      </w:tr>
      <w:tr w:rsidR="003678F7" w:rsidRPr="00F96844" w14:paraId="1730B7F1" w14:textId="77777777" w:rsidTr="00FE626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3A6B4D0A" w14:textId="77777777" w:rsidR="003678F7" w:rsidRPr="00F96844" w:rsidRDefault="003678F7" w:rsidP="003C5DC6">
            <w:pPr>
              <w:ind w:left="3"/>
              <w:rPr>
                <w:rFonts w:asciiTheme="minorHAnsi" w:eastAsia="Calibri" w:hAnsiTheme="minorHAnsi" w:cs="Arial"/>
                <w:iCs/>
                <w:color w:val="000000" w:themeColor="text1"/>
                <w:sz w:val="24"/>
                <w:szCs w:val="24"/>
                <w:lang w:val="sr-Latn-ME"/>
              </w:rPr>
            </w:pPr>
          </w:p>
          <w:p w14:paraId="41774FED" w14:textId="77777777" w:rsidR="003678F7" w:rsidRPr="00F96844" w:rsidRDefault="003678F7" w:rsidP="003C5DC6">
            <w:pPr>
              <w:ind w:left="3"/>
              <w:rPr>
                <w:rFonts w:ascii="Calibri" w:eastAsia="Calibri" w:hAnsi="Calibri" w:cs="Calibri"/>
                <w:sz w:val="24"/>
                <w:szCs w:val="24"/>
                <w:lang w:val="sr-Latn-ME"/>
              </w:rPr>
            </w:pPr>
            <w:r w:rsidRPr="008046B8">
              <w:rPr>
                <w:rFonts w:asciiTheme="minorHAnsi" w:eastAsia="Calibri" w:hAnsiTheme="minorHAnsi" w:cs="Arial"/>
                <w:b w:val="0"/>
                <w:iCs/>
                <w:color w:val="000000" w:themeColor="text1"/>
                <w:sz w:val="24"/>
                <w:szCs w:val="24"/>
                <w:lang w:val="sr-Latn-ME"/>
              </w:rPr>
              <w:t>Indikator učinka 1:</w:t>
            </w:r>
            <w:r w:rsidRPr="00F96844">
              <w:rPr>
                <w:rFonts w:asciiTheme="minorHAnsi" w:eastAsia="Calibri" w:hAnsiTheme="minorHAnsi" w:cs="Arial"/>
                <w:iCs/>
                <w:color w:val="000000" w:themeColor="text1"/>
                <w:sz w:val="24"/>
                <w:szCs w:val="24"/>
                <w:lang w:val="sr-Latn-ME"/>
              </w:rPr>
              <w:t xml:space="preserve"> Smanjenje opterećenosti voditelja</w:t>
            </w:r>
            <w:r w:rsidR="002542E0">
              <w:rPr>
                <w:rFonts w:asciiTheme="minorHAnsi" w:eastAsia="Calibri" w:hAnsiTheme="minorHAnsi" w:cs="Arial"/>
                <w:iCs/>
                <w:color w:val="000000" w:themeColor="text1"/>
                <w:sz w:val="24"/>
                <w:szCs w:val="24"/>
                <w:lang w:val="sr-Latn-ME"/>
              </w:rPr>
              <w:t>/</w:t>
            </w:r>
            <w:r w:rsidR="00940897">
              <w:rPr>
                <w:rFonts w:asciiTheme="minorHAnsi" w:eastAsia="Calibri" w:hAnsiTheme="minorHAnsi" w:cs="Arial"/>
                <w:iCs/>
                <w:color w:val="000000" w:themeColor="text1"/>
                <w:sz w:val="24"/>
                <w:szCs w:val="24"/>
                <w:lang w:val="sr-Latn-ME"/>
              </w:rPr>
              <w:t>voditelj</w:t>
            </w:r>
            <w:r w:rsidR="002542E0">
              <w:rPr>
                <w:rFonts w:asciiTheme="minorHAnsi" w:eastAsia="Calibri" w:hAnsiTheme="minorHAnsi" w:cs="Arial"/>
                <w:iCs/>
                <w:color w:val="000000" w:themeColor="text1"/>
                <w:sz w:val="24"/>
                <w:szCs w:val="24"/>
                <w:lang w:val="sr-Latn-ME"/>
              </w:rPr>
              <w:t>ke</w:t>
            </w:r>
            <w:r w:rsidRPr="00F96844">
              <w:rPr>
                <w:rFonts w:asciiTheme="minorHAnsi" w:eastAsia="Calibri" w:hAnsiTheme="minorHAnsi" w:cs="Arial"/>
                <w:iCs/>
                <w:color w:val="000000" w:themeColor="text1"/>
                <w:sz w:val="24"/>
                <w:szCs w:val="24"/>
                <w:lang w:val="sr-Latn-ME"/>
              </w:rPr>
              <w:t xml:space="preserve"> slučaja u CZSR po broju predmeta</w:t>
            </w:r>
          </w:p>
        </w:tc>
        <w:tc>
          <w:tcPr>
            <w:tcW w:w="2885" w:type="dxa"/>
          </w:tcPr>
          <w:p w14:paraId="19420207"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eastAsia="Times New Roman" w:hAnsiTheme="minorHAnsi" w:cs="Arial"/>
                <w:sz w:val="24"/>
                <w:szCs w:val="24"/>
                <w:lang w:val="sr-Latn-ME"/>
              </w:rPr>
              <w:t xml:space="preserve">Trenutni nivo opterećenosti: </w:t>
            </w:r>
            <w:r w:rsidR="002542E0">
              <w:rPr>
                <w:rFonts w:asciiTheme="minorHAnsi" w:eastAsia="Times New Roman" w:hAnsiTheme="minorHAnsi" w:cs="Arial"/>
                <w:sz w:val="24"/>
                <w:szCs w:val="24"/>
                <w:lang w:val="sr-Latn-ME"/>
              </w:rPr>
              <w:t>100 predmeta po voditelju/</w:t>
            </w:r>
            <w:r w:rsidR="00940897">
              <w:rPr>
                <w:rFonts w:asciiTheme="minorHAnsi" w:eastAsia="Times New Roman" w:hAnsiTheme="minorHAnsi" w:cs="Arial"/>
                <w:sz w:val="24"/>
                <w:szCs w:val="24"/>
                <w:lang w:val="sr-Latn-ME"/>
              </w:rPr>
              <w:t>voditelj</w:t>
            </w:r>
            <w:r w:rsidR="002542E0">
              <w:rPr>
                <w:rFonts w:asciiTheme="minorHAnsi" w:eastAsia="Times New Roman" w:hAnsiTheme="minorHAnsi" w:cs="Arial"/>
                <w:sz w:val="24"/>
                <w:szCs w:val="24"/>
                <w:lang w:val="sr-Latn-ME"/>
              </w:rPr>
              <w:t>ki</w:t>
            </w:r>
            <w:r w:rsidRPr="00F96844">
              <w:rPr>
                <w:rFonts w:asciiTheme="minorHAnsi" w:eastAsia="Times New Roman" w:hAnsiTheme="minorHAnsi" w:cs="Arial"/>
                <w:sz w:val="24"/>
                <w:szCs w:val="24"/>
                <w:lang w:val="sr-Latn-ME"/>
              </w:rPr>
              <w:t xml:space="preserve"> slučaja</w:t>
            </w:r>
          </w:p>
        </w:tc>
        <w:tc>
          <w:tcPr>
            <w:tcW w:w="3240" w:type="dxa"/>
          </w:tcPr>
          <w:p w14:paraId="14549299" w14:textId="77777777" w:rsidR="003678F7" w:rsidRPr="00F96844" w:rsidRDefault="003678F7" w:rsidP="002542E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eastAsia="Times New Roman" w:hAnsiTheme="minorHAnsi" w:cs="Arial"/>
                <w:sz w:val="24"/>
                <w:szCs w:val="24"/>
                <w:lang w:val="sr-Latn-ME"/>
              </w:rPr>
              <w:t>Smanjenje nivo opterećenosti na 60 predmeta po voditelj</w:t>
            </w:r>
            <w:r w:rsidR="002542E0">
              <w:rPr>
                <w:rFonts w:asciiTheme="minorHAnsi" w:eastAsia="Times New Roman" w:hAnsiTheme="minorHAnsi" w:cs="Arial"/>
                <w:sz w:val="24"/>
                <w:szCs w:val="24"/>
                <w:lang w:val="sr-Latn-ME"/>
              </w:rPr>
              <w:t>u/</w:t>
            </w:r>
            <w:r w:rsidR="003108F3">
              <w:rPr>
                <w:rFonts w:asciiTheme="minorHAnsi" w:eastAsia="Times New Roman" w:hAnsiTheme="minorHAnsi" w:cs="Arial"/>
                <w:sz w:val="24"/>
                <w:szCs w:val="24"/>
                <w:lang w:val="hr-HR"/>
              </w:rPr>
              <w:t>voditelj</w:t>
            </w:r>
            <w:r w:rsidR="002542E0">
              <w:rPr>
                <w:rFonts w:asciiTheme="minorHAnsi" w:eastAsia="Times New Roman" w:hAnsiTheme="minorHAnsi" w:cs="Arial"/>
                <w:sz w:val="24"/>
                <w:szCs w:val="24"/>
                <w:lang w:val="sr-Latn-ME"/>
              </w:rPr>
              <w:t>ki</w:t>
            </w:r>
            <w:r w:rsidRPr="00F96844">
              <w:rPr>
                <w:rFonts w:asciiTheme="minorHAnsi" w:eastAsia="Times New Roman" w:hAnsiTheme="minorHAnsi" w:cs="Arial"/>
                <w:sz w:val="24"/>
                <w:szCs w:val="24"/>
                <w:lang w:val="sr-Latn-ME"/>
              </w:rPr>
              <w:t xml:space="preserve"> slučaja</w:t>
            </w:r>
          </w:p>
        </w:tc>
        <w:tc>
          <w:tcPr>
            <w:tcW w:w="1610" w:type="dxa"/>
          </w:tcPr>
          <w:p w14:paraId="0B88B913" w14:textId="77777777" w:rsidR="003678F7" w:rsidRPr="00F96844" w:rsidRDefault="003678F7" w:rsidP="002542E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eastAsia="Times New Roman" w:hAnsiTheme="minorHAnsi" w:cs="Arial"/>
                <w:sz w:val="24"/>
                <w:szCs w:val="24"/>
                <w:lang w:val="sr-Latn-ME"/>
              </w:rPr>
              <w:t>Smanjenje nivoa opterećen</w:t>
            </w:r>
            <w:r w:rsidR="002542E0">
              <w:rPr>
                <w:rFonts w:asciiTheme="minorHAnsi" w:eastAsia="Times New Roman" w:hAnsiTheme="minorHAnsi" w:cs="Arial"/>
                <w:sz w:val="24"/>
                <w:szCs w:val="24"/>
                <w:lang w:val="sr-Latn-ME"/>
              </w:rPr>
              <w:t>osti na 40 predmeta po voditelju/</w:t>
            </w:r>
            <w:r w:rsidR="003108F3">
              <w:rPr>
                <w:rFonts w:asciiTheme="minorHAnsi" w:eastAsia="Times New Roman" w:hAnsiTheme="minorHAnsi" w:cs="Arial"/>
                <w:sz w:val="24"/>
                <w:szCs w:val="24"/>
                <w:lang w:val="sr-Latn-ME"/>
              </w:rPr>
              <w:t>voditelj</w:t>
            </w:r>
            <w:r w:rsidR="002542E0">
              <w:rPr>
                <w:rFonts w:asciiTheme="minorHAnsi" w:eastAsia="Times New Roman" w:hAnsiTheme="minorHAnsi" w:cs="Arial"/>
                <w:sz w:val="24"/>
                <w:szCs w:val="24"/>
                <w:lang w:val="sr-Latn-ME"/>
              </w:rPr>
              <w:t>ki</w:t>
            </w:r>
            <w:r w:rsidRPr="00F96844">
              <w:rPr>
                <w:rFonts w:asciiTheme="minorHAnsi" w:eastAsia="Times New Roman" w:hAnsiTheme="minorHAnsi" w:cs="Arial"/>
                <w:sz w:val="24"/>
                <w:szCs w:val="24"/>
                <w:lang w:val="sr-Latn-ME"/>
              </w:rPr>
              <w:t xml:space="preserve"> slučaja</w:t>
            </w:r>
          </w:p>
        </w:tc>
      </w:tr>
      <w:tr w:rsidR="003678F7" w:rsidRPr="00F96844" w14:paraId="3360B034" w14:textId="77777777" w:rsidTr="00FE626F">
        <w:trPr>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430D4835" w14:textId="77777777" w:rsidR="003678F7" w:rsidRPr="00F96844" w:rsidRDefault="003678F7" w:rsidP="003C5DC6">
            <w:pPr>
              <w:rPr>
                <w:rFonts w:asciiTheme="minorHAnsi" w:hAnsiTheme="minorHAnsi"/>
                <w:bCs w:val="0"/>
                <w:iCs/>
                <w:sz w:val="24"/>
                <w:szCs w:val="24"/>
                <w:lang w:val="sr-Latn-ME"/>
              </w:rPr>
            </w:pPr>
          </w:p>
          <w:p w14:paraId="6F97E0CF" w14:textId="77777777" w:rsidR="003678F7" w:rsidRPr="008046B8" w:rsidRDefault="003678F7" w:rsidP="003C5DC6">
            <w:pPr>
              <w:jc w:val="both"/>
              <w:rPr>
                <w:rFonts w:asciiTheme="minorHAnsi" w:hAnsiTheme="minorHAnsi"/>
                <w:b w:val="0"/>
                <w:bCs w:val="0"/>
                <w:iCs/>
                <w:sz w:val="24"/>
                <w:szCs w:val="24"/>
                <w:lang w:val="sr-Latn-ME"/>
              </w:rPr>
            </w:pPr>
          </w:p>
          <w:p w14:paraId="309850F3" w14:textId="77777777" w:rsidR="003678F7" w:rsidRPr="00F96844" w:rsidRDefault="003678F7" w:rsidP="003C5DC6">
            <w:pPr>
              <w:rPr>
                <w:rFonts w:ascii="Calibri" w:eastAsia="Calibri" w:hAnsi="Calibri" w:cs="Times New Roman"/>
                <w:b w:val="0"/>
                <w:bCs w:val="0"/>
                <w:sz w:val="24"/>
                <w:szCs w:val="24"/>
                <w:lang w:val="sr-Latn-ME"/>
              </w:rPr>
            </w:pPr>
            <w:r w:rsidRPr="008046B8">
              <w:rPr>
                <w:rFonts w:asciiTheme="minorHAnsi" w:hAnsiTheme="minorHAnsi"/>
                <w:b w:val="0"/>
                <w:bCs w:val="0"/>
                <w:iCs/>
                <w:sz w:val="24"/>
                <w:szCs w:val="24"/>
                <w:lang w:val="sr-Latn-ME"/>
              </w:rPr>
              <w:t>Indikator učinka 2:</w:t>
            </w:r>
            <w:r w:rsidRPr="00F96844">
              <w:rPr>
                <w:rFonts w:asciiTheme="minorHAnsi" w:hAnsiTheme="minorHAnsi"/>
                <w:bCs w:val="0"/>
                <w:iCs/>
                <w:sz w:val="24"/>
                <w:szCs w:val="24"/>
                <w:lang w:val="sr-Latn-ME"/>
              </w:rPr>
              <w:t xml:space="preserve"> Unaprijeđeni postojeći i razvijeni novi standardi u sistemu socijalne i dječje zaštite</w:t>
            </w:r>
          </w:p>
        </w:tc>
        <w:tc>
          <w:tcPr>
            <w:tcW w:w="2885" w:type="dxa"/>
          </w:tcPr>
          <w:p w14:paraId="5E66358B"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Trenutni broj postojećih standarda u sistemu socijalne i dječje zaštite za koje je Zavod definisao preporuke</w:t>
            </w:r>
            <w:r w:rsidR="003108F3">
              <w:rPr>
                <w:rFonts w:asciiTheme="minorHAnsi" w:hAnsiTheme="minorHAnsi"/>
                <w:bCs/>
                <w:sz w:val="24"/>
                <w:szCs w:val="24"/>
                <w:lang w:val="sr-Latn-ME"/>
              </w:rPr>
              <w:t>:</w:t>
            </w:r>
          </w:p>
          <w:p w14:paraId="12210957"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186FFB0A"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1AFE7D76"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5 standarda</w:t>
            </w:r>
          </w:p>
          <w:p w14:paraId="301FCEA4"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sr-Latn-ME"/>
              </w:rPr>
            </w:pPr>
          </w:p>
        </w:tc>
        <w:tc>
          <w:tcPr>
            <w:tcW w:w="3240" w:type="dxa"/>
          </w:tcPr>
          <w:p w14:paraId="4F473AF3" w14:textId="27B52810"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Do kraja 202</w:t>
            </w:r>
            <w:r w:rsidR="0063199C">
              <w:rPr>
                <w:rFonts w:asciiTheme="minorHAnsi" w:hAnsiTheme="minorHAnsi"/>
                <w:bCs/>
                <w:sz w:val="24"/>
                <w:szCs w:val="24"/>
                <w:lang w:val="sr-Latn-ME"/>
              </w:rPr>
              <w:t>6</w:t>
            </w:r>
            <w:r w:rsidRPr="00F96844">
              <w:rPr>
                <w:rFonts w:asciiTheme="minorHAnsi" w:hAnsiTheme="minorHAnsi"/>
                <w:bCs/>
                <w:sz w:val="24"/>
                <w:szCs w:val="24"/>
                <w:lang w:val="sr-Latn-ME"/>
              </w:rPr>
              <w:t>. godine će biti povećan broj standarda za koje je Zavod definisao preporuke na:</w:t>
            </w:r>
          </w:p>
          <w:p w14:paraId="7AAD6027"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684EBD3D"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2FBEBDC7" w14:textId="77777777" w:rsidR="00BA15B5" w:rsidRDefault="00BA15B5"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4383555B"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i/>
                <w:sz w:val="24"/>
                <w:szCs w:val="24"/>
                <w:lang w:val="sr-Latn-ME"/>
              </w:rPr>
            </w:pPr>
            <w:r w:rsidRPr="00F96844">
              <w:rPr>
                <w:rFonts w:asciiTheme="minorHAnsi" w:hAnsiTheme="minorHAnsi"/>
                <w:bCs/>
                <w:sz w:val="24"/>
                <w:szCs w:val="24"/>
                <w:lang w:val="sr-Latn-ME"/>
              </w:rPr>
              <w:t>14 standarda</w:t>
            </w:r>
          </w:p>
          <w:p w14:paraId="206E6AA3"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sr-Latn-ME"/>
              </w:rPr>
            </w:pPr>
          </w:p>
        </w:tc>
        <w:tc>
          <w:tcPr>
            <w:tcW w:w="1610" w:type="dxa"/>
          </w:tcPr>
          <w:p w14:paraId="46FDBC3E" w14:textId="01A451BC"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Do kraja 202</w:t>
            </w:r>
            <w:r w:rsidR="0063199C">
              <w:rPr>
                <w:rFonts w:asciiTheme="minorHAnsi" w:hAnsiTheme="minorHAnsi"/>
                <w:bCs/>
                <w:sz w:val="24"/>
                <w:szCs w:val="24"/>
                <w:lang w:val="sr-Latn-ME"/>
              </w:rPr>
              <w:t>8</w:t>
            </w:r>
            <w:r w:rsidRPr="00F96844">
              <w:rPr>
                <w:rFonts w:asciiTheme="minorHAnsi" w:hAnsiTheme="minorHAnsi"/>
                <w:bCs/>
                <w:sz w:val="24"/>
                <w:szCs w:val="24"/>
                <w:lang w:val="sr-Latn-ME"/>
              </w:rPr>
              <w:t>. godine će biti povećan broj standarda za koje je Zavod definisao preporuke na:</w:t>
            </w:r>
          </w:p>
          <w:p w14:paraId="0F2B65E0"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0EF00391"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28C58634"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20 standarda</w:t>
            </w:r>
          </w:p>
          <w:p w14:paraId="3CBA3908"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4F2AADF7"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sr-Latn-ME"/>
              </w:rPr>
            </w:pPr>
          </w:p>
        </w:tc>
      </w:tr>
      <w:tr w:rsidR="003678F7" w:rsidRPr="00F96844" w14:paraId="05AAD71B" w14:textId="77777777" w:rsidTr="00FE626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060" w:type="dxa"/>
            <w:vMerge w:val="restart"/>
          </w:tcPr>
          <w:p w14:paraId="1F547BB5" w14:textId="77777777" w:rsidR="008046B8" w:rsidRDefault="003678F7" w:rsidP="008046B8">
            <w:pPr>
              <w:rPr>
                <w:rFonts w:asciiTheme="minorHAnsi" w:hAnsiTheme="minorHAnsi"/>
                <w:bCs w:val="0"/>
                <w:iCs/>
                <w:sz w:val="24"/>
                <w:szCs w:val="24"/>
                <w:lang w:val="sr-Latn-ME"/>
              </w:rPr>
            </w:pPr>
            <w:r w:rsidRPr="008046B8">
              <w:rPr>
                <w:rFonts w:asciiTheme="minorHAnsi" w:hAnsiTheme="minorHAnsi"/>
                <w:b w:val="0"/>
                <w:bCs w:val="0"/>
                <w:iCs/>
                <w:sz w:val="24"/>
                <w:szCs w:val="24"/>
                <w:lang w:val="sr-Latn-ME"/>
              </w:rPr>
              <w:t>Indikator učinka 3:</w:t>
            </w:r>
            <w:r w:rsidRPr="00F96844">
              <w:rPr>
                <w:rFonts w:asciiTheme="minorHAnsi" w:hAnsiTheme="minorHAnsi"/>
                <w:bCs w:val="0"/>
                <w:iCs/>
                <w:sz w:val="24"/>
                <w:szCs w:val="24"/>
                <w:lang w:val="sr-Latn-ME"/>
              </w:rPr>
              <w:t xml:space="preserve"> </w:t>
            </w:r>
          </w:p>
          <w:p w14:paraId="071A86CE" w14:textId="77777777" w:rsidR="003678F7" w:rsidRPr="008046B8" w:rsidRDefault="003678F7" w:rsidP="008046B8">
            <w:pPr>
              <w:rPr>
                <w:rFonts w:asciiTheme="minorHAnsi" w:hAnsiTheme="minorHAnsi"/>
                <w:b w:val="0"/>
                <w:bCs w:val="0"/>
                <w:iCs/>
                <w:sz w:val="24"/>
                <w:szCs w:val="24"/>
                <w:lang w:val="sr-Latn-ME"/>
              </w:rPr>
            </w:pPr>
            <w:r w:rsidRPr="00F96844">
              <w:rPr>
                <w:rFonts w:asciiTheme="minorHAnsi" w:hAnsiTheme="minorHAnsi"/>
                <w:bCs w:val="0"/>
                <w:iCs/>
                <w:sz w:val="24"/>
                <w:szCs w:val="24"/>
                <w:lang w:val="sr-Latn-ME"/>
              </w:rPr>
              <w:t>Povećan</w:t>
            </w:r>
            <w:r w:rsidR="003108F3" w:rsidRPr="00F96844">
              <w:rPr>
                <w:rFonts w:asciiTheme="minorHAnsi" w:hAnsiTheme="minorHAnsi"/>
                <w:bCs w:val="0"/>
                <w:iCs/>
                <w:sz w:val="24"/>
                <w:szCs w:val="24"/>
                <w:lang w:val="sr-Latn-ME"/>
              </w:rPr>
              <w:t xml:space="preserve"> broj profesionalaca </w:t>
            </w:r>
            <w:r w:rsidRPr="00F96844">
              <w:rPr>
                <w:rFonts w:asciiTheme="minorHAnsi" w:hAnsiTheme="minorHAnsi"/>
                <w:bCs w:val="0"/>
                <w:iCs/>
                <w:sz w:val="24"/>
                <w:szCs w:val="24"/>
                <w:lang w:val="sr-Latn-ME"/>
              </w:rPr>
              <w:t xml:space="preserve">koji dobijaju </w:t>
            </w:r>
            <w:r w:rsidR="008046B8" w:rsidRPr="00F96844">
              <w:rPr>
                <w:rFonts w:asciiTheme="minorHAnsi" w:hAnsiTheme="minorHAnsi"/>
                <w:bCs w:val="0"/>
                <w:iCs/>
                <w:sz w:val="24"/>
                <w:szCs w:val="24"/>
                <w:lang w:val="sr-Latn-ME"/>
              </w:rPr>
              <w:t xml:space="preserve"> </w:t>
            </w:r>
            <w:r w:rsidRPr="00F96844">
              <w:rPr>
                <w:rFonts w:asciiTheme="minorHAnsi" w:hAnsiTheme="minorHAnsi"/>
                <w:bCs w:val="0"/>
                <w:iCs/>
                <w:sz w:val="24"/>
                <w:szCs w:val="24"/>
                <w:lang w:val="sr-Latn-ME"/>
              </w:rPr>
              <w:t xml:space="preserve">supervizijsku podršku u sistemu socijalne i dječje zaštite  </w:t>
            </w:r>
          </w:p>
        </w:tc>
        <w:tc>
          <w:tcPr>
            <w:tcW w:w="2885" w:type="dxa"/>
          </w:tcPr>
          <w:p w14:paraId="1FB23B38"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p>
          <w:p w14:paraId="13969788"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p>
          <w:p w14:paraId="133FFB20"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r w:rsidRPr="00F96844">
              <w:rPr>
                <w:rFonts w:ascii="Calibri" w:eastAsia="Calibri" w:hAnsi="Calibri" w:cs="Calibri"/>
                <w:sz w:val="24"/>
                <w:szCs w:val="24"/>
                <w:lang w:val="sr-Latn-ME"/>
              </w:rPr>
              <w:t>24 supervizijske grupe</w:t>
            </w:r>
          </w:p>
          <w:p w14:paraId="1891AF61"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sr-Latn-ME"/>
              </w:rPr>
            </w:pPr>
          </w:p>
        </w:tc>
        <w:tc>
          <w:tcPr>
            <w:tcW w:w="3240" w:type="dxa"/>
          </w:tcPr>
          <w:p w14:paraId="2801CAEC"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p>
          <w:p w14:paraId="67D2796D"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p>
          <w:p w14:paraId="1089458F"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r w:rsidRPr="00F96844">
              <w:rPr>
                <w:rFonts w:ascii="Calibri" w:eastAsia="Calibri" w:hAnsi="Calibri" w:cs="Calibri"/>
                <w:sz w:val="24"/>
                <w:szCs w:val="24"/>
                <w:lang w:val="sr-Latn-ME"/>
              </w:rPr>
              <w:t>29 supervizijskih grupa</w:t>
            </w:r>
          </w:p>
          <w:p w14:paraId="7D3E3532"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sr-Latn-ME"/>
              </w:rPr>
            </w:pPr>
          </w:p>
        </w:tc>
        <w:tc>
          <w:tcPr>
            <w:tcW w:w="1610" w:type="dxa"/>
          </w:tcPr>
          <w:p w14:paraId="568BAC7C" w14:textId="77777777" w:rsidR="003678F7" w:rsidRPr="00F96844" w:rsidRDefault="003678F7" w:rsidP="00FE626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p>
          <w:p w14:paraId="4764EB7C"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sr-Latn-ME"/>
              </w:rPr>
            </w:pPr>
            <w:r w:rsidRPr="00F96844">
              <w:rPr>
                <w:rFonts w:ascii="Calibri" w:eastAsia="Calibri" w:hAnsi="Calibri" w:cs="Calibri"/>
                <w:sz w:val="24"/>
                <w:szCs w:val="24"/>
                <w:lang w:val="sr-Latn-ME"/>
              </w:rPr>
              <w:t>49 supervizijskih grupa</w:t>
            </w:r>
          </w:p>
        </w:tc>
      </w:tr>
      <w:tr w:rsidR="003678F7" w:rsidRPr="00F96844" w14:paraId="61BB3164" w14:textId="77777777" w:rsidTr="00FE626F">
        <w:trPr>
          <w:trHeight w:val="1068"/>
        </w:trPr>
        <w:tc>
          <w:tcPr>
            <w:cnfStyle w:val="001000000000" w:firstRow="0" w:lastRow="0" w:firstColumn="1" w:lastColumn="0" w:oddVBand="0" w:evenVBand="0" w:oddHBand="0" w:evenHBand="0" w:firstRowFirstColumn="0" w:firstRowLastColumn="0" w:lastRowFirstColumn="0" w:lastRowLastColumn="0"/>
            <w:tcW w:w="3060" w:type="dxa"/>
            <w:vMerge/>
          </w:tcPr>
          <w:p w14:paraId="060ADF3C" w14:textId="77777777" w:rsidR="003678F7" w:rsidRPr="00F96844" w:rsidRDefault="003678F7" w:rsidP="003C5DC6">
            <w:pPr>
              <w:rPr>
                <w:rFonts w:asciiTheme="minorHAnsi" w:hAnsiTheme="minorHAnsi"/>
                <w:bCs w:val="0"/>
                <w:iCs/>
                <w:sz w:val="24"/>
                <w:szCs w:val="24"/>
                <w:lang w:val="sr-Latn-ME"/>
              </w:rPr>
            </w:pPr>
          </w:p>
        </w:tc>
        <w:tc>
          <w:tcPr>
            <w:tcW w:w="2885" w:type="dxa"/>
          </w:tcPr>
          <w:p w14:paraId="6A22ABA7"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supervizanata</w:t>
            </w:r>
            <w:r w:rsidR="002542E0">
              <w:rPr>
                <w:rFonts w:asciiTheme="minorHAnsi" w:hAnsiTheme="minorHAnsi"/>
                <w:sz w:val="24"/>
                <w:szCs w:val="24"/>
                <w:lang w:val="sr-Latn-ME"/>
              </w:rPr>
              <w:t>/</w:t>
            </w:r>
            <w:r w:rsidR="003108F3">
              <w:rPr>
                <w:rFonts w:asciiTheme="minorHAnsi" w:hAnsiTheme="minorHAnsi"/>
                <w:sz w:val="24"/>
                <w:szCs w:val="24"/>
                <w:lang w:val="sr-Latn-ME"/>
              </w:rPr>
              <w:t>supervizan</w:t>
            </w:r>
            <w:r w:rsidR="002542E0">
              <w:rPr>
                <w:rFonts w:asciiTheme="minorHAnsi" w:hAnsiTheme="minorHAnsi"/>
                <w:sz w:val="24"/>
                <w:szCs w:val="24"/>
                <w:lang w:val="sr-Latn-ME"/>
              </w:rPr>
              <w:t>tkinja</w:t>
            </w:r>
            <w:r w:rsidR="003108F3">
              <w:rPr>
                <w:rFonts w:asciiTheme="minorHAnsi" w:hAnsiTheme="minorHAnsi"/>
                <w:sz w:val="24"/>
                <w:szCs w:val="24"/>
                <w:lang w:val="sr-Latn-ME"/>
              </w:rPr>
              <w:t>:</w:t>
            </w:r>
          </w:p>
          <w:p w14:paraId="4F2021F9"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152</w:t>
            </w:r>
          </w:p>
        </w:tc>
        <w:tc>
          <w:tcPr>
            <w:tcW w:w="3240" w:type="dxa"/>
          </w:tcPr>
          <w:p w14:paraId="1EC43469"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supervizanata</w:t>
            </w:r>
            <w:r w:rsidR="002542E0">
              <w:rPr>
                <w:rFonts w:asciiTheme="minorHAnsi" w:hAnsiTheme="minorHAnsi"/>
                <w:sz w:val="24"/>
                <w:szCs w:val="24"/>
                <w:lang w:val="sr-Latn-ME"/>
              </w:rPr>
              <w:t>/</w:t>
            </w:r>
            <w:r w:rsidR="003108F3">
              <w:rPr>
                <w:rFonts w:asciiTheme="minorHAnsi" w:hAnsiTheme="minorHAnsi"/>
                <w:sz w:val="24"/>
                <w:szCs w:val="24"/>
                <w:lang w:val="sr-Latn-ME"/>
              </w:rPr>
              <w:t>supervizan</w:t>
            </w:r>
            <w:r w:rsidR="002542E0">
              <w:rPr>
                <w:rFonts w:asciiTheme="minorHAnsi" w:hAnsiTheme="minorHAnsi"/>
                <w:sz w:val="24"/>
                <w:szCs w:val="24"/>
                <w:lang w:val="sr-Latn-ME"/>
              </w:rPr>
              <w:t>tkinja</w:t>
            </w:r>
            <w:r w:rsidR="003108F3">
              <w:rPr>
                <w:rFonts w:asciiTheme="minorHAnsi" w:hAnsiTheme="minorHAnsi"/>
                <w:sz w:val="24"/>
                <w:szCs w:val="24"/>
                <w:lang w:val="sr-Latn-ME"/>
              </w:rPr>
              <w:t>:</w:t>
            </w:r>
          </w:p>
          <w:p w14:paraId="681B69A6"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187</w:t>
            </w:r>
          </w:p>
        </w:tc>
        <w:tc>
          <w:tcPr>
            <w:tcW w:w="1610" w:type="dxa"/>
          </w:tcPr>
          <w:p w14:paraId="7EB0E669"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supervizanata</w:t>
            </w:r>
            <w:r w:rsidR="002542E0">
              <w:rPr>
                <w:rFonts w:asciiTheme="minorHAnsi" w:hAnsiTheme="minorHAnsi"/>
                <w:sz w:val="24"/>
                <w:szCs w:val="24"/>
                <w:lang w:val="sr-Latn-ME"/>
              </w:rPr>
              <w:t>/</w:t>
            </w:r>
            <w:r w:rsidR="003108F3">
              <w:rPr>
                <w:rFonts w:asciiTheme="minorHAnsi" w:hAnsiTheme="minorHAnsi"/>
                <w:sz w:val="24"/>
                <w:szCs w:val="24"/>
                <w:lang w:val="sr-Latn-ME"/>
              </w:rPr>
              <w:t>supervizan</w:t>
            </w:r>
            <w:r w:rsidR="002542E0">
              <w:rPr>
                <w:rFonts w:asciiTheme="minorHAnsi" w:hAnsiTheme="minorHAnsi"/>
                <w:sz w:val="24"/>
                <w:szCs w:val="24"/>
                <w:lang w:val="sr-Latn-ME"/>
              </w:rPr>
              <w:t>tkinja</w:t>
            </w:r>
            <w:r w:rsidR="003108F3">
              <w:rPr>
                <w:rFonts w:asciiTheme="minorHAnsi" w:hAnsiTheme="minorHAnsi"/>
                <w:sz w:val="24"/>
                <w:szCs w:val="24"/>
                <w:lang w:val="sr-Latn-ME"/>
              </w:rPr>
              <w:t>:</w:t>
            </w:r>
          </w:p>
          <w:p w14:paraId="63843391"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290</w:t>
            </w:r>
          </w:p>
        </w:tc>
      </w:tr>
      <w:tr w:rsidR="003678F7" w:rsidRPr="00F96844" w14:paraId="0C25AEE4" w14:textId="77777777" w:rsidTr="00FE626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6562C2DC" w14:textId="77777777" w:rsidR="003678F7" w:rsidRPr="00F96844" w:rsidRDefault="003678F7" w:rsidP="003C5DC6">
            <w:pPr>
              <w:rPr>
                <w:rFonts w:asciiTheme="minorHAnsi" w:hAnsiTheme="minorHAnsi"/>
                <w:bCs w:val="0"/>
                <w:iCs/>
                <w:sz w:val="24"/>
                <w:szCs w:val="24"/>
                <w:lang w:val="sr-Latn-ME"/>
              </w:rPr>
            </w:pPr>
            <w:r w:rsidRPr="008046B8">
              <w:rPr>
                <w:rFonts w:asciiTheme="minorHAnsi" w:hAnsiTheme="minorHAnsi"/>
                <w:b w:val="0"/>
                <w:bCs w:val="0"/>
                <w:iCs/>
                <w:sz w:val="24"/>
                <w:szCs w:val="24"/>
                <w:lang w:val="sr-Latn-ME"/>
              </w:rPr>
              <w:t>Indikator učinka 4:</w:t>
            </w:r>
            <w:r w:rsidRPr="00F96844">
              <w:rPr>
                <w:rFonts w:asciiTheme="minorHAnsi" w:hAnsiTheme="minorHAnsi"/>
                <w:bCs w:val="0"/>
                <w:iCs/>
                <w:sz w:val="24"/>
                <w:szCs w:val="24"/>
                <w:lang w:val="sr-Latn-ME"/>
              </w:rPr>
              <w:t xml:space="preserve"> Osavremenjivanje baze podataka za registar licenciranih stručnih radnika, evidenciju  akreditovanih programa obuke i evidenciju o realizovanim programima obuka </w:t>
            </w:r>
          </w:p>
        </w:tc>
        <w:tc>
          <w:tcPr>
            <w:tcW w:w="2885" w:type="dxa"/>
          </w:tcPr>
          <w:p w14:paraId="18DA6397"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baza podataka</w:t>
            </w:r>
            <w:r w:rsidR="003108F3">
              <w:rPr>
                <w:rFonts w:asciiTheme="minorHAnsi" w:hAnsiTheme="minorHAnsi"/>
                <w:sz w:val="24"/>
                <w:szCs w:val="24"/>
                <w:lang w:val="sr-Latn-ME"/>
              </w:rPr>
              <w:t>:</w:t>
            </w:r>
            <w:r w:rsidRPr="00F96844">
              <w:rPr>
                <w:rFonts w:asciiTheme="minorHAnsi" w:hAnsiTheme="minorHAnsi"/>
                <w:sz w:val="24"/>
                <w:szCs w:val="24"/>
                <w:lang w:val="sr-Latn-ME"/>
              </w:rPr>
              <w:t xml:space="preserve"> 1</w:t>
            </w:r>
          </w:p>
        </w:tc>
        <w:tc>
          <w:tcPr>
            <w:tcW w:w="3240" w:type="dxa"/>
          </w:tcPr>
          <w:p w14:paraId="0D2B6064"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baza podataka</w:t>
            </w:r>
            <w:r w:rsidR="003108F3">
              <w:rPr>
                <w:rFonts w:asciiTheme="minorHAnsi" w:hAnsiTheme="minorHAnsi"/>
                <w:sz w:val="24"/>
                <w:szCs w:val="24"/>
                <w:lang w:val="sr-Latn-ME"/>
              </w:rPr>
              <w:t>:</w:t>
            </w:r>
            <w:r w:rsidRPr="00F96844">
              <w:rPr>
                <w:rFonts w:asciiTheme="minorHAnsi" w:hAnsiTheme="minorHAnsi"/>
                <w:sz w:val="24"/>
                <w:szCs w:val="24"/>
                <w:lang w:val="sr-Latn-ME"/>
              </w:rPr>
              <w:t xml:space="preserve"> 2</w:t>
            </w:r>
          </w:p>
        </w:tc>
        <w:tc>
          <w:tcPr>
            <w:tcW w:w="1610" w:type="dxa"/>
          </w:tcPr>
          <w:p w14:paraId="541D8936"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baza podataka</w:t>
            </w:r>
            <w:r w:rsidR="003108F3">
              <w:rPr>
                <w:rFonts w:asciiTheme="minorHAnsi" w:hAnsiTheme="minorHAnsi"/>
                <w:sz w:val="24"/>
                <w:szCs w:val="24"/>
                <w:lang w:val="sr-Latn-ME"/>
              </w:rPr>
              <w:t>:</w:t>
            </w:r>
            <w:r w:rsidRPr="00F96844">
              <w:rPr>
                <w:rFonts w:asciiTheme="minorHAnsi" w:hAnsiTheme="minorHAnsi"/>
                <w:sz w:val="24"/>
                <w:szCs w:val="24"/>
                <w:lang w:val="sr-Latn-ME"/>
              </w:rPr>
              <w:t xml:space="preserve"> 3</w:t>
            </w:r>
          </w:p>
        </w:tc>
      </w:tr>
      <w:tr w:rsidR="003678F7" w:rsidRPr="00F96844" w14:paraId="767165C4" w14:textId="77777777" w:rsidTr="00FE626F">
        <w:trPr>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1CB3253D" w14:textId="77777777" w:rsidR="003678F7" w:rsidRPr="00F96844" w:rsidRDefault="003678F7" w:rsidP="003C5DC6">
            <w:pPr>
              <w:rPr>
                <w:rFonts w:asciiTheme="minorHAnsi" w:hAnsiTheme="minorHAnsi"/>
                <w:bCs w:val="0"/>
                <w:iCs/>
                <w:sz w:val="24"/>
                <w:szCs w:val="24"/>
                <w:lang w:val="sr-Latn-ME"/>
              </w:rPr>
            </w:pPr>
            <w:r w:rsidRPr="008046B8">
              <w:rPr>
                <w:rFonts w:asciiTheme="minorHAnsi" w:eastAsia="Calibri" w:hAnsiTheme="minorHAnsi" w:cs="Arial"/>
                <w:b w:val="0"/>
                <w:iCs/>
                <w:sz w:val="24"/>
                <w:szCs w:val="24"/>
                <w:lang w:val="sr-Latn-ME"/>
              </w:rPr>
              <w:t>Indikator učinka 5:</w:t>
            </w:r>
            <w:r w:rsidRPr="00F96844">
              <w:rPr>
                <w:rFonts w:asciiTheme="minorHAnsi" w:eastAsia="Calibri" w:hAnsiTheme="minorHAnsi" w:cs="Arial"/>
                <w:iCs/>
                <w:sz w:val="24"/>
                <w:szCs w:val="24"/>
                <w:lang w:val="sr-Latn-ME"/>
              </w:rPr>
              <w:t xml:space="preserve"> Povećanje broja inspekcijskih nadzora iz oblasti socijalne i d</w:t>
            </w:r>
            <w:r w:rsidR="00EB2F1D">
              <w:rPr>
                <w:rFonts w:asciiTheme="minorHAnsi" w:eastAsia="Calibri" w:hAnsiTheme="minorHAnsi" w:cs="Arial"/>
                <w:iCs/>
                <w:sz w:val="24"/>
                <w:szCs w:val="24"/>
                <w:lang w:val="sr-Latn-ME"/>
              </w:rPr>
              <w:t>ječj</w:t>
            </w:r>
            <w:r w:rsidRPr="00F96844">
              <w:rPr>
                <w:rFonts w:asciiTheme="minorHAnsi" w:eastAsia="Calibri" w:hAnsiTheme="minorHAnsi" w:cs="Arial"/>
                <w:iCs/>
                <w:sz w:val="24"/>
                <w:szCs w:val="24"/>
                <w:lang w:val="sr-Latn-ME"/>
              </w:rPr>
              <w:t>e zaštite</w:t>
            </w:r>
          </w:p>
        </w:tc>
        <w:tc>
          <w:tcPr>
            <w:tcW w:w="2885" w:type="dxa"/>
          </w:tcPr>
          <w:p w14:paraId="1FA868C8"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250 inspekci</w:t>
            </w:r>
            <w:r w:rsidR="003108F3">
              <w:rPr>
                <w:rFonts w:asciiTheme="minorHAnsi" w:eastAsia="Times New Roman" w:hAnsiTheme="minorHAnsi" w:cs="Arial"/>
                <w:sz w:val="24"/>
                <w:szCs w:val="24"/>
                <w:lang w:val="sr-Latn-ME"/>
              </w:rPr>
              <w:t>j</w:t>
            </w:r>
            <w:r w:rsidRPr="00F96844">
              <w:rPr>
                <w:rFonts w:asciiTheme="minorHAnsi" w:eastAsia="Times New Roman" w:hAnsiTheme="minorHAnsi" w:cs="Arial"/>
                <w:sz w:val="24"/>
                <w:szCs w:val="24"/>
                <w:lang w:val="sr-Latn-ME"/>
              </w:rPr>
              <w:t>skih nadzora na godišnjem nivou</w:t>
            </w:r>
          </w:p>
        </w:tc>
        <w:tc>
          <w:tcPr>
            <w:tcW w:w="3240" w:type="dxa"/>
          </w:tcPr>
          <w:p w14:paraId="1AC88F69"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275 inspekci</w:t>
            </w:r>
            <w:r w:rsidR="003108F3">
              <w:rPr>
                <w:rFonts w:asciiTheme="minorHAnsi" w:eastAsia="Times New Roman" w:hAnsiTheme="minorHAnsi" w:cs="Arial"/>
                <w:sz w:val="24"/>
                <w:szCs w:val="24"/>
                <w:lang w:val="sr-Latn-ME"/>
              </w:rPr>
              <w:t>j</w:t>
            </w:r>
            <w:r w:rsidRPr="00F96844">
              <w:rPr>
                <w:rFonts w:asciiTheme="minorHAnsi" w:eastAsia="Times New Roman" w:hAnsiTheme="minorHAnsi" w:cs="Arial"/>
                <w:sz w:val="24"/>
                <w:szCs w:val="24"/>
                <w:lang w:val="sr-Latn-ME"/>
              </w:rPr>
              <w:t>skih nadzora na godišnjem nivou</w:t>
            </w:r>
          </w:p>
        </w:tc>
        <w:tc>
          <w:tcPr>
            <w:tcW w:w="1610" w:type="dxa"/>
          </w:tcPr>
          <w:p w14:paraId="1B325EF4"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300 inspekci</w:t>
            </w:r>
            <w:r w:rsidR="003108F3">
              <w:rPr>
                <w:rFonts w:asciiTheme="minorHAnsi" w:eastAsia="Times New Roman" w:hAnsiTheme="minorHAnsi" w:cs="Arial"/>
                <w:sz w:val="24"/>
                <w:szCs w:val="24"/>
                <w:lang w:val="sr-Latn-ME"/>
              </w:rPr>
              <w:t>j</w:t>
            </w:r>
            <w:r w:rsidRPr="00F96844">
              <w:rPr>
                <w:rFonts w:asciiTheme="minorHAnsi" w:eastAsia="Times New Roman" w:hAnsiTheme="minorHAnsi" w:cs="Arial"/>
                <w:sz w:val="24"/>
                <w:szCs w:val="24"/>
                <w:lang w:val="sr-Latn-ME"/>
              </w:rPr>
              <w:t>skih nadzora na godišnjem nivou</w:t>
            </w:r>
          </w:p>
        </w:tc>
      </w:tr>
      <w:tr w:rsidR="003678F7" w:rsidRPr="00F96844" w14:paraId="13C87C19" w14:textId="77777777" w:rsidTr="00FE626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775A1A11" w14:textId="77777777" w:rsidR="003678F7" w:rsidRPr="00F96844" w:rsidRDefault="003678F7" w:rsidP="003C5DC6">
            <w:pPr>
              <w:rPr>
                <w:rFonts w:asciiTheme="minorHAnsi" w:eastAsia="Calibri" w:hAnsiTheme="minorHAnsi" w:cs="Arial"/>
                <w:iCs/>
                <w:sz w:val="24"/>
                <w:szCs w:val="24"/>
                <w:lang w:val="sr-Latn-ME"/>
              </w:rPr>
            </w:pPr>
            <w:r w:rsidRPr="008046B8">
              <w:rPr>
                <w:rFonts w:asciiTheme="minorHAnsi" w:eastAsia="Calibri" w:hAnsiTheme="minorHAnsi" w:cs="Arial"/>
                <w:b w:val="0"/>
                <w:iCs/>
                <w:sz w:val="24"/>
                <w:szCs w:val="24"/>
                <w:lang w:val="sr-Latn-ME"/>
              </w:rPr>
              <w:lastRenderedPageBreak/>
              <w:t>Indikator učinka 6:</w:t>
            </w:r>
            <w:r w:rsidRPr="00F96844">
              <w:rPr>
                <w:rFonts w:asciiTheme="minorHAnsi" w:eastAsia="Calibri" w:hAnsiTheme="minorHAnsi" w:cs="Arial"/>
                <w:iCs/>
                <w:sz w:val="24"/>
                <w:szCs w:val="24"/>
                <w:lang w:val="sr-Latn-ME"/>
              </w:rPr>
              <w:t xml:space="preserve"> Povećanje broja nadzora nad stručnim radom </w:t>
            </w:r>
          </w:p>
        </w:tc>
        <w:tc>
          <w:tcPr>
            <w:tcW w:w="2885" w:type="dxa"/>
          </w:tcPr>
          <w:p w14:paraId="56A706C5"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color w:val="000000" w:themeColor="text1"/>
                <w:sz w:val="24"/>
                <w:szCs w:val="24"/>
                <w:lang w:val="sr-Latn-ME"/>
              </w:rPr>
              <w:t>15 nadzora na godišnjem nivou nad stručnim radom</w:t>
            </w:r>
          </w:p>
        </w:tc>
        <w:tc>
          <w:tcPr>
            <w:tcW w:w="3240" w:type="dxa"/>
          </w:tcPr>
          <w:p w14:paraId="60BB9280"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color w:val="000000" w:themeColor="text1"/>
                <w:sz w:val="24"/>
                <w:szCs w:val="24"/>
                <w:lang w:val="sr-Latn-ME"/>
              </w:rPr>
              <w:t>55 nadzora na godišnjem nivou nad stručnim radom</w:t>
            </w:r>
          </w:p>
        </w:tc>
        <w:tc>
          <w:tcPr>
            <w:tcW w:w="1610" w:type="dxa"/>
          </w:tcPr>
          <w:p w14:paraId="16F017A9"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color w:val="000000" w:themeColor="text1"/>
                <w:sz w:val="24"/>
                <w:szCs w:val="24"/>
                <w:lang w:val="sr-Latn-ME"/>
              </w:rPr>
              <w:t>75 nadzora na godišnjem nivou nad stručnim radom</w:t>
            </w:r>
          </w:p>
        </w:tc>
      </w:tr>
    </w:tbl>
    <w:p w14:paraId="0D4D8C6C" w14:textId="77777777" w:rsidR="00CC6B34" w:rsidRPr="00F96844" w:rsidRDefault="00CC6B34" w:rsidP="00CC6B34">
      <w:pPr>
        <w:spacing w:after="160" w:line="259" w:lineRule="auto"/>
        <w:jc w:val="both"/>
        <w:rPr>
          <w:rFonts w:asciiTheme="minorHAnsi" w:hAnsiTheme="minorHAnsi"/>
          <w:b/>
          <w:bCs/>
          <w:sz w:val="24"/>
          <w:szCs w:val="24"/>
          <w:u w:val="single"/>
          <w:lang w:val="sr-Latn-ME"/>
        </w:rPr>
      </w:pPr>
    </w:p>
    <w:p w14:paraId="7310CDB1" w14:textId="77777777" w:rsidR="00E94870" w:rsidRPr="00F96844" w:rsidRDefault="00CC6B34" w:rsidP="00FE626F">
      <w:pPr>
        <w:pStyle w:val="Heading1"/>
        <w:rPr>
          <w:sz w:val="24"/>
          <w:szCs w:val="24"/>
          <w:lang w:val="sr-Latn-ME"/>
        </w:rPr>
      </w:pPr>
      <w:bookmarkStart w:id="89" w:name="_Toc172541311"/>
      <w:r w:rsidRPr="00F96844">
        <w:rPr>
          <w:sz w:val="24"/>
          <w:szCs w:val="24"/>
          <w:lang w:val="sr-Latn-ME"/>
        </w:rPr>
        <w:t>2.6 Informacioni s</w:t>
      </w:r>
      <w:r w:rsidR="00FF4736">
        <w:rPr>
          <w:sz w:val="24"/>
          <w:szCs w:val="24"/>
          <w:lang w:val="sr-Latn-ME"/>
        </w:rPr>
        <w:t>i</w:t>
      </w:r>
      <w:r w:rsidRPr="00F96844">
        <w:rPr>
          <w:sz w:val="24"/>
          <w:szCs w:val="24"/>
          <w:lang w:val="sr-Latn-ME"/>
        </w:rPr>
        <w:t>stem socijalnog staranja (e-</w:t>
      </w:r>
      <w:r w:rsidR="00C5246C">
        <w:rPr>
          <w:sz w:val="24"/>
          <w:szCs w:val="24"/>
          <w:lang w:val="sr-Latn-ME"/>
        </w:rPr>
        <w:t>S</w:t>
      </w:r>
      <w:r w:rsidRPr="00F96844">
        <w:rPr>
          <w:sz w:val="24"/>
          <w:szCs w:val="24"/>
          <w:lang w:val="sr-Latn-ME"/>
        </w:rPr>
        <w:t>ocijala)</w:t>
      </w:r>
      <w:bookmarkEnd w:id="89"/>
    </w:p>
    <w:p w14:paraId="66B003EC" w14:textId="77777777" w:rsidR="00C5246C" w:rsidRDefault="00ED2275" w:rsidP="00FE626F">
      <w:pPr>
        <w:spacing w:before="120" w:after="120"/>
        <w:jc w:val="both"/>
        <w:rPr>
          <w:rFonts w:cs="Arial"/>
          <w:sz w:val="24"/>
          <w:szCs w:val="24"/>
          <w:lang w:val="sr-Latn-ME"/>
        </w:rPr>
      </w:pPr>
      <w:r w:rsidRPr="00F96844">
        <w:rPr>
          <w:rFonts w:cs="Arial"/>
          <w:sz w:val="24"/>
          <w:szCs w:val="24"/>
          <w:lang w:val="sr-Latn-ME"/>
        </w:rPr>
        <w:t>Informacioni sistem socijalnog staranja (e-</w:t>
      </w:r>
      <w:r w:rsidR="00C5246C">
        <w:rPr>
          <w:rFonts w:cs="Arial"/>
          <w:sz w:val="24"/>
          <w:szCs w:val="24"/>
          <w:lang w:val="sr-Latn-ME"/>
        </w:rPr>
        <w:t>S</w:t>
      </w:r>
      <w:r w:rsidRPr="00F96844">
        <w:rPr>
          <w:rFonts w:cs="Arial"/>
          <w:sz w:val="24"/>
          <w:szCs w:val="24"/>
          <w:lang w:val="sr-Latn-ME"/>
        </w:rPr>
        <w:t>ocijala) predstavlja okosnicu reforme sistema socijalne i dječje zaštite</w:t>
      </w:r>
      <w:r w:rsidR="004C5D23">
        <w:rPr>
          <w:rFonts w:cs="Arial"/>
          <w:sz w:val="24"/>
          <w:szCs w:val="24"/>
          <w:lang w:val="sr-Latn-ME"/>
        </w:rPr>
        <w:t xml:space="preserve"> s c</w:t>
      </w:r>
      <w:r w:rsidRPr="00F96844">
        <w:rPr>
          <w:rFonts w:cs="Arial"/>
          <w:sz w:val="24"/>
          <w:szCs w:val="24"/>
          <w:lang w:val="sr-Latn-ME"/>
        </w:rPr>
        <w:t>iljem da se obezbijedi što kvalitetnije i transparent</w:t>
      </w:r>
      <w:r w:rsidR="00FF4736">
        <w:rPr>
          <w:rFonts w:cs="Arial"/>
          <w:sz w:val="24"/>
          <w:szCs w:val="24"/>
          <w:lang w:val="sr-Latn-ME"/>
        </w:rPr>
        <w:t>n</w:t>
      </w:r>
      <w:r w:rsidRPr="00F96844">
        <w:rPr>
          <w:rFonts w:cs="Arial"/>
          <w:sz w:val="24"/>
          <w:szCs w:val="24"/>
          <w:lang w:val="sr-Latn-ME"/>
        </w:rPr>
        <w:t>ije ostvarivanje prava, kako u dijelu materijalnih davanja tako i u dijelu usluga socijalne i dječje zaštite. U prethodnom periodu, kroz korišćenje ISSS-a postignuta je optimizacija budžetskih izdvajanja za socijalnu zaštitu kroz bolju usmjerenost materijalnih davanja, a samim tim je postignuto da materijalno obezbjeđenje i pripadajuća prava primaju samo oni koji ispunjavaju zakonske uslove, čime je smanjena greška uključenosti. Prestanak prava na materijalna davanja onima koji su ih ostvarivali bez valjanog zakonskog osnova, ostvarena je ušteda budžetskih sredstava za one koji su u stanju socijalne potrebe, a nijesu pokriveni mrežom socijalne zaštite, čime se obezbjeđuje fiskalni prostor za korekciju greške isključenosti</w:t>
      </w:r>
      <w:r w:rsidR="00C5246C">
        <w:rPr>
          <w:rFonts w:cs="Arial"/>
          <w:sz w:val="24"/>
          <w:szCs w:val="24"/>
          <w:lang w:val="sr-Latn-ME"/>
        </w:rPr>
        <w:t>, odnosno onih koji su stanju socijalne potrebe</w:t>
      </w:r>
      <w:r w:rsidR="002542E0">
        <w:rPr>
          <w:rFonts w:cs="Arial"/>
          <w:sz w:val="24"/>
          <w:szCs w:val="24"/>
          <w:lang w:val="sr-Latn-ME"/>
        </w:rPr>
        <w:t>,</w:t>
      </w:r>
      <w:r w:rsidR="00C5246C">
        <w:rPr>
          <w:rFonts w:cs="Arial"/>
          <w:sz w:val="24"/>
          <w:szCs w:val="24"/>
          <w:lang w:val="sr-Latn-ME"/>
        </w:rPr>
        <w:t xml:space="preserve"> a </w:t>
      </w:r>
      <w:r w:rsidR="00C17498">
        <w:rPr>
          <w:rFonts w:cs="Arial"/>
          <w:sz w:val="24"/>
          <w:szCs w:val="24"/>
          <w:lang w:val="sr-Latn-ME"/>
        </w:rPr>
        <w:t xml:space="preserve">zbog </w:t>
      </w:r>
      <w:r w:rsidR="00C5246C">
        <w:rPr>
          <w:rFonts w:cs="Arial"/>
          <w:sz w:val="24"/>
          <w:szCs w:val="24"/>
          <w:lang w:val="sr-Latn-ME"/>
        </w:rPr>
        <w:t>restriktivnih kriterijuma ne ostvaruju pravo.</w:t>
      </w:r>
    </w:p>
    <w:p w14:paraId="0993620F" w14:textId="77777777"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Takođe, unaprijeđen je pristup materijalnim davanjima i uslugama socijalne i dječje zaštite kroz uspostavljanje automatizovanog pribavljanja dokaza za ostvarivanje prava od drugih devet državnih institucija, a zaposlenima u centrima olakšana administracija. Kroz ovu funkcionalnost radi se</w:t>
      </w:r>
      <w:r w:rsidR="00D86AEC">
        <w:rPr>
          <w:rFonts w:cs="Arial"/>
          <w:sz w:val="24"/>
          <w:szCs w:val="24"/>
          <w:lang w:val="sr-Latn-ME"/>
        </w:rPr>
        <w:t xml:space="preserve"> i</w:t>
      </w:r>
      <w:r w:rsidRPr="00F96844">
        <w:rPr>
          <w:rFonts w:cs="Arial"/>
          <w:sz w:val="24"/>
          <w:szCs w:val="24"/>
          <w:lang w:val="sr-Latn-ME"/>
        </w:rPr>
        <w:t xml:space="preserve"> mjesečno preispitivanje korišćenja prava radi ažurnosti predmeta i sprečavanja eventualnih zloupotreba. Poboljšan je i kvalitet i praćenje pružanja usluga socijalne i dječje zaštite kroz uvođenje vođenja slučaja i cjelokupno upravljanje predmetima na unificiran način u svim centrima. Kako analitika i statistika predstavlja</w:t>
      </w:r>
      <w:r w:rsidR="00C17498">
        <w:rPr>
          <w:rFonts w:cs="Arial"/>
          <w:sz w:val="24"/>
          <w:szCs w:val="24"/>
          <w:lang w:val="sr-Latn-ME"/>
        </w:rPr>
        <w:t>ju</w:t>
      </w:r>
      <w:r w:rsidRPr="00F96844">
        <w:rPr>
          <w:rFonts w:cs="Arial"/>
          <w:sz w:val="24"/>
          <w:szCs w:val="24"/>
          <w:lang w:val="sr-Latn-ME"/>
        </w:rPr>
        <w:t xml:space="preserve"> jedan od ključnih izvora podataka</w:t>
      </w:r>
      <w:r w:rsidR="00D86AEC">
        <w:rPr>
          <w:rFonts w:cs="Arial"/>
          <w:sz w:val="24"/>
          <w:szCs w:val="24"/>
          <w:lang w:val="sr-Latn-ME"/>
        </w:rPr>
        <w:t xml:space="preserve"> </w:t>
      </w:r>
      <w:r w:rsidRPr="00F96844">
        <w:rPr>
          <w:rFonts w:cs="Arial"/>
          <w:sz w:val="24"/>
          <w:szCs w:val="24"/>
          <w:lang w:val="sr-Latn-ME"/>
        </w:rPr>
        <w:t xml:space="preserve">u kreiranju </w:t>
      </w:r>
      <w:r w:rsidR="00D86AEC">
        <w:rPr>
          <w:rFonts w:cs="Arial"/>
          <w:sz w:val="24"/>
          <w:szCs w:val="24"/>
          <w:lang w:val="sr-Latn-ME"/>
        </w:rPr>
        <w:t xml:space="preserve">socijalne </w:t>
      </w:r>
      <w:r w:rsidRPr="00F96844">
        <w:rPr>
          <w:rFonts w:cs="Arial"/>
          <w:sz w:val="24"/>
          <w:szCs w:val="24"/>
          <w:lang w:val="sr-Latn-ME"/>
        </w:rPr>
        <w:t>politik</w:t>
      </w:r>
      <w:r w:rsidR="00D86AEC">
        <w:rPr>
          <w:rFonts w:cs="Arial"/>
          <w:sz w:val="24"/>
          <w:szCs w:val="24"/>
          <w:lang w:val="sr-Latn-ME"/>
        </w:rPr>
        <w:t>e</w:t>
      </w:r>
      <w:r w:rsidRPr="00F96844">
        <w:rPr>
          <w:rFonts w:cs="Arial"/>
          <w:sz w:val="24"/>
          <w:szCs w:val="24"/>
          <w:lang w:val="sr-Latn-ME"/>
        </w:rPr>
        <w:t>, to je u prethodnom periodu rađeno na obezbjeđenju  dostupnost</w:t>
      </w:r>
      <w:r w:rsidR="00C17498">
        <w:rPr>
          <w:rFonts w:cs="Arial"/>
          <w:sz w:val="24"/>
          <w:szCs w:val="24"/>
          <w:lang w:val="sr-Latn-ME"/>
        </w:rPr>
        <w:t>i</w:t>
      </w:r>
      <w:r w:rsidRPr="00F96844">
        <w:rPr>
          <w:rFonts w:cs="Arial"/>
          <w:sz w:val="24"/>
          <w:szCs w:val="24"/>
          <w:lang w:val="sr-Latn-ME"/>
        </w:rPr>
        <w:t xml:space="preserve"> podataka i statistike, izvještaja</w:t>
      </w:r>
      <w:r w:rsidR="00D86AEC">
        <w:rPr>
          <w:rFonts w:cs="Arial"/>
          <w:sz w:val="24"/>
          <w:szCs w:val="24"/>
          <w:lang w:val="sr-Latn-ME"/>
        </w:rPr>
        <w:t>, kao i na unapređenju</w:t>
      </w:r>
      <w:r w:rsidRPr="00F96844">
        <w:rPr>
          <w:rFonts w:cs="Arial"/>
          <w:sz w:val="24"/>
          <w:szCs w:val="24"/>
          <w:lang w:val="sr-Latn-ME"/>
        </w:rPr>
        <w:t xml:space="preserve"> transparentnosti, monitoring</w:t>
      </w:r>
      <w:r w:rsidR="00D86AEC">
        <w:rPr>
          <w:rFonts w:cs="Arial"/>
          <w:sz w:val="24"/>
          <w:szCs w:val="24"/>
          <w:lang w:val="sr-Latn-ME"/>
        </w:rPr>
        <w:t>a</w:t>
      </w:r>
      <w:r w:rsidRPr="00F96844">
        <w:rPr>
          <w:rFonts w:cs="Arial"/>
          <w:sz w:val="24"/>
          <w:szCs w:val="24"/>
          <w:lang w:val="sr-Latn-ME"/>
        </w:rPr>
        <w:t xml:space="preserve"> kvaliteta rada i praćenj</w:t>
      </w:r>
      <w:r w:rsidR="00D86AEC">
        <w:rPr>
          <w:rFonts w:cs="Arial"/>
          <w:sz w:val="24"/>
          <w:szCs w:val="24"/>
          <w:lang w:val="sr-Latn-ME"/>
        </w:rPr>
        <w:t>a</w:t>
      </w:r>
      <w:r w:rsidRPr="00F96844">
        <w:rPr>
          <w:rFonts w:cs="Arial"/>
          <w:sz w:val="24"/>
          <w:szCs w:val="24"/>
          <w:lang w:val="sr-Latn-ME"/>
        </w:rPr>
        <w:t xml:space="preserve"> rada na predmetima kroz sistem.</w:t>
      </w:r>
    </w:p>
    <w:p w14:paraId="76258D72" w14:textId="77777777"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 xml:space="preserve">Neophodno je napomenuti da su na optimalan i pravovremen način sprovedena četiri seta Vladinih </w:t>
      </w:r>
      <w:r w:rsidR="00C17498">
        <w:rPr>
          <w:rFonts w:cs="Arial"/>
          <w:sz w:val="24"/>
          <w:szCs w:val="24"/>
          <w:lang w:val="sr-Latn-ME"/>
        </w:rPr>
        <w:t>COVID-</w:t>
      </w:r>
      <w:r w:rsidRPr="00F96844">
        <w:rPr>
          <w:rFonts w:cs="Arial"/>
          <w:sz w:val="24"/>
          <w:szCs w:val="24"/>
          <w:lang w:val="sr-Latn-ME"/>
        </w:rPr>
        <w:t>mjera za pomoć ugroženim građanima, uključujući vanredne isplate jednokratnih pomoći, obezbjeđen</w:t>
      </w:r>
      <w:r w:rsidR="00B4085F">
        <w:rPr>
          <w:rFonts w:cs="Arial"/>
          <w:sz w:val="24"/>
          <w:szCs w:val="24"/>
          <w:lang w:val="sr-Latn-ME"/>
        </w:rPr>
        <w:t>je</w:t>
      </w:r>
      <w:r w:rsidRPr="00F96844">
        <w:rPr>
          <w:rFonts w:cs="Arial"/>
          <w:sz w:val="24"/>
          <w:szCs w:val="24"/>
          <w:lang w:val="sr-Latn-ME"/>
        </w:rPr>
        <w:t xml:space="preserve"> kontinuitet</w:t>
      </w:r>
      <w:r w:rsidR="00B4085F">
        <w:rPr>
          <w:rFonts w:cs="Arial"/>
          <w:sz w:val="24"/>
          <w:szCs w:val="24"/>
          <w:lang w:val="sr-Latn-ME"/>
        </w:rPr>
        <w:t>a</w:t>
      </w:r>
      <w:r w:rsidRPr="00F96844">
        <w:rPr>
          <w:rFonts w:cs="Arial"/>
          <w:sz w:val="24"/>
          <w:szCs w:val="24"/>
          <w:lang w:val="sr-Latn-ME"/>
        </w:rPr>
        <w:t xml:space="preserve"> socijalnih prava kroz informatičko produženje prava za korisnike čija su prava bila predmet preispitivanja, i to u situaciji obustave rada </w:t>
      </w:r>
      <w:r w:rsidR="00C17498">
        <w:rPr>
          <w:rFonts w:cs="Arial"/>
          <w:sz w:val="24"/>
          <w:szCs w:val="24"/>
          <w:lang w:val="sr-Latn-ME"/>
        </w:rPr>
        <w:t>s</w:t>
      </w:r>
      <w:r w:rsidRPr="00F96844">
        <w:rPr>
          <w:rFonts w:cs="Arial"/>
          <w:sz w:val="24"/>
          <w:szCs w:val="24"/>
          <w:lang w:val="sr-Latn-ME"/>
        </w:rPr>
        <w:t>ocio-ljekarskih komisija u trajanju od 17 mjeseci i drugih sličnih situacija.</w:t>
      </w:r>
    </w:p>
    <w:p w14:paraId="19B050DE" w14:textId="1F389334" w:rsidR="00ED2275" w:rsidRPr="00F96844" w:rsidRDefault="00ED2275" w:rsidP="00FE626F">
      <w:pPr>
        <w:spacing w:before="120" w:after="120"/>
        <w:jc w:val="both"/>
        <w:rPr>
          <w:rFonts w:cs="Arial"/>
          <w:sz w:val="24"/>
          <w:szCs w:val="24"/>
          <w:lang w:val="sr-Latn-ME"/>
        </w:rPr>
      </w:pPr>
      <w:r w:rsidRPr="00736811">
        <w:rPr>
          <w:rFonts w:cs="Arial"/>
          <w:sz w:val="24"/>
          <w:szCs w:val="24"/>
          <w:lang w:val="sr-Latn-ME"/>
        </w:rPr>
        <w:t xml:space="preserve">Ministarstvo </w:t>
      </w:r>
      <w:r w:rsidR="0002067C" w:rsidRPr="00736811">
        <w:rPr>
          <w:rFonts w:cs="Arial"/>
          <w:sz w:val="24"/>
          <w:szCs w:val="24"/>
          <w:lang w:val="sr-Latn-ME"/>
        </w:rPr>
        <w:t>socijalnog staranja, brige o porodici i demografije</w:t>
      </w:r>
      <w:r w:rsidR="00422BC1" w:rsidRPr="00736811">
        <w:rPr>
          <w:rFonts w:cs="Arial"/>
          <w:sz w:val="24"/>
          <w:szCs w:val="24"/>
          <w:lang w:val="sr-Latn-ME"/>
        </w:rPr>
        <w:t xml:space="preserve"> </w:t>
      </w:r>
      <w:r w:rsidRPr="00736811">
        <w:rPr>
          <w:rFonts w:cs="Arial"/>
          <w:sz w:val="24"/>
          <w:szCs w:val="24"/>
          <w:lang w:val="sr-Latn-ME"/>
        </w:rPr>
        <w:t>konstatovalo je da je u prethodnom periodu na optimalan način</w:t>
      </w:r>
      <w:r w:rsidRPr="00F96844">
        <w:rPr>
          <w:rFonts w:cs="Arial"/>
          <w:sz w:val="24"/>
          <w:szCs w:val="24"/>
          <w:lang w:val="sr-Latn-ME"/>
        </w:rPr>
        <w:t xml:space="preserve"> sproveden značajan broj zakonskih izmjena putem ISSS-a. U predstojećem periodu, takođe je neophodno kroz ISSS sprovesti nova zakonska rješenja i osigurati kontinuiran i nesmetan rad ustanova socijalne i dječje zaštite, obezb</w:t>
      </w:r>
      <w:r w:rsidR="006915C6">
        <w:rPr>
          <w:rFonts w:cs="Arial"/>
          <w:sz w:val="24"/>
          <w:szCs w:val="24"/>
          <w:lang w:val="sr-Latn-ME"/>
        </w:rPr>
        <w:t>i</w:t>
      </w:r>
      <w:r w:rsidRPr="00F96844">
        <w:rPr>
          <w:rFonts w:cs="Arial"/>
          <w:sz w:val="24"/>
          <w:szCs w:val="24"/>
          <w:lang w:val="sr-Latn-ME"/>
        </w:rPr>
        <w:t>jediti e-servise za građane</w:t>
      </w:r>
      <w:r w:rsidR="00C17498">
        <w:rPr>
          <w:rFonts w:cs="Arial"/>
          <w:sz w:val="24"/>
          <w:szCs w:val="24"/>
          <w:lang w:val="sr-Latn-ME"/>
        </w:rPr>
        <w:t xml:space="preserve"> </w:t>
      </w:r>
      <w:r w:rsidRPr="00F96844">
        <w:rPr>
          <w:rFonts w:cs="Arial"/>
          <w:sz w:val="24"/>
          <w:szCs w:val="24"/>
          <w:lang w:val="sr-Latn-ME"/>
        </w:rPr>
        <w:t>itd., a što iziskuje izradu novih funkcionalnosti sistema.</w:t>
      </w:r>
    </w:p>
    <w:p w14:paraId="1C1B1145" w14:textId="77777777"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lastRenderedPageBreak/>
        <w:t>Da bi se pravovremen</w:t>
      </w:r>
      <w:r w:rsidR="00540EEF">
        <w:rPr>
          <w:rFonts w:cs="Arial"/>
          <w:sz w:val="24"/>
          <w:szCs w:val="24"/>
          <w:lang w:val="sr-Latn-ME"/>
        </w:rPr>
        <w:t>o</w:t>
      </w:r>
      <w:r w:rsidRPr="00F96844">
        <w:rPr>
          <w:rFonts w:cs="Arial"/>
          <w:sz w:val="24"/>
          <w:szCs w:val="24"/>
          <w:lang w:val="sr-Latn-ME"/>
        </w:rPr>
        <w:t xml:space="preserve"> sprovela nova zakonska rješenja</w:t>
      </w:r>
      <w:r w:rsidR="000B2A93">
        <w:rPr>
          <w:rFonts w:cs="Arial"/>
          <w:sz w:val="24"/>
          <w:szCs w:val="24"/>
          <w:lang w:val="sr-Latn-ME"/>
        </w:rPr>
        <w:t>,</w:t>
      </w:r>
      <w:r w:rsidRPr="00F96844">
        <w:rPr>
          <w:rFonts w:cs="Arial"/>
          <w:sz w:val="24"/>
          <w:szCs w:val="24"/>
          <w:lang w:val="sr-Latn-ME"/>
        </w:rPr>
        <w:t xml:space="preserve"> kao i </w:t>
      </w:r>
      <w:r w:rsidR="00540EEF">
        <w:rPr>
          <w:rFonts w:cs="Arial"/>
          <w:sz w:val="24"/>
          <w:szCs w:val="24"/>
          <w:lang w:val="sr-Latn-ME"/>
        </w:rPr>
        <w:t xml:space="preserve">primjena </w:t>
      </w:r>
      <w:r w:rsidRPr="00F96844">
        <w:rPr>
          <w:rFonts w:cs="Arial"/>
          <w:sz w:val="24"/>
          <w:szCs w:val="24"/>
          <w:lang w:val="sr-Latn-ME"/>
        </w:rPr>
        <w:t>podzakonsk</w:t>
      </w:r>
      <w:r w:rsidR="00540EEF">
        <w:rPr>
          <w:rFonts w:cs="Arial"/>
          <w:sz w:val="24"/>
          <w:szCs w:val="24"/>
          <w:lang w:val="sr-Latn-ME"/>
        </w:rPr>
        <w:t>ih</w:t>
      </w:r>
      <w:r w:rsidRPr="00F96844">
        <w:rPr>
          <w:rFonts w:cs="Arial"/>
          <w:sz w:val="24"/>
          <w:szCs w:val="24"/>
          <w:lang w:val="sr-Latn-ME"/>
        </w:rPr>
        <w:t xml:space="preserve"> ak</w:t>
      </w:r>
      <w:r w:rsidR="00540EEF">
        <w:rPr>
          <w:rFonts w:cs="Arial"/>
          <w:sz w:val="24"/>
          <w:szCs w:val="24"/>
          <w:lang w:val="sr-Latn-ME"/>
        </w:rPr>
        <w:t>a</w:t>
      </w:r>
      <w:r w:rsidRPr="00F96844">
        <w:rPr>
          <w:rFonts w:cs="Arial"/>
          <w:sz w:val="24"/>
          <w:szCs w:val="24"/>
          <w:lang w:val="sr-Latn-ME"/>
        </w:rPr>
        <w:t>ta, neophodno je obezbijediti resurse u vidu vremena, stručnjaka i finansijskih sredstava za razvoj novih funkcionalnosti Informacionog sistema, kao i za doradu i optimizaciju postojećih.</w:t>
      </w:r>
    </w:p>
    <w:p w14:paraId="55723585" w14:textId="77777777"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Kada se govori o ključnim informacionim sistemima u zemlji, a naročito o onima koji su odgovorni za godišnju isplatu značajnih budžetskih izdvajanja (kroz ISSS se u 2023. isplaćuje preko 230 miliona eura), osnovno pravilo je da se mora planski i kontinuirano ulagati kako u njihov dalji razvoj tako i u redovno održavanje. </w:t>
      </w:r>
    </w:p>
    <w:p w14:paraId="197C04AA" w14:textId="7E43ECD7"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Stoga je projektovano da će nakon deset godina operativnog rada ISSS-a odnosno </w:t>
      </w:r>
      <w:r w:rsidR="005F4D43">
        <w:rPr>
          <w:rFonts w:cs="Arial"/>
          <w:sz w:val="24"/>
          <w:szCs w:val="24"/>
          <w:lang w:val="sr-Latn-ME"/>
        </w:rPr>
        <w:t xml:space="preserve">od </w:t>
      </w:r>
      <w:r w:rsidRPr="00F96844">
        <w:rPr>
          <w:rFonts w:cs="Arial"/>
          <w:sz w:val="24"/>
          <w:szCs w:val="24"/>
          <w:lang w:val="sr-Latn-ME"/>
        </w:rPr>
        <w:t>202</w:t>
      </w:r>
      <w:r w:rsidR="001B381E">
        <w:rPr>
          <w:rFonts w:cs="Arial"/>
          <w:sz w:val="24"/>
          <w:szCs w:val="24"/>
          <w:lang w:val="sr-Latn-ME"/>
        </w:rPr>
        <w:t>5</w:t>
      </w:r>
      <w:r w:rsidRPr="00F96844">
        <w:rPr>
          <w:rFonts w:cs="Arial"/>
          <w:sz w:val="24"/>
          <w:szCs w:val="24"/>
          <w:lang w:val="sr-Latn-ME"/>
        </w:rPr>
        <w:t>. godine, biti započet njegov potpuni reinženjering (re-factoring). Reinženjeringom bi sistem bio potpuno modernizovan i optimizovan i, uz redovno održavanje i dorade, predviđeno je da služi u narednom des</w:t>
      </w:r>
      <w:r w:rsidR="00C17498">
        <w:rPr>
          <w:rFonts w:cs="Arial"/>
          <w:sz w:val="24"/>
          <w:szCs w:val="24"/>
          <w:lang w:val="sr-Latn-ME"/>
        </w:rPr>
        <w:t>e</w:t>
      </w:r>
      <w:r w:rsidRPr="00F96844">
        <w:rPr>
          <w:rFonts w:cs="Arial"/>
          <w:sz w:val="24"/>
          <w:szCs w:val="24"/>
          <w:lang w:val="sr-Latn-ME"/>
        </w:rPr>
        <w:t>tog</w:t>
      </w:r>
      <w:r w:rsidR="00FF4736">
        <w:rPr>
          <w:rFonts w:cs="Arial"/>
          <w:sz w:val="24"/>
          <w:szCs w:val="24"/>
          <w:lang w:val="sr-Latn-ME"/>
        </w:rPr>
        <w:t>od</w:t>
      </w:r>
      <w:r w:rsidRPr="00F96844">
        <w:rPr>
          <w:rFonts w:cs="Arial"/>
          <w:sz w:val="24"/>
          <w:szCs w:val="24"/>
          <w:lang w:val="sr-Latn-ME"/>
        </w:rPr>
        <w:t>išnjem periodu. U suprotnom, nedopustiv je rizik nefunkcionisanja ISSS-a, što bi u krajnjem moglo rezultirati i prekidom isplate materijalnih davanja i usluga.</w:t>
      </w:r>
    </w:p>
    <w:p w14:paraId="45CB9CF6" w14:textId="56A75ED1"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Kada su u pitanju tehnički kapaciteti</w:t>
      </w:r>
      <w:r w:rsidR="00C17498">
        <w:rPr>
          <w:rFonts w:cs="Arial"/>
          <w:sz w:val="24"/>
          <w:szCs w:val="24"/>
          <w:lang w:val="sr-Latn-ME"/>
        </w:rPr>
        <w:t>,</w:t>
      </w:r>
      <w:r w:rsidRPr="00F96844">
        <w:rPr>
          <w:rFonts w:cs="Arial"/>
          <w:sz w:val="24"/>
          <w:szCs w:val="24"/>
          <w:lang w:val="sr-Latn-ME"/>
        </w:rPr>
        <w:t xml:space="preserve"> obezb</w:t>
      </w:r>
      <w:r w:rsidR="00FF4736">
        <w:rPr>
          <w:rFonts w:cs="Arial"/>
          <w:sz w:val="24"/>
          <w:szCs w:val="24"/>
          <w:lang w:val="sr-Latn-ME"/>
        </w:rPr>
        <w:t>i</w:t>
      </w:r>
      <w:r w:rsidRPr="00F96844">
        <w:rPr>
          <w:rFonts w:cs="Arial"/>
          <w:sz w:val="24"/>
          <w:szCs w:val="24"/>
          <w:lang w:val="sr-Latn-ME"/>
        </w:rPr>
        <w:t xml:space="preserve">jeđena je informatičko-telekomunikaciona infrastruktura na </w:t>
      </w:r>
      <w:r w:rsidR="005F4D43">
        <w:rPr>
          <w:rFonts w:cs="Arial"/>
          <w:sz w:val="24"/>
          <w:szCs w:val="24"/>
          <w:lang w:val="sr-Latn-ME"/>
        </w:rPr>
        <w:t xml:space="preserve">36 </w:t>
      </w:r>
      <w:r w:rsidR="001B381E">
        <w:rPr>
          <w:rFonts w:cs="Arial"/>
          <w:sz w:val="24"/>
          <w:szCs w:val="24"/>
          <w:lang w:val="sr-Latn-ME"/>
        </w:rPr>
        <w:t>lokacija</w:t>
      </w:r>
      <w:r w:rsidRPr="00F96844">
        <w:rPr>
          <w:rFonts w:cs="Arial"/>
          <w:sz w:val="24"/>
          <w:szCs w:val="24"/>
          <w:lang w:val="sr-Latn-ME"/>
        </w:rPr>
        <w:t>, uključujući centre, njihove područne jedinice i JU socijalne i d</w:t>
      </w:r>
      <w:r w:rsidR="00EB2F1D">
        <w:rPr>
          <w:rFonts w:cs="Arial"/>
          <w:sz w:val="24"/>
          <w:szCs w:val="24"/>
          <w:lang w:val="sr-Latn-ME"/>
        </w:rPr>
        <w:t>ječj</w:t>
      </w:r>
      <w:r w:rsidRPr="00F96844">
        <w:rPr>
          <w:rFonts w:cs="Arial"/>
          <w:sz w:val="24"/>
          <w:szCs w:val="24"/>
          <w:lang w:val="sr-Latn-ME"/>
        </w:rPr>
        <w:t>e zaštite za smještaj, Zavod za socijalnu i d</w:t>
      </w:r>
      <w:r w:rsidR="00EB2F1D">
        <w:rPr>
          <w:rFonts w:cs="Arial"/>
          <w:sz w:val="24"/>
          <w:szCs w:val="24"/>
          <w:lang w:val="sr-Latn-ME"/>
        </w:rPr>
        <w:t>ječj</w:t>
      </w:r>
      <w:r w:rsidRPr="00F96844">
        <w:rPr>
          <w:rFonts w:cs="Arial"/>
          <w:sz w:val="24"/>
          <w:szCs w:val="24"/>
          <w:lang w:val="sr-Latn-ME"/>
        </w:rPr>
        <w:t xml:space="preserve">u zaštitu i </w:t>
      </w:r>
      <w:r w:rsidR="005F4D43">
        <w:rPr>
          <w:rFonts w:cs="Arial"/>
          <w:sz w:val="24"/>
          <w:szCs w:val="24"/>
          <w:lang w:val="sr-Latn-ME"/>
        </w:rPr>
        <w:t xml:space="preserve">na </w:t>
      </w:r>
      <w:r w:rsidRPr="00F96844">
        <w:rPr>
          <w:rFonts w:cs="Arial"/>
          <w:sz w:val="24"/>
          <w:szCs w:val="24"/>
          <w:lang w:val="sr-Latn-ME"/>
        </w:rPr>
        <w:t>centraln</w:t>
      </w:r>
      <w:r w:rsidR="005F4D43">
        <w:rPr>
          <w:rFonts w:cs="Arial"/>
          <w:sz w:val="24"/>
          <w:szCs w:val="24"/>
          <w:lang w:val="sr-Latn-ME"/>
        </w:rPr>
        <w:t>oj</w:t>
      </w:r>
      <w:r w:rsidRPr="00F96844">
        <w:rPr>
          <w:rFonts w:cs="Arial"/>
          <w:sz w:val="24"/>
          <w:szCs w:val="24"/>
          <w:lang w:val="sr-Latn-ME"/>
        </w:rPr>
        <w:t xml:space="preserve"> lokacij</w:t>
      </w:r>
      <w:r w:rsidR="005F4D43">
        <w:rPr>
          <w:rFonts w:cs="Arial"/>
          <w:sz w:val="24"/>
          <w:szCs w:val="24"/>
          <w:lang w:val="sr-Latn-ME"/>
        </w:rPr>
        <w:t>i</w:t>
      </w:r>
      <w:r w:rsidRPr="00F96844">
        <w:rPr>
          <w:rFonts w:cs="Arial"/>
          <w:sz w:val="24"/>
          <w:szCs w:val="24"/>
          <w:lang w:val="sr-Latn-ME"/>
        </w:rPr>
        <w:t xml:space="preserve">. U narednom periodu neophodno je nastaviti ulaganja u opremu i mrežu i osigurati redovno održavanje, zamjenu, servisiranje i </w:t>
      </w:r>
      <w:r w:rsidR="00D757C8">
        <w:rPr>
          <w:rFonts w:cs="Arial"/>
          <w:sz w:val="24"/>
          <w:szCs w:val="24"/>
          <w:lang w:val="sr-Latn-ME"/>
        </w:rPr>
        <w:t>unapre</w:t>
      </w:r>
      <w:r w:rsidRPr="00F96844">
        <w:rPr>
          <w:rFonts w:cs="Arial"/>
          <w:sz w:val="24"/>
          <w:szCs w:val="24"/>
          <w:lang w:val="sr-Latn-ME"/>
        </w:rPr>
        <w:t>đivanje svih hardverskih i serverskih komponenti kako bi se izbjegli prekidi u operativnom</w:t>
      </w:r>
      <w:r w:rsidR="005F4D43">
        <w:rPr>
          <w:rFonts w:cs="Arial"/>
          <w:sz w:val="24"/>
          <w:szCs w:val="24"/>
          <w:lang w:val="sr-Latn-ME"/>
        </w:rPr>
        <w:t xml:space="preserve"> radu</w:t>
      </w:r>
      <w:r w:rsidR="00C17498">
        <w:rPr>
          <w:rFonts w:cs="Arial"/>
          <w:sz w:val="24"/>
          <w:szCs w:val="24"/>
          <w:lang w:val="sr-Latn-ME"/>
        </w:rPr>
        <w:t xml:space="preserve">, </w:t>
      </w:r>
      <w:r w:rsidRPr="00F96844">
        <w:rPr>
          <w:rFonts w:cs="Arial"/>
          <w:sz w:val="24"/>
          <w:szCs w:val="24"/>
          <w:lang w:val="sr-Latn-ME"/>
        </w:rPr>
        <w:t>ali</w:t>
      </w:r>
      <w:r w:rsidR="00C17498">
        <w:rPr>
          <w:rFonts w:cs="Arial"/>
          <w:sz w:val="24"/>
          <w:szCs w:val="24"/>
          <w:lang w:val="sr-Latn-ME"/>
        </w:rPr>
        <w:t xml:space="preserve"> i</w:t>
      </w:r>
      <w:r w:rsidR="005F4D43">
        <w:rPr>
          <w:rFonts w:cs="Arial"/>
          <w:sz w:val="24"/>
          <w:szCs w:val="24"/>
          <w:lang w:val="sr-Latn-ME"/>
        </w:rPr>
        <w:t xml:space="preserve"> kako bi se</w:t>
      </w:r>
      <w:r w:rsidRPr="00F96844">
        <w:rPr>
          <w:rFonts w:cs="Arial"/>
          <w:sz w:val="24"/>
          <w:szCs w:val="24"/>
          <w:lang w:val="sr-Latn-ME"/>
        </w:rPr>
        <w:t xml:space="preserve"> obez</w:t>
      </w:r>
      <w:r w:rsidR="00C178B6">
        <w:rPr>
          <w:rFonts w:cs="Arial"/>
          <w:sz w:val="24"/>
          <w:szCs w:val="24"/>
          <w:lang w:val="sr-Latn-ME"/>
        </w:rPr>
        <w:t>bi</w:t>
      </w:r>
      <w:r w:rsidRPr="00F96844">
        <w:rPr>
          <w:rFonts w:cs="Arial"/>
          <w:sz w:val="24"/>
          <w:szCs w:val="24"/>
          <w:lang w:val="sr-Latn-ME"/>
        </w:rPr>
        <w:t>jedi</w:t>
      </w:r>
      <w:r w:rsidR="005F4D43">
        <w:rPr>
          <w:rFonts w:cs="Arial"/>
          <w:sz w:val="24"/>
          <w:szCs w:val="24"/>
          <w:lang w:val="sr-Latn-ME"/>
        </w:rPr>
        <w:t>lo</w:t>
      </w:r>
      <w:r w:rsidRPr="00F96844">
        <w:rPr>
          <w:rFonts w:cs="Arial"/>
          <w:sz w:val="24"/>
          <w:szCs w:val="24"/>
          <w:lang w:val="sr-Latn-ME"/>
        </w:rPr>
        <w:t xml:space="preserve"> </w:t>
      </w:r>
      <w:r w:rsidR="005F4D43">
        <w:rPr>
          <w:rFonts w:cs="Arial"/>
          <w:sz w:val="24"/>
          <w:szCs w:val="24"/>
          <w:lang w:val="sr-Latn-ME"/>
        </w:rPr>
        <w:t xml:space="preserve"> </w:t>
      </w:r>
      <w:r w:rsidRPr="00F96844">
        <w:rPr>
          <w:rFonts w:cs="Arial"/>
          <w:sz w:val="24"/>
          <w:szCs w:val="24"/>
          <w:lang w:val="sr-Latn-ME"/>
        </w:rPr>
        <w:t>dodatno ulaganje u ICT bezbjednost.</w:t>
      </w:r>
    </w:p>
    <w:p w14:paraId="2F5173D7" w14:textId="77777777"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Oprema takođe obuhvata: </w:t>
      </w:r>
    </w:p>
    <w:p w14:paraId="62D5DD37" w14:textId="77777777" w:rsidR="00ED2275" w:rsidRPr="003D6D7B" w:rsidRDefault="00ED2275" w:rsidP="00ED2275">
      <w:pPr>
        <w:numPr>
          <w:ilvl w:val="0"/>
          <w:numId w:val="7"/>
        </w:numPr>
        <w:spacing w:before="120" w:after="120" w:line="276" w:lineRule="auto"/>
        <w:contextualSpacing/>
        <w:jc w:val="both"/>
        <w:rPr>
          <w:rFonts w:cs="Arial"/>
          <w:sz w:val="24"/>
          <w:szCs w:val="24"/>
          <w:lang w:val="sr-Latn-ME"/>
        </w:rPr>
      </w:pPr>
      <w:r w:rsidRPr="003D6D7B">
        <w:rPr>
          <w:rFonts w:cs="Arial"/>
          <w:sz w:val="24"/>
          <w:szCs w:val="24"/>
          <w:lang w:val="sr-Latn-ME"/>
        </w:rPr>
        <w:t xml:space="preserve">Serversko okruženje, koje uključuje servere, </w:t>
      </w:r>
      <w:r w:rsidRPr="003D6D7B">
        <w:rPr>
          <w:rFonts w:cs="Arial"/>
          <w:iCs/>
          <w:sz w:val="24"/>
          <w:szCs w:val="24"/>
          <w:lang w:val="sr-Latn-ME"/>
        </w:rPr>
        <w:t>storage</w:t>
      </w:r>
      <w:r w:rsidRPr="003D6D7B">
        <w:rPr>
          <w:rFonts w:cs="Arial"/>
          <w:sz w:val="24"/>
          <w:szCs w:val="24"/>
          <w:lang w:val="sr-Latn-ME"/>
        </w:rPr>
        <w:t xml:space="preserve"> sisteme, neophodnu aktivnu mrežnu opremu za umrežavanje i sigurnost sistema, virtualizaciju sistema i odgovarajuće licence.</w:t>
      </w:r>
    </w:p>
    <w:p w14:paraId="41946637" w14:textId="77777777" w:rsidR="00ED2275" w:rsidRPr="00F96844" w:rsidRDefault="00ED2275" w:rsidP="00ED2275">
      <w:pPr>
        <w:numPr>
          <w:ilvl w:val="0"/>
          <w:numId w:val="7"/>
        </w:numPr>
        <w:spacing w:before="120" w:after="120" w:line="276" w:lineRule="auto"/>
        <w:contextualSpacing/>
        <w:jc w:val="both"/>
        <w:rPr>
          <w:rFonts w:cs="Arial"/>
          <w:sz w:val="24"/>
          <w:szCs w:val="24"/>
          <w:lang w:val="sr-Latn-ME"/>
        </w:rPr>
      </w:pPr>
      <w:r w:rsidRPr="00F96844">
        <w:rPr>
          <w:rFonts w:cs="Arial"/>
          <w:sz w:val="24"/>
          <w:szCs w:val="24"/>
          <w:lang w:val="sr-Latn-ME"/>
        </w:rPr>
        <w:t>Mrežu i hardver (radne stanice, štampače, skenere itd.</w:t>
      </w:r>
      <w:r w:rsidR="000B2A93">
        <w:rPr>
          <w:rFonts w:cs="Arial"/>
          <w:sz w:val="24"/>
          <w:szCs w:val="24"/>
          <w:lang w:val="sr-Latn-ME"/>
        </w:rPr>
        <w:t>,</w:t>
      </w:r>
      <w:r w:rsidRPr="00F96844">
        <w:rPr>
          <w:rFonts w:cs="Arial"/>
          <w:sz w:val="24"/>
          <w:szCs w:val="24"/>
          <w:lang w:val="sr-Latn-ME"/>
        </w:rPr>
        <w:t xml:space="preserve"> kao i integrisanje postojeće informatičke opreme (preko 6</w:t>
      </w:r>
      <w:r w:rsidR="00F44666">
        <w:rPr>
          <w:rFonts w:cs="Arial"/>
          <w:sz w:val="24"/>
          <w:szCs w:val="24"/>
          <w:lang w:val="sr-Latn-ME"/>
        </w:rPr>
        <w:t>5</w:t>
      </w:r>
      <w:r w:rsidRPr="00F96844">
        <w:rPr>
          <w:rFonts w:cs="Arial"/>
          <w:sz w:val="24"/>
          <w:szCs w:val="24"/>
          <w:lang w:val="sr-Latn-ME"/>
        </w:rPr>
        <w:t>0 radnih stanica, trenutno) na udaljenim lokacijama u domen</w:t>
      </w:r>
      <w:r w:rsidR="00C17498">
        <w:rPr>
          <w:rFonts w:cs="Arial"/>
          <w:sz w:val="24"/>
          <w:szCs w:val="24"/>
          <w:lang w:val="sr-Latn-ME"/>
        </w:rPr>
        <w:t>-</w:t>
      </w:r>
      <w:r w:rsidRPr="00F96844">
        <w:rPr>
          <w:rFonts w:cs="Arial"/>
          <w:sz w:val="24"/>
          <w:szCs w:val="24"/>
          <w:lang w:val="sr-Latn-ME"/>
        </w:rPr>
        <w:t>kontroler.</w:t>
      </w:r>
    </w:p>
    <w:p w14:paraId="752220A6" w14:textId="77777777" w:rsidR="00ED2275" w:rsidRPr="00F96844" w:rsidRDefault="00ED2275" w:rsidP="00ED2275">
      <w:pPr>
        <w:numPr>
          <w:ilvl w:val="0"/>
          <w:numId w:val="7"/>
        </w:numPr>
        <w:spacing w:before="120" w:after="120" w:line="276" w:lineRule="auto"/>
        <w:contextualSpacing/>
        <w:jc w:val="both"/>
        <w:rPr>
          <w:rFonts w:cs="Arial"/>
          <w:sz w:val="24"/>
          <w:szCs w:val="24"/>
          <w:lang w:val="sr-Latn-ME"/>
        </w:rPr>
      </w:pPr>
      <w:r w:rsidRPr="00F96844">
        <w:rPr>
          <w:rFonts w:cs="Arial"/>
          <w:sz w:val="24"/>
          <w:szCs w:val="24"/>
          <w:lang w:val="sr-Latn-ME"/>
        </w:rPr>
        <w:t>Centralna i lokalne informaciono-komunikacione mreže i održavanje web-servisa.</w:t>
      </w:r>
    </w:p>
    <w:p w14:paraId="394B63E3" w14:textId="77777777" w:rsidR="002542E0" w:rsidRDefault="002542E0" w:rsidP="00ED2275">
      <w:pPr>
        <w:spacing w:before="120" w:after="120" w:line="276" w:lineRule="auto"/>
        <w:jc w:val="both"/>
        <w:rPr>
          <w:rFonts w:cs="Arial"/>
          <w:sz w:val="24"/>
          <w:szCs w:val="24"/>
          <w:lang w:val="sr-Latn-ME"/>
        </w:rPr>
      </w:pPr>
    </w:p>
    <w:p w14:paraId="1C43BE61" w14:textId="77777777"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U cilju ostvarivanja uslova za implementaciju zakonskih i strateških reformi u socijalnoj i dječjoj zaštiti, neophodno je kontinuirano sprovoditi specijalizovane obuke za zaposlene. Pored analiza izmjena propisa, testiranja, izrade uputstva i obuka za primjenu prava kroz Informacioni sistem, obuke uključuju i obuke za administratore sistema iz Ministarstva rada i socijalnog staranja, kao i obuke iz domena zaštite podataka o ličnosti, ISO standardizaciju za informacionu tehnologiju, sajber</w:t>
      </w:r>
      <w:r w:rsidR="00FF4736">
        <w:rPr>
          <w:rFonts w:cs="Arial"/>
          <w:sz w:val="24"/>
          <w:szCs w:val="24"/>
          <w:lang w:val="sr-Latn-ME"/>
        </w:rPr>
        <w:t>-</w:t>
      </w:r>
      <w:r w:rsidRPr="00F96844">
        <w:rPr>
          <w:rFonts w:cs="Arial"/>
          <w:sz w:val="24"/>
          <w:szCs w:val="24"/>
          <w:lang w:val="sr-Latn-ME"/>
        </w:rPr>
        <w:t>bezbjednosne aspekte</w:t>
      </w:r>
      <w:r w:rsidR="00C17498">
        <w:rPr>
          <w:rFonts w:cs="Arial"/>
          <w:sz w:val="24"/>
          <w:szCs w:val="24"/>
          <w:lang w:val="sr-Cyrl-ME"/>
        </w:rPr>
        <w:t xml:space="preserve"> </w:t>
      </w:r>
      <w:r w:rsidRPr="00F96844">
        <w:rPr>
          <w:rFonts w:cs="Arial"/>
          <w:sz w:val="24"/>
          <w:szCs w:val="24"/>
          <w:lang w:val="sr-Latn-ME"/>
        </w:rPr>
        <w:t>itd. Ova komponenta takođe obuhvata prenos znanja među kolegama i podršku operativnom radu na terenu, uključujući</w:t>
      </w:r>
      <w:r w:rsidR="00F44666">
        <w:rPr>
          <w:rFonts w:cs="Arial"/>
          <w:sz w:val="24"/>
          <w:szCs w:val="24"/>
          <w:lang w:val="sr-Latn-ME"/>
        </w:rPr>
        <w:t xml:space="preserve"> help</w:t>
      </w:r>
      <w:r w:rsidR="00444269">
        <w:rPr>
          <w:rFonts w:cs="Arial"/>
          <w:sz w:val="24"/>
          <w:szCs w:val="24"/>
          <w:lang w:val="sr-Cyrl-ME"/>
        </w:rPr>
        <w:t>-</w:t>
      </w:r>
      <w:r w:rsidR="00F44666">
        <w:rPr>
          <w:rFonts w:cs="Arial"/>
          <w:sz w:val="24"/>
          <w:szCs w:val="24"/>
          <w:lang w:val="sr-Latn-ME"/>
        </w:rPr>
        <w:t>desk, kao i</w:t>
      </w:r>
      <w:r w:rsidRPr="00F96844">
        <w:rPr>
          <w:rFonts w:cs="Arial"/>
          <w:sz w:val="24"/>
          <w:szCs w:val="24"/>
          <w:lang w:val="sr-Latn-ME"/>
        </w:rPr>
        <w:t xml:space="preserve"> obilaske </w:t>
      </w:r>
      <w:r w:rsidR="00F44666">
        <w:rPr>
          <w:rFonts w:cs="Arial"/>
          <w:sz w:val="24"/>
          <w:szCs w:val="24"/>
          <w:lang w:val="sr-Latn-ME"/>
        </w:rPr>
        <w:t>CZSR</w:t>
      </w:r>
      <w:r w:rsidRPr="00F96844">
        <w:rPr>
          <w:rFonts w:cs="Arial"/>
          <w:sz w:val="24"/>
          <w:szCs w:val="24"/>
          <w:lang w:val="sr-Latn-ME"/>
        </w:rPr>
        <w:t xml:space="preserve"> i pružanje</w:t>
      </w:r>
      <w:r w:rsidR="00F44666">
        <w:rPr>
          <w:rFonts w:cs="Arial"/>
          <w:sz w:val="24"/>
          <w:szCs w:val="24"/>
          <w:lang w:val="sr-Latn-ME"/>
        </w:rPr>
        <w:t xml:space="preserve"> podrške u radu</w:t>
      </w:r>
      <w:r w:rsidRPr="00F96844">
        <w:rPr>
          <w:rFonts w:cs="Arial"/>
          <w:sz w:val="24"/>
          <w:szCs w:val="24"/>
          <w:lang w:val="sr-Latn-ME"/>
        </w:rPr>
        <w:t xml:space="preserve"> na licu mjesta.</w:t>
      </w:r>
    </w:p>
    <w:tbl>
      <w:tblPr>
        <w:tblStyle w:val="GridTable4-Accent2"/>
        <w:tblpPr w:leftFromText="180" w:rightFromText="180" w:vertAnchor="text" w:horzAnchor="margin" w:tblpX="-725" w:tblpY="2021"/>
        <w:tblW w:w="11340" w:type="dxa"/>
        <w:tblLayout w:type="fixed"/>
        <w:tblLook w:val="04A0" w:firstRow="1" w:lastRow="0" w:firstColumn="1" w:lastColumn="0" w:noHBand="0" w:noVBand="1"/>
      </w:tblPr>
      <w:tblGrid>
        <w:gridCol w:w="3245"/>
        <w:gridCol w:w="2610"/>
        <w:gridCol w:w="3240"/>
        <w:gridCol w:w="2245"/>
      </w:tblGrid>
      <w:tr w:rsidR="003678F7" w:rsidRPr="00F96844" w14:paraId="05DF069C" w14:textId="77777777" w:rsidTr="00FE626F">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245" w:type="dxa"/>
          </w:tcPr>
          <w:p w14:paraId="6DEB4A94" w14:textId="77777777" w:rsidR="003678F7" w:rsidRPr="00F96844" w:rsidRDefault="003678F7" w:rsidP="00FE626F">
            <w:pPr>
              <w:ind w:left="3"/>
              <w:rPr>
                <w:rFonts w:ascii="Calibri" w:eastAsia="Arial" w:hAnsi="Calibri" w:cs="Calibri"/>
                <w:b w:val="0"/>
                <w:bCs w:val="0"/>
                <w:sz w:val="24"/>
                <w:szCs w:val="24"/>
                <w:lang w:val="sr-Latn-ME"/>
              </w:rPr>
            </w:pPr>
            <w:r w:rsidRPr="00F96844">
              <w:rPr>
                <w:rFonts w:ascii="Calibri" w:eastAsia="Arial" w:hAnsi="Calibri" w:cs="Calibri"/>
                <w:b w:val="0"/>
                <w:bCs w:val="0"/>
                <w:sz w:val="24"/>
                <w:szCs w:val="24"/>
                <w:lang w:val="sr-Latn-ME"/>
              </w:rPr>
              <w:lastRenderedPageBreak/>
              <w:t xml:space="preserve">Operativni cilj 4: </w:t>
            </w:r>
          </w:p>
          <w:p w14:paraId="76990A92" w14:textId="77777777" w:rsidR="003678F7" w:rsidRPr="00F96844" w:rsidRDefault="003678F7" w:rsidP="00FE626F">
            <w:pPr>
              <w:ind w:left="3"/>
              <w:rPr>
                <w:rFonts w:ascii="Calibri" w:eastAsia="Arial" w:hAnsi="Calibri" w:cs="Calibri"/>
                <w:sz w:val="24"/>
                <w:szCs w:val="24"/>
                <w:lang w:val="sr-Latn-ME"/>
              </w:rPr>
            </w:pPr>
          </w:p>
          <w:p w14:paraId="68377826" w14:textId="77777777" w:rsidR="003678F7" w:rsidRPr="00F96844" w:rsidRDefault="003678F7" w:rsidP="00FE626F">
            <w:pPr>
              <w:ind w:left="3"/>
              <w:rPr>
                <w:rFonts w:ascii="Calibri" w:eastAsia="Calibri" w:hAnsi="Calibri" w:cs="Calibri"/>
                <w:sz w:val="24"/>
                <w:szCs w:val="24"/>
                <w:lang w:val="sr-Latn-ME"/>
              </w:rPr>
            </w:pPr>
          </w:p>
        </w:tc>
        <w:tc>
          <w:tcPr>
            <w:tcW w:w="8095" w:type="dxa"/>
            <w:gridSpan w:val="3"/>
          </w:tcPr>
          <w:p w14:paraId="33094669" w14:textId="77777777" w:rsidR="003678F7" w:rsidRPr="00F96844" w:rsidRDefault="003678F7" w:rsidP="00FE626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bookmarkStart w:id="90" w:name="_Hlk167831753"/>
            <w:r w:rsidRPr="00F96844">
              <w:rPr>
                <w:rFonts w:eastAsia="Times New Roman" w:cs="Arial"/>
                <w:b w:val="0"/>
                <w:sz w:val="24"/>
                <w:szCs w:val="24"/>
                <w:lang w:val="sr-Latn-ME"/>
              </w:rPr>
              <w:t>Proširenje i unapređenje funkcionalnosti i infrastrukure Informacionog sistema socijalnog staranja (e-</w:t>
            </w:r>
            <w:r w:rsidR="00444269">
              <w:rPr>
                <w:rFonts w:eastAsia="Times New Roman" w:cs="Arial"/>
                <w:b w:val="0"/>
                <w:sz w:val="24"/>
                <w:szCs w:val="24"/>
                <w:lang w:val="hr-HR"/>
              </w:rPr>
              <w:t>S</w:t>
            </w:r>
            <w:r w:rsidRPr="00F96844">
              <w:rPr>
                <w:rFonts w:eastAsia="Times New Roman" w:cs="Arial"/>
                <w:b w:val="0"/>
                <w:sz w:val="24"/>
                <w:szCs w:val="24"/>
                <w:lang w:val="sr-Latn-ME"/>
              </w:rPr>
              <w:t>ocijala)</w:t>
            </w:r>
            <w:bookmarkEnd w:id="90"/>
          </w:p>
        </w:tc>
      </w:tr>
      <w:tr w:rsidR="003678F7" w:rsidRPr="00F96844" w14:paraId="27997143" w14:textId="77777777" w:rsidTr="00FE626F">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3245" w:type="dxa"/>
          </w:tcPr>
          <w:p w14:paraId="580D47B1"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1:</w:t>
            </w:r>
          </w:p>
          <w:p w14:paraId="108433E9" w14:textId="77777777" w:rsidR="003678F7" w:rsidRPr="00F96844" w:rsidRDefault="003678F7" w:rsidP="00FE626F">
            <w:pPr>
              <w:rPr>
                <w:rFonts w:ascii="Calibri" w:eastAsia="Calibri" w:hAnsi="Calibri" w:cs="Calibri"/>
                <w:sz w:val="24"/>
                <w:szCs w:val="24"/>
                <w:lang w:val="sr-Latn-ME"/>
              </w:rPr>
            </w:pPr>
            <w:r w:rsidRPr="00F96844">
              <w:rPr>
                <w:rFonts w:ascii="Calibri" w:eastAsia="Calibri" w:hAnsi="Calibri" w:cs="Calibri"/>
                <w:sz w:val="24"/>
                <w:szCs w:val="24"/>
                <w:lang w:val="sr-Latn-ME"/>
              </w:rPr>
              <w:t>Broj novih prava iz socijalne i d</w:t>
            </w:r>
            <w:r w:rsidR="00EB2F1D">
              <w:rPr>
                <w:rFonts w:ascii="Calibri" w:eastAsia="Calibri" w:hAnsi="Calibri" w:cs="Calibri"/>
                <w:sz w:val="24"/>
                <w:szCs w:val="24"/>
                <w:lang w:val="sr-Latn-ME"/>
              </w:rPr>
              <w:t>ječj</w:t>
            </w:r>
            <w:r w:rsidRPr="00F96844">
              <w:rPr>
                <w:rFonts w:ascii="Calibri" w:eastAsia="Calibri" w:hAnsi="Calibri" w:cs="Calibri"/>
                <w:sz w:val="24"/>
                <w:szCs w:val="24"/>
                <w:lang w:val="sr-Latn-ME"/>
              </w:rPr>
              <w:t>e zaštite (funkcionalnosti) obuhvaćenih informacionim sistemom</w:t>
            </w:r>
          </w:p>
        </w:tc>
        <w:tc>
          <w:tcPr>
            <w:tcW w:w="2610" w:type="dxa"/>
          </w:tcPr>
          <w:p w14:paraId="3AC8269F"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sr-Latn-ME"/>
              </w:rPr>
            </w:pPr>
            <w:r w:rsidRPr="00F96844">
              <w:rPr>
                <w:rFonts w:asciiTheme="minorHAnsi" w:hAnsiTheme="minorHAnsi"/>
                <w:sz w:val="24"/>
                <w:szCs w:val="24"/>
                <w:lang w:val="sr-Latn-ME"/>
              </w:rPr>
              <w:t>Trenutno je 21 pravo iz socijalne i d</w:t>
            </w:r>
            <w:r w:rsidR="00EB2F1D">
              <w:rPr>
                <w:rFonts w:asciiTheme="minorHAnsi" w:hAnsiTheme="minorHAnsi"/>
                <w:sz w:val="24"/>
                <w:szCs w:val="24"/>
                <w:lang w:val="sr-Latn-ME"/>
              </w:rPr>
              <w:t>ječj</w:t>
            </w:r>
            <w:r w:rsidRPr="00F96844">
              <w:rPr>
                <w:rFonts w:asciiTheme="minorHAnsi" w:hAnsiTheme="minorHAnsi"/>
                <w:sz w:val="24"/>
                <w:szCs w:val="24"/>
                <w:lang w:val="sr-Latn-ME"/>
              </w:rPr>
              <w:t>e zaštite obuhvaćeno informacionim sistemom</w:t>
            </w:r>
          </w:p>
        </w:tc>
        <w:tc>
          <w:tcPr>
            <w:tcW w:w="3240" w:type="dxa"/>
          </w:tcPr>
          <w:p w14:paraId="2B7E6559"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sr-Latn-ME"/>
              </w:rPr>
            </w:pPr>
            <w:r w:rsidRPr="00F96844">
              <w:rPr>
                <w:rFonts w:asciiTheme="minorHAnsi" w:hAnsiTheme="minorHAnsi"/>
                <w:sz w:val="24"/>
                <w:szCs w:val="24"/>
                <w:lang w:val="sr-Latn-ME"/>
              </w:rPr>
              <w:t>Minimum 24 prava iz socijalne i d</w:t>
            </w:r>
            <w:r w:rsidR="00EB2F1D">
              <w:rPr>
                <w:rFonts w:asciiTheme="minorHAnsi" w:hAnsiTheme="minorHAnsi"/>
                <w:sz w:val="24"/>
                <w:szCs w:val="24"/>
                <w:lang w:val="sr-Latn-ME"/>
              </w:rPr>
              <w:t>ječj</w:t>
            </w:r>
            <w:r w:rsidRPr="00F96844">
              <w:rPr>
                <w:rFonts w:asciiTheme="minorHAnsi" w:hAnsiTheme="minorHAnsi"/>
                <w:sz w:val="24"/>
                <w:szCs w:val="24"/>
                <w:lang w:val="sr-Latn-ME"/>
              </w:rPr>
              <w:t>e zaštite će biti obuhvaćena informacionim sistemom</w:t>
            </w:r>
          </w:p>
        </w:tc>
        <w:tc>
          <w:tcPr>
            <w:tcW w:w="2245" w:type="dxa"/>
          </w:tcPr>
          <w:p w14:paraId="2B02DB07"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sr-Latn-ME"/>
              </w:rPr>
            </w:pPr>
            <w:r w:rsidRPr="00F96844">
              <w:rPr>
                <w:rFonts w:asciiTheme="minorHAnsi" w:hAnsiTheme="minorHAnsi"/>
                <w:sz w:val="24"/>
                <w:szCs w:val="24"/>
                <w:lang w:val="sr-Latn-ME"/>
              </w:rPr>
              <w:t>Minimum 27 prava iz socijalne i d</w:t>
            </w:r>
            <w:r w:rsidR="00EB2F1D">
              <w:rPr>
                <w:rFonts w:asciiTheme="minorHAnsi" w:hAnsiTheme="minorHAnsi"/>
                <w:sz w:val="24"/>
                <w:szCs w:val="24"/>
                <w:lang w:val="sr-Latn-ME"/>
              </w:rPr>
              <w:t>ječj</w:t>
            </w:r>
            <w:r w:rsidRPr="00F96844">
              <w:rPr>
                <w:rFonts w:asciiTheme="minorHAnsi" w:hAnsiTheme="minorHAnsi"/>
                <w:sz w:val="24"/>
                <w:szCs w:val="24"/>
                <w:lang w:val="sr-Latn-ME"/>
              </w:rPr>
              <w:t>e zaštite će biti obuhvaćena informacionim sistemom</w:t>
            </w:r>
          </w:p>
        </w:tc>
      </w:tr>
      <w:tr w:rsidR="003678F7" w:rsidRPr="00F96844" w14:paraId="543BE761" w14:textId="77777777" w:rsidTr="00FE626F">
        <w:trPr>
          <w:trHeight w:val="980"/>
        </w:trPr>
        <w:tc>
          <w:tcPr>
            <w:cnfStyle w:val="001000000000" w:firstRow="0" w:lastRow="0" w:firstColumn="1" w:lastColumn="0" w:oddVBand="0" w:evenVBand="0" w:oddHBand="0" w:evenHBand="0" w:firstRowFirstColumn="0" w:firstRowLastColumn="0" w:lastRowFirstColumn="0" w:lastRowLastColumn="0"/>
            <w:tcW w:w="3245" w:type="dxa"/>
          </w:tcPr>
          <w:p w14:paraId="449AE963"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2:</w:t>
            </w:r>
          </w:p>
          <w:p w14:paraId="05F850D6" w14:textId="77777777" w:rsidR="003678F7" w:rsidRPr="00F96844" w:rsidRDefault="003678F7" w:rsidP="00FE626F">
            <w:pPr>
              <w:ind w:left="3"/>
              <w:rPr>
                <w:rFonts w:ascii="Calibri" w:eastAsia="Calibri" w:hAnsi="Calibri" w:cs="Calibri"/>
                <w:sz w:val="24"/>
                <w:szCs w:val="24"/>
                <w:lang w:val="sr-Latn-ME"/>
              </w:rPr>
            </w:pPr>
            <w:r w:rsidRPr="00F96844">
              <w:rPr>
                <w:rFonts w:ascii="Calibri" w:eastAsia="Calibri" w:hAnsi="Calibri" w:cs="Calibri"/>
                <w:sz w:val="24"/>
                <w:szCs w:val="24"/>
                <w:lang w:val="sr-Latn-ME"/>
              </w:rPr>
              <w:t xml:space="preserve">Broj elektronskih usluga dostupnih građanima  </w:t>
            </w:r>
          </w:p>
        </w:tc>
        <w:tc>
          <w:tcPr>
            <w:tcW w:w="2610" w:type="dxa"/>
          </w:tcPr>
          <w:p w14:paraId="2241DB5D"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53894C69"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Theme="minorHAnsi" w:hAnsiTheme="minorHAnsi"/>
                <w:sz w:val="24"/>
                <w:szCs w:val="24"/>
                <w:lang w:val="sr-Latn-ME"/>
              </w:rPr>
              <w:t>Trenutno nijedna elektronska usluga nije dostupna građanima</w:t>
            </w:r>
          </w:p>
        </w:tc>
        <w:tc>
          <w:tcPr>
            <w:tcW w:w="3240" w:type="dxa"/>
          </w:tcPr>
          <w:p w14:paraId="554538E0"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5BA3D652"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Theme="minorHAnsi" w:hAnsiTheme="minorHAnsi"/>
                <w:sz w:val="24"/>
                <w:szCs w:val="24"/>
                <w:lang w:val="sr-Latn-ME"/>
              </w:rPr>
              <w:t>Razvijene i funkcionalne 2 elektr</w:t>
            </w:r>
            <w:r w:rsidR="00444269">
              <w:rPr>
                <w:rFonts w:asciiTheme="minorHAnsi" w:hAnsiTheme="minorHAnsi"/>
                <w:sz w:val="24"/>
                <w:szCs w:val="24"/>
                <w:lang w:val="sr-Latn-ME"/>
              </w:rPr>
              <w:t>o</w:t>
            </w:r>
            <w:r w:rsidRPr="00F96844">
              <w:rPr>
                <w:rFonts w:asciiTheme="minorHAnsi" w:hAnsiTheme="minorHAnsi"/>
                <w:sz w:val="24"/>
                <w:szCs w:val="24"/>
                <w:lang w:val="sr-Latn-ME"/>
              </w:rPr>
              <w:t>nske usluge koje su dostupne građanima</w:t>
            </w:r>
          </w:p>
        </w:tc>
        <w:tc>
          <w:tcPr>
            <w:tcW w:w="2245" w:type="dxa"/>
          </w:tcPr>
          <w:p w14:paraId="3761E5AD"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41B4E82D"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Razvijeno i funkcionalno 7 elektronskih usluga koje su dostupne građanima</w:t>
            </w:r>
          </w:p>
        </w:tc>
      </w:tr>
      <w:tr w:rsidR="003678F7" w:rsidRPr="00F96844" w14:paraId="44F3F9C1" w14:textId="77777777" w:rsidTr="00FE626F">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245" w:type="dxa"/>
          </w:tcPr>
          <w:p w14:paraId="192856B2"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3:</w:t>
            </w:r>
          </w:p>
          <w:p w14:paraId="3B92B811" w14:textId="77777777" w:rsidR="003678F7" w:rsidRPr="00F96844" w:rsidRDefault="003678F7" w:rsidP="00FE626F">
            <w:pPr>
              <w:ind w:left="3"/>
              <w:rPr>
                <w:rFonts w:ascii="Calibri" w:eastAsia="Arial" w:hAnsi="Calibri" w:cs="Calibri"/>
                <w:sz w:val="24"/>
                <w:szCs w:val="24"/>
                <w:lang w:val="sr-Latn-ME"/>
              </w:rPr>
            </w:pPr>
            <w:r w:rsidRPr="00F96844">
              <w:rPr>
                <w:rFonts w:ascii="Calibri" w:eastAsia="Arial" w:hAnsi="Calibri" w:cs="Calibri"/>
                <w:sz w:val="24"/>
                <w:szCs w:val="24"/>
                <w:lang w:val="sr-Latn-ME"/>
              </w:rPr>
              <w:t>Povećanje broja pružalaca usluga koji imaju pristup informacionom sistemu</w:t>
            </w:r>
          </w:p>
        </w:tc>
        <w:tc>
          <w:tcPr>
            <w:tcW w:w="2610" w:type="dxa"/>
          </w:tcPr>
          <w:p w14:paraId="06AC3002"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p>
          <w:p w14:paraId="16BA6950"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Trenutni broj pružalaca usluga koji imaju pristup informacionom sistemu: 8</w:t>
            </w:r>
          </w:p>
        </w:tc>
        <w:tc>
          <w:tcPr>
            <w:tcW w:w="3240" w:type="dxa"/>
          </w:tcPr>
          <w:p w14:paraId="0866D877"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p>
          <w:p w14:paraId="6C8AFBC2"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Minimum 15 pružalaca usluga koji imaju pristup informacionom sistemu</w:t>
            </w:r>
          </w:p>
        </w:tc>
        <w:tc>
          <w:tcPr>
            <w:tcW w:w="2245" w:type="dxa"/>
          </w:tcPr>
          <w:p w14:paraId="2AE939F6" w14:textId="77777777" w:rsidR="003678F7" w:rsidRPr="00F96844" w:rsidRDefault="003678F7" w:rsidP="00FE626F">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p>
          <w:p w14:paraId="50616F34"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Minimum 27 pružalaca usluga koji imaju pristup informacionom sistemu</w:t>
            </w:r>
          </w:p>
        </w:tc>
      </w:tr>
      <w:tr w:rsidR="003678F7" w:rsidRPr="00F96844" w14:paraId="10CCE3D3" w14:textId="77777777" w:rsidTr="00FE626F">
        <w:trPr>
          <w:trHeight w:val="446"/>
        </w:trPr>
        <w:tc>
          <w:tcPr>
            <w:cnfStyle w:val="001000000000" w:firstRow="0" w:lastRow="0" w:firstColumn="1" w:lastColumn="0" w:oddVBand="0" w:evenVBand="0" w:oddHBand="0" w:evenHBand="0" w:firstRowFirstColumn="0" w:firstRowLastColumn="0" w:lastRowFirstColumn="0" w:lastRowLastColumn="0"/>
            <w:tcW w:w="3245" w:type="dxa"/>
          </w:tcPr>
          <w:p w14:paraId="5EC12F1D"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4:</w:t>
            </w:r>
          </w:p>
          <w:p w14:paraId="343948BF" w14:textId="77777777" w:rsidR="003678F7" w:rsidRPr="00F96844" w:rsidRDefault="003678F7" w:rsidP="00FE626F">
            <w:pPr>
              <w:ind w:left="3"/>
              <w:rPr>
                <w:rFonts w:ascii="Calibri" w:eastAsia="Arial" w:hAnsi="Calibri" w:cs="Calibri"/>
                <w:sz w:val="24"/>
                <w:szCs w:val="24"/>
                <w:lang w:val="sr-Latn-ME"/>
              </w:rPr>
            </w:pPr>
            <w:r w:rsidRPr="00F96844">
              <w:rPr>
                <w:rFonts w:ascii="Calibri" w:eastAsia="Arial" w:hAnsi="Calibri" w:cs="Calibri"/>
                <w:sz w:val="24"/>
                <w:szCs w:val="24"/>
                <w:lang w:val="sr-Latn-ME"/>
              </w:rPr>
              <w:t>Urađen reinženjering Informacionog si</w:t>
            </w:r>
            <w:r w:rsidR="00FF4736">
              <w:rPr>
                <w:rFonts w:ascii="Calibri" w:eastAsia="Arial" w:hAnsi="Calibri" w:cs="Calibri"/>
                <w:sz w:val="24"/>
                <w:szCs w:val="24"/>
                <w:lang w:val="sr-Latn-ME"/>
              </w:rPr>
              <w:t>s</w:t>
            </w:r>
            <w:r w:rsidRPr="00F96844">
              <w:rPr>
                <w:rFonts w:ascii="Calibri" w:eastAsia="Arial" w:hAnsi="Calibri" w:cs="Calibri"/>
                <w:sz w:val="24"/>
                <w:szCs w:val="24"/>
                <w:lang w:val="sr-Latn-ME"/>
              </w:rPr>
              <w:t>tema (prelazak na nove tehnologije)</w:t>
            </w:r>
          </w:p>
        </w:tc>
        <w:tc>
          <w:tcPr>
            <w:tcW w:w="2610" w:type="dxa"/>
          </w:tcPr>
          <w:p w14:paraId="14A89FBB"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24048255"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Postojeći ISSS je zasnovan na zastarjelim tehnološkim rješenjima</w:t>
            </w:r>
          </w:p>
        </w:tc>
        <w:tc>
          <w:tcPr>
            <w:tcW w:w="3240" w:type="dxa"/>
          </w:tcPr>
          <w:p w14:paraId="5C08AF99"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54456DAD" w14:textId="57FB7D9C"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Do kraja 202</w:t>
            </w:r>
            <w:r w:rsidR="00736811">
              <w:rPr>
                <w:rFonts w:asciiTheme="minorHAnsi" w:hAnsiTheme="minorHAnsi"/>
                <w:sz w:val="24"/>
                <w:szCs w:val="24"/>
                <w:lang w:val="sr-Latn-ME"/>
              </w:rPr>
              <w:t>7</w:t>
            </w:r>
            <w:r w:rsidRPr="00F96844">
              <w:rPr>
                <w:rFonts w:asciiTheme="minorHAnsi" w:hAnsiTheme="minorHAnsi"/>
                <w:sz w:val="24"/>
                <w:szCs w:val="24"/>
                <w:lang w:val="sr-Latn-ME"/>
              </w:rPr>
              <w:t>. godine uspostavljen ISSS zasnovan na novim tehnologijama</w:t>
            </w:r>
          </w:p>
        </w:tc>
        <w:tc>
          <w:tcPr>
            <w:tcW w:w="2245" w:type="dxa"/>
          </w:tcPr>
          <w:p w14:paraId="068D71AC"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7B4E9591"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Poboljšana efikasnost sistema (brži odgovor na zahtjev korisnika sistema kroz optimizaciju procesa i korišćenje novih tehnologija) i olakšana interoperabilnost (razmjena podataka) s drugim sistemima</w:t>
            </w:r>
          </w:p>
        </w:tc>
      </w:tr>
    </w:tbl>
    <w:p w14:paraId="1F4CCAC7" w14:textId="77777777"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 xml:space="preserve">Bez dodatnih ulaganja u e-Socijalu postoji značajan rizik od poremećaja u postojećim procesima u radu, što bi takođe negativno uticalo na efikasnost cjelokupnog sistema </w:t>
      </w:r>
      <w:r w:rsidR="00FE626F" w:rsidRPr="00FE626F">
        <w:rPr>
          <w:rFonts w:cs="Arial"/>
          <w:sz w:val="24"/>
          <w:szCs w:val="24"/>
          <w:lang w:val="sr-Latn-ME"/>
        </w:rPr>
        <w:t>socijalne zaštite. Stoga je u narednom periodu, kako je već gore opisano, neophodno obezbijediti dalja ulaganja u softverske, hardverske i ljudske kapacitete kako bi se osigurala primjena zakonskih r</w:t>
      </w:r>
      <w:r w:rsidR="00940897">
        <w:rPr>
          <w:rFonts w:cs="Arial"/>
          <w:sz w:val="24"/>
          <w:szCs w:val="24"/>
          <w:lang w:val="sr-Latn-ME"/>
        </w:rPr>
        <w:t>j</w:t>
      </w:r>
      <w:r w:rsidR="00FE626F" w:rsidRPr="00FE626F">
        <w:rPr>
          <w:rFonts w:cs="Arial"/>
          <w:sz w:val="24"/>
          <w:szCs w:val="24"/>
          <w:lang w:val="sr-Latn-ME"/>
        </w:rPr>
        <w:t>ešenja i javnih politika u sistemu socijalne i d</w:t>
      </w:r>
      <w:r w:rsidR="00EB2F1D">
        <w:rPr>
          <w:rFonts w:cs="Arial"/>
          <w:sz w:val="24"/>
          <w:szCs w:val="24"/>
          <w:lang w:val="sr-Latn-ME"/>
        </w:rPr>
        <w:t>ječj</w:t>
      </w:r>
      <w:r w:rsidR="00FE626F" w:rsidRPr="00FE626F">
        <w:rPr>
          <w:rFonts w:cs="Arial"/>
          <w:sz w:val="24"/>
          <w:szCs w:val="24"/>
          <w:lang w:val="sr-Latn-ME"/>
        </w:rPr>
        <w:t>e zaštite.</w:t>
      </w:r>
    </w:p>
    <w:p w14:paraId="600C05D0" w14:textId="77777777" w:rsidR="005E3122" w:rsidRPr="008046B8" w:rsidRDefault="005E3122" w:rsidP="008046B8">
      <w:pPr>
        <w:snapToGrid w:val="0"/>
        <w:rPr>
          <w:rFonts w:eastAsia="Times New Roman" w:cs="Arial"/>
          <w:sz w:val="24"/>
          <w:szCs w:val="24"/>
          <w:lang w:val="sr-Latn-ME"/>
        </w:rPr>
      </w:pPr>
    </w:p>
    <w:p w14:paraId="4847EE61" w14:textId="77777777" w:rsidR="002E3BF7" w:rsidRPr="00F96844" w:rsidRDefault="002E3BF7" w:rsidP="002E3BF7">
      <w:pPr>
        <w:pStyle w:val="Heading1"/>
        <w:numPr>
          <w:ilvl w:val="0"/>
          <w:numId w:val="5"/>
        </w:numPr>
        <w:jc w:val="both"/>
        <w:rPr>
          <w:rFonts w:asciiTheme="majorHAnsi" w:hAnsiTheme="majorHAnsi"/>
          <w:color w:val="2F5496" w:themeColor="accent1" w:themeShade="BF"/>
          <w:sz w:val="24"/>
          <w:szCs w:val="24"/>
          <w:lang w:val="sr-Latn-ME"/>
        </w:rPr>
      </w:pPr>
      <w:bookmarkStart w:id="91" w:name="_Toc158793655"/>
      <w:bookmarkStart w:id="92" w:name="_Toc165209428"/>
      <w:bookmarkStart w:id="93" w:name="_Toc172541312"/>
      <w:bookmarkStart w:id="94" w:name="_Toc134402959"/>
      <w:bookmarkStart w:id="95" w:name="_Toc134271796"/>
      <w:bookmarkStart w:id="96" w:name="_Toc122095717"/>
      <w:r w:rsidRPr="00F96844">
        <w:rPr>
          <w:rFonts w:eastAsia="Times New Roman" w:cs="Arial"/>
          <w:bCs/>
          <w:color w:val="000000" w:themeColor="text1"/>
          <w:sz w:val="24"/>
          <w:szCs w:val="24"/>
          <w:lang w:val="sr-Latn-ME"/>
        </w:rPr>
        <w:t>FINANSIJSKI OKVIR ZA SPROVOĐENJE STRATEGIJE</w:t>
      </w:r>
      <w:bookmarkEnd w:id="91"/>
      <w:bookmarkEnd w:id="92"/>
      <w:bookmarkEnd w:id="93"/>
    </w:p>
    <w:p w14:paraId="0A90D5B6" w14:textId="77777777" w:rsidR="002E3BF7" w:rsidRPr="00F96844" w:rsidRDefault="002E3BF7" w:rsidP="002E3BF7">
      <w:pPr>
        <w:pStyle w:val="ListParagraph"/>
        <w:spacing w:after="160" w:line="259" w:lineRule="auto"/>
        <w:jc w:val="both"/>
        <w:rPr>
          <w:rFonts w:ascii="Calibri" w:eastAsia="Calibri" w:hAnsi="Calibri" w:cs="Calibri"/>
          <w:sz w:val="24"/>
          <w:szCs w:val="24"/>
          <w:lang w:val="sr-Latn-ME"/>
        </w:rPr>
      </w:pPr>
    </w:p>
    <w:p w14:paraId="71634BC1" w14:textId="0BF2613D" w:rsidR="002E3BF7" w:rsidRPr="00507418" w:rsidRDefault="002E3BF7" w:rsidP="0099755C">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lastRenderedPageBreak/>
        <w:t xml:space="preserve">Za realizaciju aktivnosti predviđenih akcionim planom potrebno je izdvajanje finansijskih sredstava u ukupnom iznosu </w:t>
      </w:r>
      <w:r w:rsidRPr="00507418">
        <w:rPr>
          <w:rFonts w:eastAsia="Times New Roman" w:cs="Arial"/>
          <w:color w:val="000000" w:themeColor="text1"/>
          <w:sz w:val="24"/>
          <w:szCs w:val="24"/>
          <w:lang w:val="sr-Latn-ME"/>
        </w:rPr>
        <w:t xml:space="preserve">od </w:t>
      </w:r>
      <w:r w:rsidR="00366925" w:rsidRPr="00507418">
        <w:rPr>
          <w:rFonts w:eastAsia="Times New Roman" w:cs="Arial"/>
          <w:color w:val="000000" w:themeColor="text1"/>
          <w:sz w:val="24"/>
          <w:szCs w:val="24"/>
          <w:lang w:val="sr-Latn-ME"/>
        </w:rPr>
        <w:t>30.</w:t>
      </w:r>
      <w:r w:rsidR="00507418">
        <w:rPr>
          <w:rFonts w:eastAsia="Times New Roman" w:cs="Arial"/>
          <w:color w:val="000000" w:themeColor="text1"/>
          <w:sz w:val="24"/>
          <w:szCs w:val="24"/>
          <w:lang w:val="sr-Latn-ME"/>
        </w:rPr>
        <w:t>3</w:t>
      </w:r>
      <w:r w:rsidR="00366925" w:rsidRPr="00507418">
        <w:rPr>
          <w:rFonts w:eastAsia="Times New Roman" w:cs="Arial"/>
          <w:color w:val="000000" w:themeColor="text1"/>
          <w:sz w:val="24"/>
          <w:szCs w:val="24"/>
          <w:lang w:val="sr-Latn-ME"/>
        </w:rPr>
        <w:t xml:space="preserve">44.400,00 </w:t>
      </w:r>
      <w:r w:rsidR="006C4AD5" w:rsidRPr="00507418">
        <w:rPr>
          <w:rFonts w:eastAsia="Times New Roman" w:cs="Arial"/>
          <w:color w:val="000000" w:themeColor="text1"/>
          <w:sz w:val="24"/>
          <w:szCs w:val="24"/>
          <w:lang w:val="sr-Latn-ME"/>
        </w:rPr>
        <w:t>eura</w:t>
      </w:r>
      <w:r w:rsidR="00EA25E3" w:rsidRPr="00507418">
        <w:rPr>
          <w:rFonts w:eastAsia="Times New Roman" w:cs="Arial"/>
          <w:color w:val="000000" w:themeColor="text1"/>
          <w:sz w:val="24"/>
          <w:szCs w:val="24"/>
          <w:lang w:val="sr-Latn-ME"/>
        </w:rPr>
        <w:t>.</w:t>
      </w:r>
      <w:r w:rsidRPr="00507418">
        <w:rPr>
          <w:rFonts w:eastAsia="Times New Roman" w:cs="Arial"/>
          <w:color w:val="000000" w:themeColor="text1"/>
          <w:sz w:val="24"/>
          <w:szCs w:val="24"/>
          <w:lang w:val="sr-Latn-ME"/>
        </w:rPr>
        <w:t xml:space="preserve"> Metodologija koja je korišćena prilikom obračuna finansijskih izdataka/prihoda je metoda procjene</w:t>
      </w:r>
      <w:r w:rsidR="000B2A93" w:rsidRPr="00507418">
        <w:rPr>
          <w:rFonts w:eastAsia="Times New Roman" w:cs="Arial"/>
          <w:color w:val="000000" w:themeColor="text1"/>
          <w:sz w:val="24"/>
          <w:szCs w:val="24"/>
          <w:lang w:val="sr-Latn-ME"/>
        </w:rPr>
        <w:t>,</w:t>
      </w:r>
      <w:r w:rsidRPr="00507418">
        <w:rPr>
          <w:rFonts w:eastAsia="Times New Roman" w:cs="Arial"/>
          <w:color w:val="000000" w:themeColor="text1"/>
          <w:sz w:val="24"/>
          <w:szCs w:val="24"/>
          <w:lang w:val="sr-Latn-ME"/>
        </w:rPr>
        <w:t xml:space="preserve"> kao i prethodnih iskustava nosioca aktivnosti. Sredstva je potrebno obezbijediti iz redovnog budžeta Crne Gore, kao i iz sredstava donatorske podrške. </w:t>
      </w:r>
      <w:r w:rsidR="0099755C" w:rsidRPr="00507418">
        <w:rPr>
          <w:rFonts w:eastAsia="Times New Roman" w:cs="Arial"/>
          <w:color w:val="000000" w:themeColor="text1"/>
          <w:sz w:val="24"/>
          <w:szCs w:val="24"/>
          <w:lang w:val="sr-Latn-ME"/>
        </w:rPr>
        <w:t>Takođe,</w:t>
      </w:r>
      <w:r w:rsidR="0099755C" w:rsidRPr="00507418">
        <w:t xml:space="preserve"> </w:t>
      </w:r>
      <w:r w:rsidR="0099755C" w:rsidRPr="00507418">
        <w:rPr>
          <w:rFonts w:eastAsia="Times New Roman" w:cs="Arial"/>
          <w:color w:val="000000" w:themeColor="text1"/>
          <w:sz w:val="24"/>
          <w:szCs w:val="24"/>
          <w:lang w:val="sr-Latn-ME"/>
        </w:rPr>
        <w:t xml:space="preserve">u cilju ubrzanja procesa proširenja, kao i podsticanja ekonomske konvergencije na nivou regiona Zapadnog Balkana (ZB), Evropska komisija (EK) je 8. novembra 2023. godine usvojila predlog novog Plana rasta EU za Zapadni Balkan uz projekciju da će sprovođenje reformi i finansijska podrška EU imati pozitivan efekat na ekonomski rast ekonomija država kandidata. </w:t>
      </w:r>
      <w:r w:rsidR="00DE1AD4" w:rsidRPr="00507418">
        <w:rPr>
          <w:rFonts w:eastAsia="Times New Roman" w:cs="Arial"/>
          <w:color w:val="000000" w:themeColor="text1"/>
          <w:sz w:val="24"/>
          <w:szCs w:val="24"/>
          <w:lang w:val="sr-Latn-ME"/>
        </w:rPr>
        <w:t>Vlada je usvojila Informaciju o procesu pripreme Reformske agende Crne Gore 2024-2027 za Instrument EU za reforme i rast, i usvojila Reformsku agendu Crne Gore 2024-2027 za Instrument EU za reforme i rast.</w:t>
      </w:r>
      <w:r w:rsidR="0099755C" w:rsidRPr="00507418">
        <w:rPr>
          <w:rFonts w:eastAsia="Times New Roman" w:cs="Arial"/>
          <w:color w:val="000000" w:themeColor="text1"/>
          <w:sz w:val="24"/>
          <w:szCs w:val="24"/>
          <w:lang w:val="sr-Latn-ME"/>
        </w:rPr>
        <w:t xml:space="preserve"> </w:t>
      </w:r>
      <w:r w:rsidRPr="00507418">
        <w:rPr>
          <w:rFonts w:eastAsia="Times New Roman" w:cs="Arial"/>
          <w:color w:val="000000" w:themeColor="text1"/>
          <w:sz w:val="24"/>
          <w:szCs w:val="24"/>
          <w:lang w:val="sr-Latn-ME"/>
        </w:rPr>
        <w:t>Detaljnije o sredstvima potrebnim za realizaciju svake pojedinačne aktivnosti za jednogodišnji/dvogodišnji period biće predstavljeno u Akcionom planu.</w:t>
      </w:r>
    </w:p>
    <w:p w14:paraId="095E2480" w14:textId="7FCDE741" w:rsidR="002E3BF7" w:rsidRPr="00507418" w:rsidRDefault="002E3BF7" w:rsidP="00FE626F">
      <w:pPr>
        <w:jc w:val="both"/>
        <w:rPr>
          <w:rFonts w:eastAsia="Times New Roman" w:cs="Arial"/>
          <w:color w:val="000000" w:themeColor="text1"/>
          <w:sz w:val="24"/>
          <w:szCs w:val="24"/>
          <w:lang w:val="sr-Latn-ME"/>
        </w:rPr>
      </w:pPr>
      <w:r w:rsidRPr="00507418">
        <w:rPr>
          <w:rFonts w:eastAsia="Times New Roman" w:cs="Arial"/>
          <w:color w:val="000000" w:themeColor="text1"/>
          <w:sz w:val="24"/>
          <w:szCs w:val="24"/>
          <w:lang w:val="sr-Latn-ME"/>
        </w:rPr>
        <w:t xml:space="preserve">U sljedećoj tabeli dat je pregled finansiranja cjelokupnog strateškog dokumenta za naredni </w:t>
      </w:r>
      <w:r w:rsidR="0099755C" w:rsidRPr="00507418">
        <w:rPr>
          <w:rFonts w:eastAsia="Times New Roman" w:cs="Arial"/>
          <w:color w:val="000000" w:themeColor="text1"/>
          <w:sz w:val="24"/>
          <w:szCs w:val="24"/>
          <w:lang w:val="sr-Latn-ME"/>
        </w:rPr>
        <w:t>četvorogofišnji</w:t>
      </w:r>
      <w:r w:rsidRPr="00507418">
        <w:rPr>
          <w:rFonts w:eastAsia="Times New Roman" w:cs="Arial"/>
          <w:color w:val="000000" w:themeColor="text1"/>
          <w:sz w:val="24"/>
          <w:szCs w:val="24"/>
          <w:lang w:val="sr-Latn-ME"/>
        </w:rPr>
        <w:t xml:space="preserve"> period, gdje se kao glavni izvori finansiranja javljaju:</w:t>
      </w:r>
    </w:p>
    <w:p w14:paraId="192D939D" w14:textId="77777777" w:rsidR="00366925" w:rsidRPr="00507418" w:rsidRDefault="00366925" w:rsidP="00FE626F">
      <w:pPr>
        <w:jc w:val="both"/>
        <w:rPr>
          <w:rFonts w:eastAsia="Times New Roman" w:cs="Arial"/>
          <w:color w:val="000000" w:themeColor="text1"/>
          <w:sz w:val="24"/>
          <w:szCs w:val="24"/>
          <w:lang w:val="sr-Latn-ME"/>
        </w:rPr>
      </w:pPr>
    </w:p>
    <w:p w14:paraId="7BAAFFDD" w14:textId="56EC2156" w:rsidR="002E3BF7" w:rsidRPr="00F96844" w:rsidRDefault="00FF4736" w:rsidP="00FE626F">
      <w:pPr>
        <w:jc w:val="both"/>
        <w:rPr>
          <w:rFonts w:eastAsia="Times New Roman" w:cs="Arial"/>
          <w:color w:val="000000" w:themeColor="text1"/>
          <w:sz w:val="24"/>
          <w:szCs w:val="24"/>
          <w:lang w:val="sr-Latn-ME"/>
        </w:rPr>
      </w:pPr>
      <w:r w:rsidRPr="00507418">
        <w:rPr>
          <w:rFonts w:eastAsia="Times New Roman" w:cs="Arial"/>
          <w:color w:val="000000" w:themeColor="text1"/>
          <w:sz w:val="24"/>
          <w:szCs w:val="24"/>
          <w:lang w:val="sr-Latn-ME"/>
        </w:rPr>
        <w:t>‒</w:t>
      </w:r>
      <w:r w:rsidR="002E3BF7" w:rsidRPr="00507418">
        <w:rPr>
          <w:rFonts w:eastAsia="Times New Roman" w:cs="Arial"/>
          <w:color w:val="000000" w:themeColor="text1"/>
          <w:sz w:val="24"/>
          <w:szCs w:val="24"/>
          <w:lang w:val="sr-Latn-ME"/>
        </w:rPr>
        <w:t xml:space="preserve"> Budžet Crne Gore</w:t>
      </w:r>
      <w:r w:rsidR="007139E4" w:rsidRPr="00507418">
        <w:rPr>
          <w:rFonts w:eastAsia="Times New Roman" w:cs="Arial"/>
          <w:color w:val="000000" w:themeColor="text1"/>
          <w:sz w:val="24"/>
          <w:szCs w:val="24"/>
          <w:lang w:val="sr-Latn-ME"/>
        </w:rPr>
        <w:t xml:space="preserve"> (</w:t>
      </w:r>
      <w:r w:rsidR="00252B94" w:rsidRPr="00507418">
        <w:rPr>
          <w:rFonts w:eastAsia="Times New Roman" w:cs="Arial"/>
          <w:color w:val="000000" w:themeColor="text1"/>
          <w:sz w:val="24"/>
          <w:szCs w:val="24"/>
          <w:lang w:val="sr-Latn-ME"/>
        </w:rPr>
        <w:t xml:space="preserve">Dio sredstava predviđen je Planom rasta EU za Zapadni Balkan za period 2026-2027.godina - </w:t>
      </w:r>
      <w:r w:rsidR="00DE1AD4" w:rsidRPr="00507418">
        <w:rPr>
          <w:rFonts w:eastAsia="Times New Roman" w:cs="Arial"/>
          <w:color w:val="000000" w:themeColor="text1"/>
          <w:sz w:val="24"/>
          <w:szCs w:val="24"/>
          <w:lang w:val="sr-Latn-ME"/>
        </w:rPr>
        <w:t>Reformska agenda Crne Gore 2024-2027 za Instrument EU za reforme i rast</w:t>
      </w:r>
      <w:r w:rsidR="007139E4" w:rsidRPr="00507418">
        <w:rPr>
          <w:rFonts w:eastAsia="Times New Roman" w:cs="Arial"/>
          <w:color w:val="000000" w:themeColor="text1"/>
          <w:sz w:val="24"/>
          <w:szCs w:val="24"/>
          <w:lang w:val="sr-Latn-ME"/>
        </w:rPr>
        <w:t>)</w:t>
      </w:r>
    </w:p>
    <w:p w14:paraId="6A26B86B" w14:textId="77777777" w:rsidR="002E3BF7" w:rsidRPr="00507418" w:rsidRDefault="00FF4736" w:rsidP="00FE626F">
      <w:pPr>
        <w:jc w:val="both"/>
        <w:rPr>
          <w:rFonts w:eastAsia="Times New Roman" w:cs="Arial"/>
          <w:color w:val="000000" w:themeColor="text1"/>
          <w:sz w:val="24"/>
          <w:szCs w:val="24"/>
          <w:lang w:val="sr-Latn-ME"/>
        </w:rPr>
      </w:pPr>
      <w:r>
        <w:rPr>
          <w:rFonts w:eastAsia="Times New Roman" w:cs="Arial"/>
          <w:color w:val="000000" w:themeColor="text1"/>
          <w:sz w:val="24"/>
          <w:szCs w:val="24"/>
          <w:lang w:val="sr-Latn-ME"/>
        </w:rPr>
        <w:t>‒</w:t>
      </w:r>
      <w:r w:rsidR="002E3BF7" w:rsidRPr="00F96844">
        <w:rPr>
          <w:rFonts w:eastAsia="Times New Roman" w:cs="Arial"/>
          <w:color w:val="000000" w:themeColor="text1"/>
          <w:sz w:val="24"/>
          <w:szCs w:val="24"/>
          <w:lang w:val="sr-Latn-ME"/>
        </w:rPr>
        <w:t xml:space="preserve"> </w:t>
      </w:r>
      <w:r w:rsidR="002E3BF7" w:rsidRPr="00507418">
        <w:rPr>
          <w:rFonts w:eastAsia="Times New Roman" w:cs="Arial"/>
          <w:color w:val="000000" w:themeColor="text1"/>
          <w:sz w:val="24"/>
          <w:szCs w:val="24"/>
          <w:lang w:val="sr-Latn-ME"/>
        </w:rPr>
        <w:t xml:space="preserve">Donatorska podrška </w:t>
      </w:r>
    </w:p>
    <w:p w14:paraId="6A7DD9E1" w14:textId="77777777" w:rsidR="00F04A5A" w:rsidRPr="00507418" w:rsidRDefault="00F04A5A" w:rsidP="00FE626F">
      <w:pPr>
        <w:jc w:val="both"/>
        <w:rPr>
          <w:rFonts w:eastAsia="Times New Roman" w:cs="Arial"/>
          <w:color w:val="000000" w:themeColor="text1"/>
          <w:sz w:val="24"/>
          <w:szCs w:val="24"/>
          <w:lang w:val="sr-Latn-ME"/>
        </w:rPr>
      </w:pPr>
    </w:p>
    <w:p w14:paraId="791C73FC" w14:textId="77777777" w:rsidR="00F04A5A" w:rsidRPr="00507418" w:rsidRDefault="00F04A5A" w:rsidP="00FE626F">
      <w:pPr>
        <w:jc w:val="both"/>
        <w:rPr>
          <w:rFonts w:eastAsia="Times New Roman" w:cs="Arial"/>
          <w:color w:val="000000" w:themeColor="text1"/>
          <w:sz w:val="24"/>
          <w:szCs w:val="24"/>
          <w:lang w:val="sr-Latn-ME"/>
        </w:rPr>
      </w:pPr>
    </w:p>
    <w:tbl>
      <w:tblPr>
        <w:tblStyle w:val="GridTable3-Accent2"/>
        <w:tblW w:w="7386" w:type="dxa"/>
        <w:tblLook w:val="04A0" w:firstRow="1" w:lastRow="0" w:firstColumn="1" w:lastColumn="0" w:noHBand="0" w:noVBand="1"/>
      </w:tblPr>
      <w:tblGrid>
        <w:gridCol w:w="1460"/>
        <w:gridCol w:w="2128"/>
        <w:gridCol w:w="2126"/>
        <w:gridCol w:w="1672"/>
      </w:tblGrid>
      <w:tr w:rsidR="00F04A5A" w:rsidRPr="00507418" w14:paraId="4760B47A" w14:textId="77777777" w:rsidTr="00DA45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60" w:type="dxa"/>
            <w:noWrap/>
            <w:hideMark/>
          </w:tcPr>
          <w:p w14:paraId="539A964A" w14:textId="77777777" w:rsidR="00F04A5A" w:rsidRPr="00507418" w:rsidRDefault="00F04A5A" w:rsidP="00DA4550">
            <w:pPr>
              <w:jc w:val="center"/>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Godina</w:t>
            </w:r>
          </w:p>
        </w:tc>
        <w:tc>
          <w:tcPr>
            <w:tcW w:w="2128" w:type="dxa"/>
            <w:noWrap/>
            <w:hideMark/>
          </w:tcPr>
          <w:p w14:paraId="6C846594" w14:textId="77777777" w:rsidR="00F04A5A" w:rsidRPr="00507418" w:rsidRDefault="00F04A5A" w:rsidP="00DA45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Budžetska sredstva</w:t>
            </w:r>
          </w:p>
        </w:tc>
        <w:tc>
          <w:tcPr>
            <w:tcW w:w="2126" w:type="dxa"/>
            <w:noWrap/>
            <w:hideMark/>
          </w:tcPr>
          <w:p w14:paraId="2E39D0A8" w14:textId="77777777" w:rsidR="00F04A5A" w:rsidRPr="00507418" w:rsidRDefault="00F04A5A" w:rsidP="00DA45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Donatorska podrška</w:t>
            </w:r>
          </w:p>
        </w:tc>
        <w:tc>
          <w:tcPr>
            <w:tcW w:w="1672" w:type="dxa"/>
            <w:noWrap/>
            <w:hideMark/>
          </w:tcPr>
          <w:p w14:paraId="7B069A77" w14:textId="77777777" w:rsidR="00F04A5A" w:rsidRPr="00507418" w:rsidRDefault="00F04A5A" w:rsidP="00DA45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Ukupno</w:t>
            </w:r>
          </w:p>
        </w:tc>
      </w:tr>
      <w:tr w:rsidR="00F04A5A" w:rsidRPr="00507418" w14:paraId="4D8416C3" w14:textId="77777777" w:rsidTr="00DA45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444650D2" w14:textId="77777777" w:rsidR="00F04A5A" w:rsidRPr="00507418" w:rsidRDefault="00F04A5A" w:rsidP="00DA4550">
            <w:pPr>
              <w:jc w:val="center"/>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2025</w:t>
            </w:r>
          </w:p>
        </w:tc>
        <w:tc>
          <w:tcPr>
            <w:tcW w:w="2128" w:type="dxa"/>
            <w:noWrap/>
            <w:hideMark/>
          </w:tcPr>
          <w:p w14:paraId="58976546" w14:textId="69A4746C" w:rsidR="00F04A5A" w:rsidRPr="00507418" w:rsidRDefault="007139E4" w:rsidP="00DA455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2.306.400</w:t>
            </w:r>
            <w:r w:rsidR="00F04A5A" w:rsidRPr="00507418">
              <w:rPr>
                <w:rFonts w:ascii="Calibri" w:eastAsia="Times New Roman" w:hAnsi="Calibri" w:cs="Calibri"/>
                <w:color w:val="000000"/>
                <w:sz w:val="24"/>
                <w:szCs w:val="24"/>
                <w:lang w:val="sr-Latn-ME"/>
              </w:rPr>
              <w:t>,00</w:t>
            </w:r>
            <w:r w:rsidRPr="00507418">
              <w:rPr>
                <w:rStyle w:val="FootnoteReference"/>
                <w:rFonts w:ascii="Calibri" w:eastAsia="Times New Roman" w:hAnsi="Calibri" w:cs="Calibri"/>
                <w:color w:val="000000"/>
                <w:sz w:val="24"/>
                <w:szCs w:val="24"/>
                <w:lang w:val="sr-Latn-ME"/>
              </w:rPr>
              <w:footnoteReference w:id="121"/>
            </w:r>
          </w:p>
        </w:tc>
        <w:tc>
          <w:tcPr>
            <w:tcW w:w="2126" w:type="dxa"/>
            <w:noWrap/>
            <w:hideMark/>
          </w:tcPr>
          <w:p w14:paraId="4315183B" w14:textId="1EBF0267" w:rsidR="00F04A5A" w:rsidRPr="00507418" w:rsidRDefault="00680784" w:rsidP="006807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1</w:t>
            </w:r>
            <w:r w:rsidR="00F04A5A" w:rsidRPr="00507418">
              <w:rPr>
                <w:rFonts w:ascii="Calibri" w:eastAsia="Times New Roman" w:hAnsi="Calibri" w:cs="Calibri"/>
                <w:color w:val="000000"/>
                <w:sz w:val="24"/>
                <w:szCs w:val="24"/>
                <w:lang w:val="sr-Latn-ME"/>
              </w:rPr>
              <w:t>.</w:t>
            </w:r>
            <w:r w:rsidR="00066657" w:rsidRPr="00507418">
              <w:rPr>
                <w:rFonts w:ascii="Calibri" w:eastAsia="Times New Roman" w:hAnsi="Calibri" w:cs="Calibri"/>
                <w:color w:val="000000"/>
                <w:sz w:val="24"/>
                <w:szCs w:val="24"/>
                <w:lang w:val="sr-Latn-ME"/>
              </w:rPr>
              <w:t>0</w:t>
            </w:r>
            <w:r w:rsidRPr="00507418">
              <w:rPr>
                <w:rFonts w:ascii="Calibri" w:eastAsia="Times New Roman" w:hAnsi="Calibri" w:cs="Calibri"/>
                <w:color w:val="000000"/>
                <w:sz w:val="24"/>
                <w:szCs w:val="24"/>
                <w:lang w:val="sr-Latn-ME"/>
              </w:rPr>
              <w:t>00</w:t>
            </w:r>
            <w:r w:rsidR="00F04A5A" w:rsidRPr="00507418">
              <w:rPr>
                <w:rFonts w:ascii="Calibri" w:eastAsia="Times New Roman" w:hAnsi="Calibri" w:cs="Calibri"/>
                <w:color w:val="000000"/>
                <w:sz w:val="24"/>
                <w:szCs w:val="24"/>
                <w:lang w:val="sr-Latn-ME"/>
              </w:rPr>
              <w:t>.000,00</w:t>
            </w:r>
          </w:p>
        </w:tc>
        <w:tc>
          <w:tcPr>
            <w:tcW w:w="1672" w:type="dxa"/>
            <w:noWrap/>
            <w:hideMark/>
          </w:tcPr>
          <w:p w14:paraId="1B4F5532" w14:textId="4B0B2822" w:rsidR="00F04A5A" w:rsidRPr="00507418" w:rsidRDefault="00046270" w:rsidP="000462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3</w:t>
            </w:r>
            <w:r w:rsidR="00F04A5A" w:rsidRPr="00507418">
              <w:rPr>
                <w:rFonts w:ascii="Calibri" w:eastAsia="Times New Roman" w:hAnsi="Calibri" w:cs="Calibri"/>
                <w:color w:val="000000"/>
                <w:sz w:val="24"/>
                <w:szCs w:val="24"/>
                <w:lang w:val="sr-Latn-ME"/>
              </w:rPr>
              <w:t>.</w:t>
            </w:r>
            <w:r w:rsidR="00066657" w:rsidRPr="00507418">
              <w:rPr>
                <w:rFonts w:ascii="Calibri" w:eastAsia="Times New Roman" w:hAnsi="Calibri" w:cs="Calibri"/>
                <w:color w:val="000000"/>
                <w:sz w:val="24"/>
                <w:szCs w:val="24"/>
                <w:lang w:val="sr-Latn-ME"/>
              </w:rPr>
              <w:t>3</w:t>
            </w:r>
            <w:r w:rsidRPr="00507418">
              <w:rPr>
                <w:rFonts w:ascii="Calibri" w:eastAsia="Times New Roman" w:hAnsi="Calibri" w:cs="Calibri"/>
                <w:color w:val="000000"/>
                <w:sz w:val="24"/>
                <w:szCs w:val="24"/>
                <w:lang w:val="sr-Latn-ME"/>
              </w:rPr>
              <w:t>06</w:t>
            </w:r>
            <w:r w:rsidR="00F04A5A" w:rsidRPr="00507418">
              <w:rPr>
                <w:rFonts w:ascii="Calibri" w:eastAsia="Times New Roman" w:hAnsi="Calibri" w:cs="Calibri"/>
                <w:color w:val="000000"/>
                <w:sz w:val="24"/>
                <w:szCs w:val="24"/>
                <w:lang w:val="sr-Latn-ME"/>
              </w:rPr>
              <w:t>.</w:t>
            </w:r>
            <w:r w:rsidR="00066657" w:rsidRPr="00507418">
              <w:rPr>
                <w:rFonts w:ascii="Calibri" w:eastAsia="Times New Roman" w:hAnsi="Calibri" w:cs="Calibri"/>
                <w:color w:val="000000"/>
                <w:sz w:val="24"/>
                <w:szCs w:val="24"/>
                <w:lang w:val="sr-Latn-ME"/>
              </w:rPr>
              <w:t>4</w:t>
            </w:r>
            <w:r w:rsidR="00F04A5A" w:rsidRPr="00507418">
              <w:rPr>
                <w:rFonts w:ascii="Calibri" w:eastAsia="Times New Roman" w:hAnsi="Calibri" w:cs="Calibri"/>
                <w:color w:val="000000"/>
                <w:sz w:val="24"/>
                <w:szCs w:val="24"/>
                <w:lang w:val="sr-Latn-ME"/>
              </w:rPr>
              <w:t>00,00</w:t>
            </w:r>
          </w:p>
        </w:tc>
      </w:tr>
      <w:tr w:rsidR="00F04A5A" w:rsidRPr="00507418" w14:paraId="7BC21DB0" w14:textId="77777777" w:rsidTr="00DA4550">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5F6A0823" w14:textId="77777777" w:rsidR="00F04A5A" w:rsidRPr="00507418" w:rsidRDefault="00F04A5A" w:rsidP="00DA4550">
            <w:pPr>
              <w:jc w:val="center"/>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2026</w:t>
            </w:r>
          </w:p>
        </w:tc>
        <w:tc>
          <w:tcPr>
            <w:tcW w:w="2128" w:type="dxa"/>
            <w:noWrap/>
            <w:hideMark/>
          </w:tcPr>
          <w:p w14:paraId="01C703A1" w14:textId="77777777" w:rsidR="00F04A5A" w:rsidRPr="00507418" w:rsidRDefault="00F04A5A" w:rsidP="00DA45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9.538.000,00</w:t>
            </w:r>
          </w:p>
        </w:tc>
        <w:tc>
          <w:tcPr>
            <w:tcW w:w="2126" w:type="dxa"/>
            <w:noWrap/>
            <w:hideMark/>
          </w:tcPr>
          <w:p w14:paraId="4AE2F3F4" w14:textId="77777777" w:rsidR="00F04A5A" w:rsidRPr="00507418" w:rsidRDefault="00F04A5A" w:rsidP="00DA45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3.000.000,00</w:t>
            </w:r>
          </w:p>
        </w:tc>
        <w:tc>
          <w:tcPr>
            <w:tcW w:w="1672" w:type="dxa"/>
            <w:noWrap/>
            <w:hideMark/>
          </w:tcPr>
          <w:p w14:paraId="7FB5C7E2" w14:textId="77777777" w:rsidR="00F04A5A" w:rsidRPr="00507418" w:rsidRDefault="00F04A5A" w:rsidP="00DA45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12.538.000,00</w:t>
            </w:r>
          </w:p>
        </w:tc>
      </w:tr>
      <w:tr w:rsidR="00F04A5A" w:rsidRPr="00507418" w14:paraId="14DD07AA" w14:textId="77777777" w:rsidTr="00DA45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60F9DB0D" w14:textId="77777777" w:rsidR="00F04A5A" w:rsidRPr="00507418" w:rsidRDefault="00F04A5A" w:rsidP="00DA4550">
            <w:pPr>
              <w:jc w:val="center"/>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2027</w:t>
            </w:r>
          </w:p>
        </w:tc>
        <w:tc>
          <w:tcPr>
            <w:tcW w:w="2128" w:type="dxa"/>
            <w:noWrap/>
          </w:tcPr>
          <w:p w14:paraId="6C557423" w14:textId="77777777" w:rsidR="00F04A5A" w:rsidRPr="00507418" w:rsidRDefault="00F04A5A" w:rsidP="00DA455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7.500.000,00</w:t>
            </w:r>
          </w:p>
        </w:tc>
        <w:tc>
          <w:tcPr>
            <w:tcW w:w="2126" w:type="dxa"/>
            <w:noWrap/>
          </w:tcPr>
          <w:p w14:paraId="25554A91" w14:textId="0A31FDAD" w:rsidR="00F04A5A" w:rsidRPr="00507418" w:rsidRDefault="00366925" w:rsidP="00DA455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3</w:t>
            </w:r>
            <w:r w:rsidR="00F04A5A" w:rsidRPr="00507418">
              <w:rPr>
                <w:rFonts w:ascii="Calibri" w:eastAsia="Times New Roman" w:hAnsi="Calibri" w:cs="Calibri"/>
                <w:color w:val="000000"/>
                <w:sz w:val="24"/>
                <w:szCs w:val="24"/>
                <w:lang w:val="sr-Latn-ME"/>
              </w:rPr>
              <w:t>.000.000,00</w:t>
            </w:r>
          </w:p>
        </w:tc>
        <w:tc>
          <w:tcPr>
            <w:tcW w:w="1672" w:type="dxa"/>
            <w:noWrap/>
          </w:tcPr>
          <w:p w14:paraId="541A6D39" w14:textId="25CD05D7" w:rsidR="00F04A5A" w:rsidRPr="00507418" w:rsidRDefault="00F04A5A" w:rsidP="003669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1</w:t>
            </w:r>
            <w:r w:rsidR="00366925" w:rsidRPr="00507418">
              <w:rPr>
                <w:rFonts w:ascii="Calibri" w:eastAsia="Times New Roman" w:hAnsi="Calibri" w:cs="Calibri"/>
                <w:color w:val="000000"/>
                <w:sz w:val="24"/>
                <w:szCs w:val="24"/>
                <w:lang w:val="sr-Latn-ME"/>
              </w:rPr>
              <w:t>0</w:t>
            </w:r>
            <w:r w:rsidRPr="00507418">
              <w:rPr>
                <w:rFonts w:ascii="Calibri" w:eastAsia="Times New Roman" w:hAnsi="Calibri" w:cs="Calibri"/>
                <w:color w:val="000000"/>
                <w:sz w:val="24"/>
                <w:szCs w:val="24"/>
                <w:lang w:val="sr-Latn-ME"/>
              </w:rPr>
              <w:t>.500.000,00</w:t>
            </w:r>
          </w:p>
        </w:tc>
      </w:tr>
      <w:tr w:rsidR="00F04A5A" w:rsidRPr="00507418" w14:paraId="073DA7DC" w14:textId="77777777" w:rsidTr="00DA4550">
        <w:trPr>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7E7BC412" w14:textId="77777777" w:rsidR="00F04A5A" w:rsidRPr="00507418" w:rsidRDefault="00F04A5A" w:rsidP="00DA4550">
            <w:pPr>
              <w:jc w:val="center"/>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2028</w:t>
            </w:r>
          </w:p>
        </w:tc>
        <w:tc>
          <w:tcPr>
            <w:tcW w:w="2128" w:type="dxa"/>
            <w:noWrap/>
          </w:tcPr>
          <w:p w14:paraId="6D1DD308" w14:textId="77777777" w:rsidR="00F04A5A" w:rsidRPr="00507418" w:rsidRDefault="00F04A5A" w:rsidP="00DA45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2.500.000,00</w:t>
            </w:r>
          </w:p>
        </w:tc>
        <w:tc>
          <w:tcPr>
            <w:tcW w:w="2126" w:type="dxa"/>
            <w:noWrap/>
          </w:tcPr>
          <w:p w14:paraId="2C35DAB6" w14:textId="77777777" w:rsidR="00F04A5A" w:rsidRPr="00507418" w:rsidRDefault="00F04A5A" w:rsidP="00DA45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1.500.000,00</w:t>
            </w:r>
          </w:p>
        </w:tc>
        <w:tc>
          <w:tcPr>
            <w:tcW w:w="1672" w:type="dxa"/>
            <w:noWrap/>
          </w:tcPr>
          <w:p w14:paraId="291434E3" w14:textId="77777777" w:rsidR="00F04A5A" w:rsidRPr="00507418" w:rsidRDefault="00F04A5A" w:rsidP="00DA45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4.000.000,00</w:t>
            </w:r>
          </w:p>
        </w:tc>
      </w:tr>
      <w:tr w:rsidR="00F04A5A" w:rsidRPr="00F96844" w14:paraId="763BDD64" w14:textId="77777777" w:rsidTr="00DA45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35D49A8" w14:textId="77777777" w:rsidR="00F04A5A" w:rsidRPr="00507418" w:rsidRDefault="00F04A5A" w:rsidP="00DA4550">
            <w:pPr>
              <w:jc w:val="center"/>
              <w:rPr>
                <w:rFonts w:ascii="Calibri" w:eastAsia="Times New Roman" w:hAnsi="Calibri" w:cs="Calibri"/>
                <w:color w:val="000000"/>
                <w:sz w:val="24"/>
                <w:szCs w:val="24"/>
                <w:lang w:val="sr-Latn-ME"/>
              </w:rPr>
            </w:pPr>
            <w:r w:rsidRPr="00507418">
              <w:rPr>
                <w:rFonts w:ascii="Calibri" w:eastAsia="Times New Roman" w:hAnsi="Calibri" w:cs="Calibri"/>
                <w:color w:val="000000"/>
                <w:sz w:val="24"/>
                <w:szCs w:val="24"/>
                <w:lang w:val="sr-Latn-ME"/>
              </w:rPr>
              <w:t>Ukupno</w:t>
            </w:r>
          </w:p>
        </w:tc>
        <w:tc>
          <w:tcPr>
            <w:tcW w:w="2128" w:type="dxa"/>
            <w:noWrap/>
            <w:hideMark/>
          </w:tcPr>
          <w:p w14:paraId="0CDFAEB7" w14:textId="012F5AC3" w:rsidR="00F04A5A" w:rsidRPr="00507418" w:rsidRDefault="00F04A5A" w:rsidP="00252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sr-Latn-ME"/>
              </w:rPr>
            </w:pPr>
            <w:r w:rsidRPr="00507418">
              <w:rPr>
                <w:rFonts w:ascii="Calibri" w:eastAsia="Times New Roman" w:hAnsi="Calibri" w:cs="Calibri"/>
                <w:b/>
                <w:bCs/>
                <w:color w:val="000000"/>
                <w:sz w:val="24"/>
                <w:szCs w:val="24"/>
                <w:lang w:val="sr-Latn-ME"/>
              </w:rPr>
              <w:t>2</w:t>
            </w:r>
            <w:r w:rsidR="005E7C13" w:rsidRPr="00507418">
              <w:rPr>
                <w:rFonts w:ascii="Calibri" w:eastAsia="Times New Roman" w:hAnsi="Calibri" w:cs="Calibri"/>
                <w:b/>
                <w:bCs/>
                <w:color w:val="000000"/>
                <w:sz w:val="24"/>
                <w:szCs w:val="24"/>
                <w:lang w:val="sr-Latn-ME"/>
              </w:rPr>
              <w:t>1</w:t>
            </w:r>
            <w:r w:rsidRPr="00507418">
              <w:rPr>
                <w:rFonts w:ascii="Calibri" w:eastAsia="Times New Roman" w:hAnsi="Calibri" w:cs="Calibri"/>
                <w:b/>
                <w:bCs/>
                <w:color w:val="000000"/>
                <w:sz w:val="24"/>
                <w:szCs w:val="24"/>
                <w:lang w:val="sr-Latn-ME"/>
              </w:rPr>
              <w:t>.</w:t>
            </w:r>
            <w:r w:rsidR="005E7C13" w:rsidRPr="00507418">
              <w:rPr>
                <w:rFonts w:ascii="Calibri" w:eastAsia="Times New Roman" w:hAnsi="Calibri" w:cs="Calibri"/>
                <w:b/>
                <w:bCs/>
                <w:color w:val="000000"/>
                <w:sz w:val="24"/>
                <w:szCs w:val="24"/>
                <w:lang w:val="sr-Latn-ME"/>
              </w:rPr>
              <w:t>844</w:t>
            </w:r>
            <w:r w:rsidRPr="00507418">
              <w:rPr>
                <w:rFonts w:ascii="Calibri" w:eastAsia="Times New Roman" w:hAnsi="Calibri" w:cs="Calibri"/>
                <w:b/>
                <w:bCs/>
                <w:color w:val="000000"/>
                <w:sz w:val="24"/>
                <w:szCs w:val="24"/>
                <w:lang w:val="sr-Latn-ME"/>
              </w:rPr>
              <w:t>.</w:t>
            </w:r>
            <w:r w:rsidR="005E7C13" w:rsidRPr="00507418">
              <w:rPr>
                <w:rFonts w:ascii="Calibri" w:eastAsia="Times New Roman" w:hAnsi="Calibri" w:cs="Calibri"/>
                <w:b/>
                <w:bCs/>
                <w:color w:val="000000"/>
                <w:sz w:val="24"/>
                <w:szCs w:val="24"/>
                <w:lang w:val="sr-Latn-ME"/>
              </w:rPr>
              <w:t>4</w:t>
            </w:r>
            <w:r w:rsidRPr="00507418">
              <w:rPr>
                <w:rFonts w:ascii="Calibri" w:eastAsia="Times New Roman" w:hAnsi="Calibri" w:cs="Calibri"/>
                <w:b/>
                <w:bCs/>
                <w:color w:val="000000"/>
                <w:sz w:val="24"/>
                <w:szCs w:val="24"/>
                <w:lang w:val="sr-Latn-ME"/>
              </w:rPr>
              <w:t>00,00</w:t>
            </w:r>
          </w:p>
        </w:tc>
        <w:tc>
          <w:tcPr>
            <w:tcW w:w="2126" w:type="dxa"/>
            <w:noWrap/>
            <w:hideMark/>
          </w:tcPr>
          <w:p w14:paraId="7C3E5F8B" w14:textId="5F5331EE" w:rsidR="00F04A5A" w:rsidRPr="00507418" w:rsidRDefault="00507418" w:rsidP="005074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sr-Latn-ME"/>
              </w:rPr>
            </w:pPr>
            <w:r w:rsidRPr="00507418">
              <w:rPr>
                <w:rFonts w:ascii="Calibri" w:eastAsia="Times New Roman" w:hAnsi="Calibri" w:cs="Calibri"/>
                <w:b/>
                <w:bCs/>
                <w:color w:val="000000"/>
                <w:sz w:val="24"/>
                <w:szCs w:val="24"/>
                <w:lang w:val="sr-Latn-ME"/>
              </w:rPr>
              <w:t>8</w:t>
            </w:r>
            <w:r w:rsidR="00F04A5A" w:rsidRPr="00507418">
              <w:rPr>
                <w:rFonts w:ascii="Calibri" w:eastAsia="Times New Roman" w:hAnsi="Calibri" w:cs="Calibri"/>
                <w:b/>
                <w:bCs/>
                <w:color w:val="000000"/>
                <w:sz w:val="24"/>
                <w:szCs w:val="24"/>
                <w:lang w:val="sr-Latn-ME"/>
              </w:rPr>
              <w:t>.</w:t>
            </w:r>
            <w:r w:rsidRPr="00507418">
              <w:rPr>
                <w:rFonts w:ascii="Calibri" w:eastAsia="Times New Roman" w:hAnsi="Calibri" w:cs="Calibri"/>
                <w:b/>
                <w:bCs/>
                <w:color w:val="000000"/>
                <w:sz w:val="24"/>
                <w:szCs w:val="24"/>
                <w:lang w:val="sr-Latn-ME"/>
              </w:rPr>
              <w:t>5</w:t>
            </w:r>
            <w:r w:rsidR="00046270" w:rsidRPr="00507418">
              <w:rPr>
                <w:rFonts w:ascii="Calibri" w:eastAsia="Times New Roman" w:hAnsi="Calibri" w:cs="Calibri"/>
                <w:b/>
                <w:bCs/>
                <w:color w:val="000000"/>
                <w:sz w:val="24"/>
                <w:szCs w:val="24"/>
                <w:lang w:val="sr-Latn-ME"/>
              </w:rPr>
              <w:t>00</w:t>
            </w:r>
            <w:r w:rsidR="00F04A5A" w:rsidRPr="00507418">
              <w:rPr>
                <w:rFonts w:ascii="Calibri" w:eastAsia="Times New Roman" w:hAnsi="Calibri" w:cs="Calibri"/>
                <w:b/>
                <w:bCs/>
                <w:color w:val="000000"/>
                <w:sz w:val="24"/>
                <w:szCs w:val="24"/>
                <w:lang w:val="sr-Latn-ME"/>
              </w:rPr>
              <w:t>.000,00</w:t>
            </w:r>
          </w:p>
        </w:tc>
        <w:tc>
          <w:tcPr>
            <w:tcW w:w="1672" w:type="dxa"/>
            <w:noWrap/>
            <w:hideMark/>
          </w:tcPr>
          <w:p w14:paraId="7FE4591E" w14:textId="70AF3747" w:rsidR="00F04A5A" w:rsidRPr="00F96844" w:rsidRDefault="00507418" w:rsidP="005074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sr-Latn-ME"/>
              </w:rPr>
            </w:pPr>
            <w:r w:rsidRPr="00507418">
              <w:rPr>
                <w:rFonts w:ascii="Calibri" w:eastAsia="Times New Roman" w:hAnsi="Calibri" w:cs="Calibri"/>
                <w:b/>
                <w:bCs/>
                <w:color w:val="000000"/>
                <w:sz w:val="24"/>
                <w:szCs w:val="24"/>
                <w:lang w:val="sr-Latn-ME"/>
              </w:rPr>
              <w:t>30</w:t>
            </w:r>
            <w:r w:rsidR="00F04A5A" w:rsidRPr="00507418">
              <w:rPr>
                <w:rFonts w:ascii="Calibri" w:eastAsia="Times New Roman" w:hAnsi="Calibri" w:cs="Calibri"/>
                <w:b/>
                <w:bCs/>
                <w:color w:val="000000"/>
                <w:sz w:val="24"/>
                <w:szCs w:val="24"/>
                <w:lang w:val="sr-Latn-ME"/>
              </w:rPr>
              <w:t>.</w:t>
            </w:r>
            <w:r w:rsidRPr="00507418">
              <w:rPr>
                <w:rFonts w:ascii="Calibri" w:eastAsia="Times New Roman" w:hAnsi="Calibri" w:cs="Calibri"/>
                <w:b/>
                <w:bCs/>
                <w:color w:val="000000"/>
                <w:sz w:val="24"/>
                <w:szCs w:val="24"/>
                <w:lang w:val="sr-Latn-ME"/>
              </w:rPr>
              <w:t>3</w:t>
            </w:r>
            <w:r w:rsidR="00046270" w:rsidRPr="00507418">
              <w:rPr>
                <w:rFonts w:ascii="Calibri" w:eastAsia="Times New Roman" w:hAnsi="Calibri" w:cs="Calibri"/>
                <w:b/>
                <w:bCs/>
                <w:color w:val="000000"/>
                <w:sz w:val="24"/>
                <w:szCs w:val="24"/>
                <w:lang w:val="sr-Latn-ME"/>
              </w:rPr>
              <w:t>44</w:t>
            </w:r>
            <w:r w:rsidR="00F04A5A" w:rsidRPr="00507418">
              <w:rPr>
                <w:rFonts w:ascii="Calibri" w:eastAsia="Times New Roman" w:hAnsi="Calibri" w:cs="Calibri"/>
                <w:b/>
                <w:bCs/>
                <w:color w:val="000000"/>
                <w:sz w:val="24"/>
                <w:szCs w:val="24"/>
                <w:lang w:val="sr-Latn-ME"/>
              </w:rPr>
              <w:t>.</w:t>
            </w:r>
            <w:r w:rsidR="005E7C13" w:rsidRPr="00507418">
              <w:rPr>
                <w:rFonts w:ascii="Calibri" w:eastAsia="Times New Roman" w:hAnsi="Calibri" w:cs="Calibri"/>
                <w:b/>
                <w:bCs/>
                <w:color w:val="000000"/>
                <w:sz w:val="24"/>
                <w:szCs w:val="24"/>
                <w:lang w:val="sr-Latn-ME"/>
              </w:rPr>
              <w:t>4</w:t>
            </w:r>
            <w:r w:rsidR="00F04A5A" w:rsidRPr="00507418">
              <w:rPr>
                <w:rFonts w:ascii="Calibri" w:eastAsia="Times New Roman" w:hAnsi="Calibri" w:cs="Calibri"/>
                <w:b/>
                <w:bCs/>
                <w:color w:val="000000"/>
                <w:sz w:val="24"/>
                <w:szCs w:val="24"/>
                <w:lang w:val="sr-Latn-ME"/>
              </w:rPr>
              <w:t>00,00</w:t>
            </w:r>
          </w:p>
        </w:tc>
      </w:tr>
    </w:tbl>
    <w:p w14:paraId="71A92B27" w14:textId="77777777" w:rsidR="00F04A5A" w:rsidRPr="00F96844" w:rsidRDefault="00F04A5A" w:rsidP="00FE626F">
      <w:pPr>
        <w:jc w:val="both"/>
        <w:rPr>
          <w:rFonts w:eastAsia="Times New Roman" w:cs="Arial"/>
          <w:color w:val="000000" w:themeColor="text1"/>
          <w:sz w:val="24"/>
          <w:szCs w:val="24"/>
          <w:lang w:val="sr-Latn-ME"/>
        </w:rPr>
      </w:pPr>
    </w:p>
    <w:p w14:paraId="01E971AE" w14:textId="77777777" w:rsidR="002E3BF7" w:rsidRPr="00F96844" w:rsidRDefault="002E3BF7" w:rsidP="002E3BF7">
      <w:pPr>
        <w:jc w:val="both"/>
        <w:rPr>
          <w:rFonts w:eastAsia="Times New Roman" w:cs="Arial"/>
          <w:color w:val="000000" w:themeColor="text1"/>
          <w:sz w:val="24"/>
          <w:szCs w:val="24"/>
          <w:lang w:val="sr-Latn-ME"/>
        </w:rPr>
      </w:pPr>
    </w:p>
    <w:p w14:paraId="73BAD316" w14:textId="3697C16D" w:rsidR="002E3BF7" w:rsidRPr="0099755C" w:rsidRDefault="002E3BF7" w:rsidP="0099755C">
      <w:pPr>
        <w:spacing w:after="160" w:line="259" w:lineRule="auto"/>
        <w:jc w:val="both"/>
        <w:rPr>
          <w:rFonts w:asciiTheme="minorHAnsi" w:hAnsiTheme="minorHAnsi"/>
          <w:bCs/>
          <w:sz w:val="24"/>
          <w:szCs w:val="24"/>
          <w:lang w:val="sr-Latn-ME"/>
        </w:rPr>
      </w:pPr>
    </w:p>
    <w:p w14:paraId="6140D9A5" w14:textId="77777777" w:rsidR="009129EC" w:rsidRPr="00F96844" w:rsidRDefault="00E75345" w:rsidP="002E3BF7">
      <w:pPr>
        <w:pStyle w:val="Heading1"/>
        <w:numPr>
          <w:ilvl w:val="0"/>
          <w:numId w:val="5"/>
        </w:numPr>
        <w:jc w:val="both"/>
        <w:rPr>
          <w:rFonts w:eastAsia="Times New Roman"/>
          <w:sz w:val="24"/>
          <w:szCs w:val="24"/>
          <w:lang w:val="sr-Latn-ME"/>
        </w:rPr>
      </w:pPr>
      <w:bookmarkStart w:id="97" w:name="_Toc172541313"/>
      <w:r w:rsidRPr="00F96844">
        <w:rPr>
          <w:rFonts w:eastAsia="Times New Roman" w:cs="Arial"/>
          <w:bCs/>
          <w:color w:val="000000" w:themeColor="text1"/>
          <w:sz w:val="24"/>
          <w:szCs w:val="24"/>
          <w:lang w:val="sr-Latn-ME"/>
        </w:rPr>
        <w:t>OPIS AKTIVNOSTI NADLEŽNIH ORGANA I TIJELA ZA PRAĆENJE SPROVOĐENJA STRATEGIJE</w:t>
      </w:r>
      <w:bookmarkEnd w:id="94"/>
      <w:bookmarkEnd w:id="95"/>
      <w:bookmarkEnd w:id="96"/>
      <w:bookmarkEnd w:id="97"/>
      <w:r w:rsidRPr="00F96844">
        <w:rPr>
          <w:rFonts w:eastAsia="Times New Roman" w:cs="Arial"/>
          <w:bCs/>
          <w:color w:val="000000" w:themeColor="text1"/>
          <w:sz w:val="24"/>
          <w:szCs w:val="24"/>
          <w:lang w:val="sr-Latn-ME"/>
        </w:rPr>
        <w:t xml:space="preserve"> </w:t>
      </w:r>
    </w:p>
    <w:p w14:paraId="0FEA7A04" w14:textId="77777777" w:rsidR="00E75345" w:rsidRPr="00F96844" w:rsidRDefault="00E75345" w:rsidP="005114FD">
      <w:pPr>
        <w:jc w:val="both"/>
        <w:rPr>
          <w:rFonts w:eastAsia="Times New Roman" w:cs="Arial"/>
          <w:color w:val="000000" w:themeColor="text1"/>
          <w:sz w:val="24"/>
          <w:szCs w:val="24"/>
          <w:lang w:val="sr-Latn-ME"/>
        </w:rPr>
      </w:pPr>
    </w:p>
    <w:p w14:paraId="3157B496" w14:textId="6F352EA7" w:rsidR="009129EC" w:rsidRPr="00736811" w:rsidRDefault="009129EC"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 xml:space="preserve">Primjenu Strategije </w:t>
      </w:r>
      <w:r w:rsidR="0063199C">
        <w:rPr>
          <w:rFonts w:eastAsia="Times New Roman" w:cs="Arial"/>
          <w:color w:val="000000" w:themeColor="text1"/>
          <w:sz w:val="24"/>
          <w:szCs w:val="24"/>
          <w:lang w:val="sr-Latn-ME"/>
        </w:rPr>
        <w:t xml:space="preserve">razvoja sistema </w:t>
      </w:r>
      <w:r w:rsidRPr="00F96844">
        <w:rPr>
          <w:rFonts w:eastAsia="Times New Roman" w:cs="Arial"/>
          <w:color w:val="000000" w:themeColor="text1"/>
          <w:sz w:val="24"/>
          <w:szCs w:val="24"/>
          <w:lang w:val="sr-Latn-ME"/>
        </w:rPr>
        <w:t>socijalne i dječje zaštite u Crnoj Gori za period od 202</w:t>
      </w:r>
      <w:r w:rsidR="007C706E">
        <w:rPr>
          <w:rFonts w:eastAsia="Times New Roman" w:cs="Arial"/>
          <w:color w:val="000000" w:themeColor="text1"/>
          <w:sz w:val="24"/>
          <w:szCs w:val="24"/>
          <w:lang w:val="sr-Latn-ME"/>
        </w:rPr>
        <w:t>5</w:t>
      </w:r>
      <w:r w:rsidRPr="00F96844">
        <w:rPr>
          <w:rFonts w:eastAsia="Times New Roman" w:cs="Arial"/>
          <w:color w:val="000000" w:themeColor="text1"/>
          <w:sz w:val="24"/>
          <w:szCs w:val="24"/>
          <w:lang w:val="sr-Latn-ME"/>
        </w:rPr>
        <w:t>. do 202</w:t>
      </w:r>
      <w:r w:rsidR="0063199C">
        <w:rPr>
          <w:rFonts w:eastAsia="Times New Roman" w:cs="Arial"/>
          <w:color w:val="000000" w:themeColor="text1"/>
          <w:sz w:val="24"/>
          <w:szCs w:val="24"/>
          <w:lang w:val="sr-Latn-ME"/>
        </w:rPr>
        <w:t>8</w:t>
      </w:r>
      <w:r w:rsidRPr="00F96844">
        <w:rPr>
          <w:rFonts w:eastAsia="Times New Roman" w:cs="Arial"/>
          <w:color w:val="000000" w:themeColor="text1"/>
          <w:sz w:val="24"/>
          <w:szCs w:val="24"/>
          <w:lang w:val="sr-Latn-ME"/>
        </w:rPr>
        <w:t xml:space="preserve">. godine </w:t>
      </w:r>
      <w:r w:rsidRPr="00736811">
        <w:rPr>
          <w:rFonts w:eastAsia="Times New Roman" w:cs="Arial"/>
          <w:color w:val="000000" w:themeColor="text1"/>
          <w:sz w:val="24"/>
          <w:szCs w:val="24"/>
          <w:lang w:val="sr-Latn-ME"/>
        </w:rPr>
        <w:t xml:space="preserve">koordiniraće Ministarstvo </w:t>
      </w:r>
      <w:r w:rsidR="0059172F" w:rsidRPr="00736811">
        <w:rPr>
          <w:rFonts w:eastAsia="Times New Roman" w:cs="Arial"/>
          <w:color w:val="000000" w:themeColor="text1"/>
          <w:sz w:val="24"/>
          <w:szCs w:val="24"/>
          <w:lang w:val="sr-Latn-ME"/>
        </w:rPr>
        <w:t>socijalnog staranja, brige o porodici i demografije</w:t>
      </w:r>
      <w:r w:rsidRPr="00736811">
        <w:rPr>
          <w:rFonts w:eastAsia="Times New Roman" w:cs="Arial"/>
          <w:color w:val="000000" w:themeColor="text1"/>
          <w:sz w:val="24"/>
          <w:szCs w:val="24"/>
          <w:lang w:val="sr-Latn-ME"/>
        </w:rPr>
        <w:t xml:space="preserve">. </w:t>
      </w:r>
    </w:p>
    <w:p w14:paraId="0CB79CC3" w14:textId="77777777" w:rsidR="00E75345" w:rsidRPr="00736811" w:rsidRDefault="00E75345" w:rsidP="00FE626F">
      <w:pPr>
        <w:jc w:val="both"/>
        <w:rPr>
          <w:rFonts w:eastAsia="Times New Roman" w:cs="Arial"/>
          <w:color w:val="000000" w:themeColor="text1"/>
          <w:sz w:val="24"/>
          <w:szCs w:val="24"/>
          <w:lang w:val="sr-Latn-ME"/>
        </w:rPr>
      </w:pPr>
    </w:p>
    <w:p w14:paraId="7B059624" w14:textId="713E8978" w:rsidR="009129EC" w:rsidRPr="00F96844" w:rsidRDefault="009129EC" w:rsidP="00FE626F">
      <w:pPr>
        <w:jc w:val="both"/>
        <w:rPr>
          <w:rFonts w:eastAsia="Times New Roman" w:cs="Arial"/>
          <w:sz w:val="24"/>
          <w:szCs w:val="24"/>
          <w:lang w:val="sr-Latn-ME"/>
        </w:rPr>
      </w:pPr>
      <w:r w:rsidRPr="00736811">
        <w:rPr>
          <w:rFonts w:eastAsia="Times New Roman" w:cs="Arial"/>
          <w:color w:val="000000" w:themeColor="text1"/>
          <w:sz w:val="24"/>
          <w:szCs w:val="24"/>
          <w:lang w:val="sr-Latn-ME"/>
        </w:rPr>
        <w:t xml:space="preserve">Za </w:t>
      </w:r>
      <w:r w:rsidRPr="00736811">
        <w:rPr>
          <w:rFonts w:eastAsia="Times New Roman" w:cs="Arial"/>
          <w:sz w:val="24"/>
          <w:szCs w:val="24"/>
          <w:lang w:val="sr-Latn-ME"/>
        </w:rPr>
        <w:t>direktnu primjenu Strategije SDZ će prvenstveno biti nadležna ministarstva i druge institucije čiji su predstavnici bili članovi</w:t>
      </w:r>
      <w:r w:rsidR="002542E0" w:rsidRPr="00736811">
        <w:rPr>
          <w:rFonts w:eastAsia="Times New Roman" w:cs="Arial"/>
          <w:sz w:val="24"/>
          <w:szCs w:val="24"/>
          <w:lang w:val="sr-Latn-ME"/>
        </w:rPr>
        <w:t>/</w:t>
      </w:r>
      <w:r w:rsidR="00FF4736" w:rsidRPr="00736811">
        <w:rPr>
          <w:rFonts w:eastAsia="Times New Roman" w:cs="Arial"/>
          <w:sz w:val="24"/>
          <w:szCs w:val="24"/>
          <w:lang w:val="sr-Latn-ME"/>
        </w:rPr>
        <w:t>člani</w:t>
      </w:r>
      <w:r w:rsidR="002542E0" w:rsidRPr="00736811">
        <w:rPr>
          <w:rFonts w:eastAsia="Times New Roman" w:cs="Arial"/>
          <w:sz w:val="24"/>
          <w:szCs w:val="24"/>
          <w:lang w:val="sr-Latn-ME"/>
        </w:rPr>
        <w:t>ce</w:t>
      </w:r>
      <w:r w:rsidRPr="00736811">
        <w:rPr>
          <w:rFonts w:eastAsia="Times New Roman" w:cs="Arial"/>
          <w:sz w:val="24"/>
          <w:szCs w:val="24"/>
          <w:lang w:val="sr-Latn-ME"/>
        </w:rPr>
        <w:t xml:space="preserve"> Radne grupe za izradu Strategije: Ministarstva </w:t>
      </w:r>
      <w:r w:rsidR="0059172F" w:rsidRPr="00736811">
        <w:rPr>
          <w:rFonts w:eastAsia="Times New Roman" w:cs="Arial"/>
          <w:sz w:val="24"/>
          <w:szCs w:val="24"/>
          <w:lang w:val="sr-Latn-ME"/>
        </w:rPr>
        <w:t>socijalnog staranja, brige o porodici i demografije</w:t>
      </w:r>
      <w:r w:rsidRPr="00F96844">
        <w:rPr>
          <w:rFonts w:eastAsia="Times New Roman" w:cs="Arial"/>
          <w:sz w:val="24"/>
          <w:szCs w:val="24"/>
          <w:lang w:val="sr-Latn-ME"/>
        </w:rPr>
        <w:t xml:space="preserve">, Ministarstva zdravlja, </w:t>
      </w:r>
      <w:r w:rsidRPr="00F96844">
        <w:rPr>
          <w:rFonts w:eastAsia="Times New Roman" w:cs="Arial"/>
          <w:sz w:val="24"/>
          <w:szCs w:val="24"/>
          <w:lang w:val="sr-Latn-ME"/>
        </w:rPr>
        <w:lastRenderedPageBreak/>
        <w:t>Ministarstva ljudskih i manjinskih</w:t>
      </w:r>
      <w:r w:rsidR="007D2D21">
        <w:rPr>
          <w:rFonts w:eastAsia="Times New Roman" w:cs="Arial"/>
          <w:sz w:val="24"/>
          <w:szCs w:val="24"/>
          <w:lang w:val="sr-Latn-ME"/>
        </w:rPr>
        <w:t xml:space="preserve"> prava, Ministarstva prosvjete,</w:t>
      </w:r>
      <w:r w:rsidR="00647BCB">
        <w:rPr>
          <w:rFonts w:eastAsia="Times New Roman" w:cs="Arial"/>
          <w:sz w:val="24"/>
          <w:szCs w:val="24"/>
          <w:lang w:val="sr-Latn-ME"/>
        </w:rPr>
        <w:t xml:space="preserve"> Ministarstva rada, zapošljavanja i socijalnog sijaloga,</w:t>
      </w:r>
      <w:r w:rsidR="007D2D21">
        <w:rPr>
          <w:rFonts w:eastAsia="Times New Roman" w:cs="Arial"/>
          <w:sz w:val="24"/>
          <w:szCs w:val="24"/>
          <w:lang w:val="sr-Latn-ME"/>
        </w:rPr>
        <w:t xml:space="preserve"> </w:t>
      </w:r>
      <w:r w:rsidRPr="00F96844">
        <w:rPr>
          <w:rFonts w:eastAsia="Times New Roman" w:cs="Arial"/>
          <w:sz w:val="24"/>
          <w:szCs w:val="24"/>
          <w:lang w:val="sr-Latn-ME"/>
        </w:rPr>
        <w:t>Zavoda za socijalnu i dječju zaštitu, Uprave za inspekcijske poslove,</w:t>
      </w:r>
      <w:r w:rsidR="00647BCB">
        <w:rPr>
          <w:rFonts w:eastAsia="Times New Roman" w:cs="Arial"/>
          <w:sz w:val="24"/>
          <w:szCs w:val="24"/>
          <w:lang w:val="sr-Latn-ME"/>
        </w:rPr>
        <w:t xml:space="preserve"> </w:t>
      </w:r>
      <w:r w:rsidRPr="00F96844">
        <w:rPr>
          <w:rFonts w:eastAsia="Times New Roman" w:cs="Arial"/>
          <w:sz w:val="24"/>
          <w:szCs w:val="24"/>
          <w:lang w:val="sr-Latn-ME"/>
        </w:rPr>
        <w:t xml:space="preserve"> kao i Zajednice opština Crne Gore. Sva navedena ministarstva i druge institucije, u skladu sa svojim mandatom, imaju nadležnosti i odgovornosti precizno definisane Akcionim planom. </w:t>
      </w:r>
    </w:p>
    <w:p w14:paraId="205DD0DA" w14:textId="77777777" w:rsidR="00E75345" w:rsidRPr="00F96844" w:rsidRDefault="00E75345" w:rsidP="00FE626F">
      <w:pPr>
        <w:jc w:val="both"/>
        <w:rPr>
          <w:rFonts w:eastAsia="Times New Roman" w:cs="Arial"/>
          <w:sz w:val="24"/>
          <w:szCs w:val="24"/>
          <w:lang w:val="sr-Latn-ME"/>
        </w:rPr>
      </w:pPr>
    </w:p>
    <w:p w14:paraId="4A21F2B8" w14:textId="77777777" w:rsidR="009129EC" w:rsidRPr="00F96844" w:rsidRDefault="009129EC"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Međusektorski Tim za praćenje i ocjenjivanje sprovođenja Strategije SDZ će biti formiran nakon usvajanja Strategije SDZ za cijeli period važenja Strategije i sastajaće se na redovnim kvartalnim sastancima posvećenim procesu sprovođenja Strategije SDZ. Tim za praćenje i ocjenjivanje sprovođenja Strategije SDZ će usaglašavati predloge akcionih planova i izvještaja o sprovođenju Strategije SDZ i akcionih planova.</w:t>
      </w:r>
    </w:p>
    <w:p w14:paraId="1369472D" w14:textId="77777777" w:rsidR="00E75345" w:rsidRPr="00F96844" w:rsidRDefault="00E75345" w:rsidP="005114FD">
      <w:pPr>
        <w:jc w:val="both"/>
        <w:rPr>
          <w:rFonts w:eastAsia="Times New Roman" w:cs="Arial"/>
          <w:color w:val="000000" w:themeColor="text1"/>
          <w:sz w:val="24"/>
          <w:szCs w:val="24"/>
          <w:lang w:val="sr-Latn-ME"/>
        </w:rPr>
      </w:pPr>
    </w:p>
    <w:p w14:paraId="48DC4404"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Sva ministarstva i institucije biće uključeni u međuresornu i međusektorsku saradnju, prvenstveno s NVO sektorom i međunarodnim organizacijama, jer samo kroz takav vid saradnje je moguće ostvariti ciljeve Strategije </w:t>
      </w:r>
      <w:r w:rsidRPr="00F96844">
        <w:rPr>
          <w:rFonts w:eastAsia="Times New Roman" w:cs="Arial"/>
          <w:color w:val="000000" w:themeColor="text1"/>
          <w:sz w:val="24"/>
          <w:szCs w:val="24"/>
          <w:lang w:val="sr-Latn-ME"/>
        </w:rPr>
        <w:t>socijalne i dječje zaštite</w:t>
      </w:r>
      <w:r w:rsidRPr="00F96844">
        <w:rPr>
          <w:rFonts w:eastAsia="Times New Roman" w:cs="Arial"/>
          <w:sz w:val="24"/>
          <w:szCs w:val="24"/>
          <w:lang w:val="sr-Latn-ME"/>
        </w:rPr>
        <w:t>. Međuresorna saradnja će se ogledati u zajedničkim aktivnostima na ostvarivanju ciljeva Strategije, od izrade godišnjih akcionih planova, sprovođenja zajedničkih obuka profesionalaca iz različitih resora, kreiranja integrisanih usluga ili praćenja sprovođenja i dostizanja ciljeva Strategije.</w:t>
      </w:r>
    </w:p>
    <w:p w14:paraId="452A2FE9" w14:textId="77777777" w:rsidR="00E75345" w:rsidRPr="00F96844" w:rsidRDefault="00E75345" w:rsidP="00FE626F">
      <w:pPr>
        <w:jc w:val="both"/>
        <w:rPr>
          <w:rFonts w:eastAsia="Times New Roman" w:cs="Arial"/>
          <w:sz w:val="24"/>
          <w:szCs w:val="24"/>
          <w:lang w:val="sr-Latn-ME"/>
        </w:rPr>
      </w:pPr>
    </w:p>
    <w:p w14:paraId="7E7CCB0B"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Sva nadležna ministarstva će u procesu primjene Strategije uključivati, u skladu s potrebama, ustanove koje su dio njihovog resora – obrazovne ustanove, centre za socijalni rad, domove zdravlja itd. Takođe, sva ministarstva i druge institucije će u procesu primjene sarađivati s ustanovama koje prikupljaju i obrađuju različite podatke o djeci. </w:t>
      </w:r>
    </w:p>
    <w:p w14:paraId="14865731" w14:textId="77777777" w:rsidR="00E75345" w:rsidRPr="00F96844" w:rsidRDefault="00E75345" w:rsidP="00FE626F">
      <w:pPr>
        <w:jc w:val="both"/>
        <w:rPr>
          <w:rFonts w:eastAsia="Times New Roman" w:cs="Arial"/>
          <w:sz w:val="24"/>
          <w:szCs w:val="24"/>
          <w:lang w:val="sr-Latn-ME"/>
        </w:rPr>
      </w:pPr>
    </w:p>
    <w:p w14:paraId="00CB9F63"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U okviru međusektorske saradnje moguća su partnerstva</w:t>
      </w:r>
      <w:r w:rsidR="00867803">
        <w:rPr>
          <w:rFonts w:eastAsia="Times New Roman" w:cs="Arial"/>
          <w:sz w:val="24"/>
          <w:szCs w:val="24"/>
          <w:lang w:val="sr-Latn-ME"/>
        </w:rPr>
        <w:t xml:space="preserve"> s n</w:t>
      </w:r>
      <w:r w:rsidRPr="00F96844">
        <w:rPr>
          <w:rFonts w:eastAsia="Times New Roman" w:cs="Arial"/>
          <w:sz w:val="24"/>
          <w:szCs w:val="24"/>
          <w:lang w:val="sr-Latn-ME"/>
        </w:rPr>
        <w:t>evladinim organizacijama, lokalnim samoupravama, Zajednicom opština Crne Gore i međunarodnim razvojnim organizacijama u ostvarivanju ciljeva Strategije kroz različite projekte i programe.</w:t>
      </w:r>
    </w:p>
    <w:p w14:paraId="1EAE4F5D" w14:textId="77777777" w:rsidR="009129EC" w:rsidRPr="00F96844" w:rsidRDefault="00E75345" w:rsidP="00FE626F">
      <w:pPr>
        <w:pStyle w:val="Heading1"/>
        <w:numPr>
          <w:ilvl w:val="0"/>
          <w:numId w:val="5"/>
        </w:numPr>
        <w:ind w:left="360"/>
        <w:rPr>
          <w:rFonts w:eastAsia="Times New Roman"/>
          <w:sz w:val="24"/>
          <w:szCs w:val="24"/>
          <w:lang w:val="sr-Latn-ME"/>
        </w:rPr>
      </w:pPr>
      <w:bookmarkStart w:id="98" w:name="_Toc134402960"/>
      <w:bookmarkStart w:id="99" w:name="_Toc134271797"/>
      <w:bookmarkStart w:id="100" w:name="_Toc172541314"/>
      <w:r w:rsidRPr="00F96844">
        <w:rPr>
          <w:rFonts w:eastAsia="Times New Roman" w:cs="Arial"/>
          <w:bCs/>
          <w:color w:val="000000" w:themeColor="text1"/>
          <w:sz w:val="24"/>
          <w:szCs w:val="24"/>
          <w:lang w:val="sr-Latn-ME"/>
        </w:rPr>
        <w:t>NAČIN IZVJEŠTAVANJA I EVALUACIJE</w:t>
      </w:r>
      <w:bookmarkEnd w:id="98"/>
      <w:bookmarkEnd w:id="99"/>
      <w:bookmarkEnd w:id="100"/>
    </w:p>
    <w:p w14:paraId="202777AF" w14:textId="77777777" w:rsidR="00E75345" w:rsidRPr="00F96844" w:rsidRDefault="00E75345" w:rsidP="00FE626F">
      <w:pPr>
        <w:keepNext/>
        <w:keepLines/>
        <w:ind w:left="540"/>
        <w:outlineLvl w:val="0"/>
        <w:rPr>
          <w:rFonts w:eastAsia="Times New Roman" w:cs="Arial"/>
          <w:b/>
          <w:bCs/>
          <w:color w:val="000000" w:themeColor="text1"/>
          <w:sz w:val="24"/>
          <w:szCs w:val="24"/>
          <w:lang w:val="sr-Latn-ME"/>
        </w:rPr>
      </w:pPr>
    </w:p>
    <w:p w14:paraId="25272BD6" w14:textId="77777777" w:rsidR="009129EC" w:rsidRPr="00F96844" w:rsidRDefault="009129EC" w:rsidP="00FE626F">
      <w:pPr>
        <w:jc w:val="both"/>
        <w:rPr>
          <w:rFonts w:eastAsia="Times New Roman" w:cs="Arial"/>
          <w:color w:val="000000" w:themeColor="text1"/>
          <w:sz w:val="24"/>
          <w:szCs w:val="24"/>
          <w:lang w:val="sr-Latn-ME"/>
        </w:rPr>
      </w:pPr>
      <w:r w:rsidRPr="00F96844">
        <w:rPr>
          <w:rFonts w:eastAsia="Times New Roman" w:cs="Arial"/>
          <w:sz w:val="24"/>
          <w:szCs w:val="24"/>
          <w:lang w:val="sr-Latn-ME"/>
        </w:rPr>
        <w:t xml:space="preserve">Tokom realizacije strateškog dokumenta vrši se monitoring, odnosno praćenje sprovođenja strateškog dokumenta, i to prvenstveno kroz praćenje realizacije pratećeg akcionog plana. O implementaciji akcionog plana izvještava se, po pravilu, jednom godišnje. </w:t>
      </w:r>
      <w:r w:rsidRPr="00F96844">
        <w:rPr>
          <w:rFonts w:eastAsia="Times New Roman" w:cs="Arial"/>
          <w:color w:val="000000" w:themeColor="text1"/>
          <w:sz w:val="24"/>
          <w:szCs w:val="24"/>
          <w:lang w:val="sr-Latn-ME"/>
        </w:rPr>
        <w:t>Međusektorski Tim za praćenje i ocjenjivanje sprovođenja Strategije SDZ će imati ulogu da promoviše koordinaciju aktivnosti i ukazuje na prioritete u sprovođenju mjera definisanih u Strategiji SDZ.</w:t>
      </w:r>
    </w:p>
    <w:p w14:paraId="6AC975DC" w14:textId="77777777" w:rsidR="00E75345" w:rsidRPr="00F96844" w:rsidRDefault="00E75345" w:rsidP="00FE626F">
      <w:pPr>
        <w:jc w:val="both"/>
        <w:rPr>
          <w:rFonts w:eastAsia="Times New Roman" w:cs="Arial"/>
          <w:sz w:val="24"/>
          <w:szCs w:val="24"/>
          <w:lang w:val="sr-Latn-ME"/>
        </w:rPr>
      </w:pPr>
    </w:p>
    <w:p w14:paraId="4DBB7B8F" w14:textId="6001BC5B" w:rsidR="009129EC" w:rsidRPr="00F96844" w:rsidRDefault="009129EC" w:rsidP="00FE626F">
      <w:pPr>
        <w:jc w:val="both"/>
        <w:rPr>
          <w:rFonts w:eastAsia="Times New Roman" w:cs="Arial"/>
          <w:sz w:val="24"/>
          <w:szCs w:val="24"/>
          <w:lang w:val="sr-Latn-ME"/>
        </w:rPr>
      </w:pPr>
      <w:r w:rsidRPr="00736811">
        <w:rPr>
          <w:rFonts w:eastAsia="Times New Roman" w:cs="Arial"/>
          <w:sz w:val="24"/>
          <w:szCs w:val="24"/>
          <w:lang w:val="sr-Latn-ME"/>
        </w:rPr>
        <w:t xml:space="preserve">Ministarstvo </w:t>
      </w:r>
      <w:r w:rsidR="0002067C" w:rsidRPr="00736811">
        <w:rPr>
          <w:rFonts w:eastAsia="Times New Roman" w:cs="Arial"/>
          <w:sz w:val="24"/>
          <w:szCs w:val="24"/>
          <w:lang w:val="sr-Latn-ME"/>
        </w:rPr>
        <w:t>socijalnog staranja, brige o porodici i demografije</w:t>
      </w:r>
      <w:r w:rsidR="00422BC1">
        <w:rPr>
          <w:rFonts w:eastAsia="Times New Roman" w:cs="Arial"/>
          <w:sz w:val="24"/>
          <w:szCs w:val="24"/>
          <w:lang w:val="sr-Latn-ME"/>
        </w:rPr>
        <w:t xml:space="preserve"> </w:t>
      </w:r>
      <w:r w:rsidRPr="00F96844">
        <w:rPr>
          <w:rFonts w:eastAsia="Times New Roman" w:cs="Arial"/>
          <w:sz w:val="24"/>
          <w:szCs w:val="24"/>
          <w:lang w:val="sr-Latn-ME"/>
        </w:rPr>
        <w:t>je nadležno za prikupljanje informacija i izradu objedinjenog godišnjeg izvještaja Vladi o sprovođenju strateškog dokumenta, s fokusom na realizacij</w:t>
      </w:r>
      <w:r w:rsidR="00FF4736">
        <w:rPr>
          <w:rFonts w:eastAsia="Times New Roman" w:cs="Arial"/>
          <w:sz w:val="24"/>
          <w:szCs w:val="24"/>
          <w:lang w:val="sr-Latn-ME"/>
        </w:rPr>
        <w:t>i</w:t>
      </w:r>
      <w:r w:rsidRPr="00F96844">
        <w:rPr>
          <w:rFonts w:eastAsia="Times New Roman" w:cs="Arial"/>
          <w:sz w:val="24"/>
          <w:szCs w:val="24"/>
          <w:lang w:val="sr-Latn-ME"/>
        </w:rPr>
        <w:t xml:space="preserve"> aktivnosti iz akcionog plana. Osim toga, godišnji izvještaj će dati prikaz napretka u sprovođenju i po indikatorima uticaja i učinka. Godišnji izvještaj o sprovođenju strateškog dokumenta se dostavlja na mišljenje Generalnom sekretarijatu Vlade. </w:t>
      </w:r>
    </w:p>
    <w:p w14:paraId="2C7FFE22" w14:textId="77777777" w:rsidR="00E75345" w:rsidRPr="00F96844" w:rsidRDefault="00E75345" w:rsidP="00FE626F">
      <w:pPr>
        <w:jc w:val="both"/>
        <w:rPr>
          <w:rFonts w:eastAsia="Times New Roman" w:cs="Arial"/>
          <w:sz w:val="24"/>
          <w:szCs w:val="24"/>
          <w:lang w:val="sr-Latn-ME"/>
        </w:rPr>
      </w:pPr>
    </w:p>
    <w:p w14:paraId="45452861" w14:textId="785F9100"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Završni izvještaj o sprovođenju strateškog dokumenta priprema </w:t>
      </w:r>
      <w:r w:rsidRPr="00736811">
        <w:rPr>
          <w:rFonts w:eastAsia="Times New Roman" w:cs="Arial"/>
          <w:sz w:val="24"/>
          <w:szCs w:val="24"/>
          <w:lang w:val="sr-Latn-ME"/>
        </w:rPr>
        <w:t xml:space="preserve">Ministarstvo </w:t>
      </w:r>
      <w:r w:rsidR="0002067C" w:rsidRPr="00736811">
        <w:rPr>
          <w:rFonts w:eastAsia="Times New Roman" w:cs="Arial"/>
          <w:sz w:val="24"/>
          <w:szCs w:val="24"/>
          <w:lang w:val="sr-Latn-ME"/>
        </w:rPr>
        <w:t>socijalnog staranja, brige o porodici i demografije</w:t>
      </w:r>
      <w:r w:rsidRPr="00736811">
        <w:rPr>
          <w:rFonts w:eastAsia="Times New Roman" w:cs="Arial"/>
          <w:sz w:val="24"/>
          <w:szCs w:val="24"/>
          <w:lang w:val="sr-Latn-ME"/>
        </w:rPr>
        <w:t xml:space="preserve"> po isteku vremenskog roka za koji je strateški </w:t>
      </w:r>
      <w:r w:rsidRPr="00736811">
        <w:rPr>
          <w:rFonts w:eastAsia="Times New Roman" w:cs="Arial"/>
          <w:sz w:val="24"/>
          <w:szCs w:val="24"/>
          <w:lang w:val="sr-Latn-ME"/>
        </w:rPr>
        <w:lastRenderedPageBreak/>
        <w:t>dokument donijet i dostavlja ga Generalnom sekretarijatu Vlade na mišljenje</w:t>
      </w:r>
      <w:r w:rsidRPr="00F96844">
        <w:rPr>
          <w:rFonts w:eastAsia="Times New Roman" w:cs="Arial"/>
          <w:sz w:val="24"/>
          <w:szCs w:val="24"/>
          <w:lang w:val="sr-Latn-ME"/>
        </w:rPr>
        <w:t xml:space="preserve">. Struktura ovog izvještaja specifična je po tome što, mimo obaveznih elemenata koji važe za strukturu godišnjeg izvještaja, završni izvještaj sadrži i evaluaciju sprovođenja datog strateškog dokumenta. U pripremi završnog izvještaja, </w:t>
      </w:r>
      <w:r w:rsidRPr="00736811">
        <w:rPr>
          <w:rFonts w:eastAsia="Times New Roman" w:cs="Arial"/>
          <w:sz w:val="24"/>
          <w:szCs w:val="24"/>
          <w:lang w:val="sr-Latn-ME"/>
        </w:rPr>
        <w:t xml:space="preserve">Ministarstvo </w:t>
      </w:r>
      <w:r w:rsidR="00422BC1" w:rsidRPr="00736811">
        <w:rPr>
          <w:rFonts w:eastAsia="Times New Roman" w:cs="Arial"/>
          <w:sz w:val="24"/>
          <w:szCs w:val="24"/>
          <w:lang w:val="sr-Latn-ME"/>
        </w:rPr>
        <w:t>s</w:t>
      </w:r>
      <w:r w:rsidR="0002067C" w:rsidRPr="00736811">
        <w:rPr>
          <w:rFonts w:eastAsia="Times New Roman" w:cs="Arial"/>
          <w:sz w:val="24"/>
          <w:szCs w:val="24"/>
          <w:lang w:val="sr-Latn-ME"/>
        </w:rPr>
        <w:t>ocijalnog staranja, brige o porodici i demografije</w:t>
      </w:r>
      <w:r w:rsidRPr="00736811">
        <w:rPr>
          <w:rFonts w:eastAsia="Times New Roman" w:cs="Arial"/>
          <w:sz w:val="24"/>
          <w:szCs w:val="24"/>
          <w:lang w:val="sr-Latn-ME"/>
        </w:rPr>
        <w:t xml:space="preserve"> može konsultovati ostale organe uprave uključene u proces sprovođenja strateškog dokumenta radi daljeg unapređenja razvoja javnih politika.</w:t>
      </w:r>
      <w:r w:rsidRPr="00F96844">
        <w:rPr>
          <w:rFonts w:eastAsia="Times New Roman" w:cs="Arial"/>
          <w:sz w:val="24"/>
          <w:szCs w:val="24"/>
          <w:lang w:val="sr-Latn-ME"/>
        </w:rPr>
        <w:t xml:space="preserve"> </w:t>
      </w:r>
    </w:p>
    <w:p w14:paraId="092AFCC4" w14:textId="77777777" w:rsidR="00E75345" w:rsidRPr="00F96844" w:rsidRDefault="00E75345" w:rsidP="00FE626F">
      <w:pPr>
        <w:jc w:val="both"/>
        <w:rPr>
          <w:rFonts w:eastAsia="Times New Roman" w:cs="Arial"/>
          <w:sz w:val="24"/>
          <w:szCs w:val="24"/>
          <w:lang w:val="sr-Latn-ME"/>
        </w:rPr>
      </w:pPr>
    </w:p>
    <w:p w14:paraId="512F916A" w14:textId="7B24DE04" w:rsidR="009129EC" w:rsidRPr="00F96844" w:rsidRDefault="009129EC" w:rsidP="00FE626F">
      <w:pPr>
        <w:jc w:val="both"/>
        <w:rPr>
          <w:rFonts w:eastAsia="Calibri" w:cs="Arial"/>
          <w:sz w:val="24"/>
          <w:szCs w:val="24"/>
          <w:lang w:val="sr-Latn-ME" w:eastAsia="sr-Latn-ME"/>
        </w:rPr>
      </w:pPr>
      <w:r w:rsidRPr="00F96844">
        <w:rPr>
          <w:rFonts w:eastAsia="Times New Roman" w:cs="Arial"/>
          <w:sz w:val="24"/>
          <w:szCs w:val="24"/>
          <w:lang w:val="sr-Latn-ME"/>
        </w:rPr>
        <w:t xml:space="preserve">Evaluacija sprovođenja Strategije </w:t>
      </w:r>
      <w:r w:rsidR="0002067C">
        <w:rPr>
          <w:rFonts w:eastAsia="Times New Roman" w:cs="Arial"/>
          <w:sz w:val="24"/>
          <w:szCs w:val="24"/>
          <w:lang w:val="sr-Latn-ME"/>
        </w:rPr>
        <w:t xml:space="preserve">razvoja sistema </w:t>
      </w:r>
      <w:r w:rsidRPr="00F96844">
        <w:rPr>
          <w:rFonts w:eastAsia="Times New Roman" w:cs="Arial"/>
          <w:sz w:val="24"/>
          <w:szCs w:val="24"/>
          <w:lang w:val="sr-Latn-ME"/>
        </w:rPr>
        <w:t>socijalne i dječje zaštite 202</w:t>
      </w:r>
      <w:r w:rsidR="007C706E">
        <w:rPr>
          <w:rFonts w:eastAsia="Times New Roman" w:cs="Arial"/>
          <w:sz w:val="24"/>
          <w:szCs w:val="24"/>
          <w:lang w:val="sr-Latn-ME"/>
        </w:rPr>
        <w:t>5</w:t>
      </w:r>
      <w:r w:rsidR="00331C1F">
        <w:rPr>
          <w:rFonts w:eastAsia="Times New Roman" w:cs="Arial"/>
          <w:sz w:val="24"/>
          <w:szCs w:val="24"/>
          <w:lang w:val="sr-Latn-ME"/>
        </w:rPr>
        <w:t>‒</w:t>
      </w:r>
      <w:r w:rsidRPr="00F96844">
        <w:rPr>
          <w:rFonts w:eastAsia="Times New Roman" w:cs="Arial"/>
          <w:sz w:val="24"/>
          <w:szCs w:val="24"/>
          <w:lang w:val="sr-Latn-ME"/>
        </w:rPr>
        <w:t>202</w:t>
      </w:r>
      <w:r w:rsidR="0002067C">
        <w:rPr>
          <w:rFonts w:eastAsia="Times New Roman" w:cs="Arial"/>
          <w:sz w:val="24"/>
          <w:szCs w:val="24"/>
          <w:lang w:val="sr-Latn-ME"/>
        </w:rPr>
        <w:t>8</w:t>
      </w:r>
      <w:r w:rsidR="00331C1F">
        <w:rPr>
          <w:rFonts w:eastAsia="Times New Roman" w:cs="Arial"/>
          <w:sz w:val="24"/>
          <w:szCs w:val="24"/>
          <w:lang w:val="sr-Latn-ME"/>
        </w:rPr>
        <w:t>.</w:t>
      </w:r>
      <w:r w:rsidRPr="00F96844">
        <w:rPr>
          <w:rFonts w:eastAsia="Times New Roman" w:cs="Arial"/>
          <w:sz w:val="24"/>
          <w:szCs w:val="24"/>
          <w:lang w:val="sr-Latn-ME"/>
        </w:rPr>
        <w:t xml:space="preserve"> će biti sprovedena na polovini procesa sprovođenja Strategije </w:t>
      </w:r>
      <w:r w:rsidRPr="00736811">
        <w:rPr>
          <w:rFonts w:eastAsia="Times New Roman" w:cs="Arial"/>
          <w:sz w:val="24"/>
          <w:szCs w:val="24"/>
          <w:lang w:val="sr-Latn-ME"/>
        </w:rPr>
        <w:t>(</w:t>
      </w:r>
      <w:r w:rsidR="0002067C" w:rsidRPr="00736811">
        <w:rPr>
          <w:rFonts w:eastAsia="Times New Roman" w:cs="Arial"/>
          <w:sz w:val="24"/>
          <w:szCs w:val="24"/>
          <w:lang w:val="sr-Latn-ME"/>
        </w:rPr>
        <w:t>krajem 2026.</w:t>
      </w:r>
      <w:r w:rsidRPr="00736811">
        <w:rPr>
          <w:rFonts w:eastAsia="Times New Roman" w:cs="Arial"/>
          <w:sz w:val="24"/>
          <w:szCs w:val="24"/>
          <w:lang w:val="sr-Latn-ME"/>
        </w:rPr>
        <w:t xml:space="preserve"> godine) i nakon završetka trajanja strateškog dokumenta</w:t>
      </w:r>
      <w:r w:rsidR="00FF4736" w:rsidRPr="00736811">
        <w:rPr>
          <w:rFonts w:eastAsia="Times New Roman" w:cs="Arial"/>
          <w:sz w:val="24"/>
          <w:szCs w:val="24"/>
          <w:lang w:val="sr-Latn-ME"/>
        </w:rPr>
        <w:t>,</w:t>
      </w:r>
      <w:r w:rsidRPr="00736811">
        <w:rPr>
          <w:rFonts w:eastAsia="Times New Roman" w:cs="Arial"/>
          <w:sz w:val="24"/>
          <w:szCs w:val="24"/>
          <w:lang w:val="sr-Latn-ME"/>
        </w:rPr>
        <w:t xml:space="preserve"> i evidentiraće se u okviru srednj</w:t>
      </w:r>
      <w:r w:rsidR="00FF4736" w:rsidRPr="00736811">
        <w:rPr>
          <w:rFonts w:eastAsia="Times New Roman" w:cs="Arial"/>
          <w:sz w:val="24"/>
          <w:szCs w:val="24"/>
          <w:lang w:val="sr-Latn-ME"/>
        </w:rPr>
        <w:t>o</w:t>
      </w:r>
      <w:r w:rsidRPr="00736811">
        <w:rPr>
          <w:rFonts w:eastAsia="Times New Roman" w:cs="Arial"/>
          <w:sz w:val="24"/>
          <w:szCs w:val="24"/>
          <w:lang w:val="sr-Latn-ME"/>
        </w:rPr>
        <w:t>ročnog</w:t>
      </w:r>
      <w:r w:rsidRPr="00F96844">
        <w:rPr>
          <w:rFonts w:eastAsia="Times New Roman" w:cs="Arial"/>
          <w:sz w:val="24"/>
          <w:szCs w:val="24"/>
          <w:lang w:val="sr-Latn-ME"/>
        </w:rPr>
        <w:t xml:space="preserve"> i završnog izvještaja o njegovom sprovođenju. Osim evaluacije sprovođenja posebnih strateških ciljeva i mjera, evaluacija će posebnu pažnju obratiti na sagledavanje procesa sprovođenja Strategije socijalne i dječje </w:t>
      </w:r>
      <w:r w:rsidR="00E75345" w:rsidRPr="00F96844">
        <w:rPr>
          <w:rFonts w:eastAsia="Times New Roman" w:cs="Arial"/>
          <w:sz w:val="24"/>
          <w:szCs w:val="24"/>
          <w:lang w:val="sr-Latn-ME"/>
        </w:rPr>
        <w:t>zaštite.</w:t>
      </w:r>
      <w:r w:rsidR="004248A4" w:rsidRPr="00F96844">
        <w:rPr>
          <w:rFonts w:eastAsia="Times New Roman" w:cs="Arial"/>
          <w:sz w:val="24"/>
          <w:szCs w:val="24"/>
          <w:lang w:val="sr-Latn-ME"/>
        </w:rPr>
        <w:t xml:space="preserve"> Sredstva za sprovođenje srednjoročne (</w:t>
      </w:r>
      <w:r w:rsidR="004248A4" w:rsidRPr="00F04A5A">
        <w:rPr>
          <w:rFonts w:eastAsia="Times New Roman" w:cs="Arial"/>
          <w:i/>
          <w:iCs/>
          <w:sz w:val="24"/>
          <w:szCs w:val="24"/>
          <w:lang w:val="sr-Latn-ME"/>
        </w:rPr>
        <w:t>ex ante</w:t>
      </w:r>
      <w:r w:rsidR="004248A4" w:rsidRPr="00F96844">
        <w:rPr>
          <w:rFonts w:eastAsia="Times New Roman" w:cs="Arial"/>
          <w:sz w:val="24"/>
          <w:szCs w:val="24"/>
          <w:lang w:val="sr-Latn-ME"/>
        </w:rPr>
        <w:t>) evaluacije i završne (</w:t>
      </w:r>
      <w:r w:rsidR="004248A4" w:rsidRPr="00F04A5A">
        <w:rPr>
          <w:rFonts w:eastAsia="Times New Roman" w:cs="Arial"/>
          <w:i/>
          <w:iCs/>
          <w:sz w:val="24"/>
          <w:szCs w:val="24"/>
          <w:lang w:val="sr-Latn-ME"/>
        </w:rPr>
        <w:t>ex post</w:t>
      </w:r>
      <w:r w:rsidR="004248A4" w:rsidRPr="00F96844">
        <w:rPr>
          <w:rFonts w:eastAsia="Times New Roman" w:cs="Arial"/>
          <w:sz w:val="24"/>
          <w:szCs w:val="24"/>
          <w:lang w:val="sr-Latn-ME"/>
        </w:rPr>
        <w:t>) evaluacije biće predviđena u okviru releva</w:t>
      </w:r>
      <w:r w:rsidR="00FF4736">
        <w:rPr>
          <w:rFonts w:eastAsia="Times New Roman" w:cs="Arial"/>
          <w:sz w:val="24"/>
          <w:szCs w:val="24"/>
          <w:lang w:val="sr-Latn-ME"/>
        </w:rPr>
        <w:t>n</w:t>
      </w:r>
      <w:r w:rsidR="004248A4" w:rsidRPr="00F96844">
        <w:rPr>
          <w:rFonts w:eastAsia="Times New Roman" w:cs="Arial"/>
          <w:sz w:val="24"/>
          <w:szCs w:val="24"/>
          <w:lang w:val="sr-Latn-ME"/>
        </w:rPr>
        <w:t>tnih akcionih planova za periode kada će predviđena dva oblika evaluacije biti sprovedena.</w:t>
      </w:r>
    </w:p>
    <w:p w14:paraId="28EA81C6" w14:textId="77777777" w:rsidR="00D614D1" w:rsidRPr="00F96844" w:rsidRDefault="00D614D1" w:rsidP="005114FD">
      <w:pPr>
        <w:widowControl w:val="0"/>
        <w:autoSpaceDE w:val="0"/>
        <w:autoSpaceDN w:val="0"/>
        <w:ind w:left="220" w:right="372" w:firstLine="719"/>
        <w:jc w:val="both"/>
        <w:rPr>
          <w:rFonts w:eastAsia="Calibri" w:cs="Arial"/>
          <w:sz w:val="24"/>
          <w:szCs w:val="24"/>
          <w:lang w:val="sr-Latn-ME"/>
        </w:rPr>
      </w:pPr>
    </w:p>
    <w:p w14:paraId="478162D8" w14:textId="77777777" w:rsidR="002C7204" w:rsidRPr="00F96844" w:rsidRDefault="002C7204">
      <w:pPr>
        <w:widowControl w:val="0"/>
        <w:autoSpaceDE w:val="0"/>
        <w:autoSpaceDN w:val="0"/>
        <w:ind w:left="220" w:right="372" w:firstLine="719"/>
        <w:jc w:val="both"/>
        <w:rPr>
          <w:rFonts w:eastAsia="Calibri" w:cs="Arial"/>
          <w:sz w:val="24"/>
          <w:szCs w:val="24"/>
          <w:lang w:val="sr-Latn-ME"/>
        </w:rPr>
      </w:pPr>
    </w:p>
    <w:sectPr w:rsidR="002C7204" w:rsidRPr="00F96844" w:rsidSect="002C7204">
      <w:pgSz w:w="12240" w:h="15840"/>
      <w:pgMar w:top="1440" w:right="1440" w:bottom="1440" w:left="1440" w:header="720" w:footer="720" w:gutter="0"/>
      <w:pgNumType w:start="3" w:chapStyle="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951F8F" w16cex:dateUtc="2024-06-27T14:11:00Z"/>
  <w16cex:commentExtensible w16cex:durableId="2C88D051" w16cex:dateUtc="2024-06-27T14:59:00Z"/>
  <w16cex:commentExtensible w16cex:durableId="7B3F9229" w16cex:dateUtc="2024-06-28T14:28:00Z"/>
  <w16cex:commentExtensible w16cex:durableId="7C32AAC7" w16cex:dateUtc="2024-06-28T14:46:00Z"/>
  <w16cex:commentExtensible w16cex:durableId="5671C622" w16cex:dateUtc="2024-06-28T14:59:00Z"/>
  <w16cex:commentExtensible w16cex:durableId="3462063B" w16cex:dateUtc="2024-06-28T15:06:00Z"/>
  <w16cex:commentExtensible w16cex:durableId="018745F1" w16cex:dateUtc="2024-06-28T22:16:00Z"/>
  <w16cex:commentExtensible w16cex:durableId="3049A978" w16cex:dateUtc="2024-06-28T22:20:00Z"/>
  <w16cex:commentExtensible w16cex:durableId="200E14B6" w16cex:dateUtc="2024-06-28T22:21:00Z"/>
  <w16cex:commentExtensible w16cex:durableId="18451CC3" w16cex:dateUtc="2024-06-28T22:23:00Z"/>
  <w16cex:commentExtensible w16cex:durableId="4F6E775A" w16cex:dateUtc="2024-07-01T12:31:00Z"/>
  <w16cex:commentExtensible w16cex:durableId="5E88A49B" w16cex:dateUtc="2024-06-29T11:15:00Z"/>
  <w16cex:commentExtensible w16cex:durableId="53056838" w16cex:dateUtc="2024-06-29T11:17:00Z"/>
  <w16cex:commentExtensible w16cex:durableId="023A917D" w16cex:dateUtc="2024-06-29T11:22:00Z"/>
  <w16cex:commentExtensible w16cex:durableId="30A16EBE" w16cex:dateUtc="2024-06-29T11:32:00Z"/>
  <w16cex:commentExtensible w16cex:durableId="3AA8E219" w16cex:dateUtc="2024-06-29T11:48:00Z"/>
  <w16cex:commentExtensible w16cex:durableId="59631F64" w16cex:dateUtc="2024-06-29T12:10:00Z"/>
  <w16cex:commentExtensible w16cex:durableId="017FF759" w16cex:dateUtc="2024-06-29T12:19:00Z"/>
  <w16cex:commentExtensible w16cex:durableId="439FA819" w16cex:dateUtc="2024-07-01T07:39:00Z"/>
  <w16cex:commentExtensible w16cex:durableId="39D9973B" w16cex:dateUtc="2024-07-01T07:54:00Z"/>
  <w16cex:commentExtensible w16cex:durableId="60ED4DFB" w16cex:dateUtc="2024-07-01T12:14:00Z"/>
  <w16cex:commentExtensible w16cex:durableId="65568360" w16cex:dateUtc="2024-07-01T12:1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D6AAC" w14:textId="77777777" w:rsidR="00C3701E" w:rsidRDefault="00C3701E" w:rsidP="00D614D1">
      <w:r>
        <w:separator/>
      </w:r>
    </w:p>
  </w:endnote>
  <w:endnote w:type="continuationSeparator" w:id="0">
    <w:p w14:paraId="10EE45C9" w14:textId="77777777" w:rsidR="00C3701E" w:rsidRDefault="00C3701E" w:rsidP="00D6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82880"/>
      <w:docPartObj>
        <w:docPartGallery w:val="Page Numbers (Bottom of Page)"/>
        <w:docPartUnique/>
      </w:docPartObj>
    </w:sdtPr>
    <w:sdtEndPr>
      <w:rPr>
        <w:noProof/>
      </w:rPr>
    </w:sdtEndPr>
    <w:sdtContent>
      <w:p w14:paraId="6BB636FF" w14:textId="77777777" w:rsidR="005B7D8D" w:rsidRDefault="005B7D8D" w:rsidP="00921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87591"/>
      <w:docPartObj>
        <w:docPartGallery w:val="Page Numbers (Bottom of Page)"/>
        <w:docPartUnique/>
      </w:docPartObj>
    </w:sdtPr>
    <w:sdtEndPr>
      <w:rPr>
        <w:noProof/>
      </w:rPr>
    </w:sdtEndPr>
    <w:sdtContent>
      <w:p w14:paraId="7794DB0A" w14:textId="770DEFBE" w:rsidR="005B7D8D" w:rsidRDefault="005B7D8D" w:rsidP="009215E1">
        <w:pPr>
          <w:pStyle w:val="Footer"/>
          <w:jc w:val="right"/>
        </w:pPr>
        <w:r>
          <w:fldChar w:fldCharType="begin"/>
        </w:r>
        <w:r>
          <w:instrText xml:space="preserve"> PAGE   \* MERGEFORMAT </w:instrText>
        </w:r>
        <w:r>
          <w:fldChar w:fldCharType="separate"/>
        </w:r>
        <w:r w:rsidR="00C258BA">
          <w:rPr>
            <w:noProof/>
          </w:rPr>
          <w:t>0</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55089"/>
      <w:docPartObj>
        <w:docPartGallery w:val="Page Numbers (Bottom of Page)"/>
        <w:docPartUnique/>
      </w:docPartObj>
    </w:sdtPr>
    <w:sdtEndPr>
      <w:rPr>
        <w:noProof/>
      </w:rPr>
    </w:sdtEndPr>
    <w:sdtContent>
      <w:p w14:paraId="4594D102" w14:textId="77777777" w:rsidR="005B7D8D" w:rsidRDefault="005B7D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313CA" w14:textId="77777777" w:rsidR="005B7D8D" w:rsidRDefault="005B7D8D" w:rsidP="00921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3200" w14:textId="77777777" w:rsidR="00C3701E" w:rsidRDefault="00C3701E" w:rsidP="00D614D1">
      <w:r>
        <w:separator/>
      </w:r>
    </w:p>
  </w:footnote>
  <w:footnote w:type="continuationSeparator" w:id="0">
    <w:p w14:paraId="0685FF73" w14:textId="77777777" w:rsidR="00C3701E" w:rsidRDefault="00C3701E" w:rsidP="00D614D1">
      <w:r>
        <w:continuationSeparator/>
      </w:r>
    </w:p>
  </w:footnote>
  <w:footnote w:id="1">
    <w:p w14:paraId="1190B5EA" w14:textId="77777777" w:rsidR="005B7D8D" w:rsidRPr="0002781B" w:rsidRDefault="005B7D8D">
      <w:pPr>
        <w:pStyle w:val="FootnoteText"/>
        <w:rPr>
          <w:lang w:val="sr-Latn-RS"/>
        </w:rPr>
      </w:pPr>
      <w:r w:rsidRPr="0002781B">
        <w:rPr>
          <w:rStyle w:val="FootnoteReference"/>
        </w:rPr>
        <w:footnoteRef/>
      </w:r>
      <w:r w:rsidRPr="0002781B">
        <w:t xml:space="preserve"> </w:t>
      </w:r>
      <w:r w:rsidRPr="002C7204">
        <w:rPr>
          <w:sz w:val="16"/>
        </w:rPr>
        <w:t>Zakon o socijalnoj i dječjoj zaštiti (“Službeni list Crne Gore”, br. 27/13, 1/15, 42/15, 47/15, 56/16, 66/16, 1/17, 31/17, 42/17, 50/17, 59/21, 145/21 i 3/23).</w:t>
      </w:r>
    </w:p>
  </w:footnote>
  <w:footnote w:id="2">
    <w:p w14:paraId="779F8F12" w14:textId="77777777" w:rsidR="005B7D8D" w:rsidRPr="002C7204" w:rsidRDefault="005B7D8D">
      <w:pPr>
        <w:pStyle w:val="FootnoteText"/>
        <w:rPr>
          <w:lang w:val="sr-Latn-ME"/>
        </w:rPr>
      </w:pPr>
      <w:r>
        <w:rPr>
          <w:rStyle w:val="FootnoteReference"/>
        </w:rPr>
        <w:footnoteRef/>
      </w:r>
      <w:r>
        <w:t xml:space="preserve"> </w:t>
      </w:r>
      <w:r w:rsidRPr="00522FE8">
        <w:rPr>
          <w:rFonts w:cs="Arial"/>
          <w:sz w:val="16"/>
          <w:szCs w:val="16"/>
          <w:lang w:val="sr-Latn-ME"/>
        </w:rPr>
        <w:t>Vlada Crne Gore (2024). Srednjoročni program rada Vlade Crne Gore 2024</w:t>
      </w:r>
      <w:r w:rsidRPr="009F661D">
        <w:rPr>
          <w:rFonts w:cs="Arial"/>
          <w:sz w:val="16"/>
          <w:szCs w:val="16"/>
          <w:lang w:val="sr-Latn-ME"/>
        </w:rPr>
        <w:t>‒</w:t>
      </w:r>
      <w:r w:rsidRPr="00522FE8">
        <w:rPr>
          <w:rFonts w:cs="Arial"/>
          <w:sz w:val="16"/>
          <w:szCs w:val="16"/>
          <w:lang w:val="sr-Latn-ME"/>
        </w:rPr>
        <w:t>2027. godine, str. 30–31.</w:t>
      </w:r>
    </w:p>
  </w:footnote>
  <w:footnote w:id="3">
    <w:p w14:paraId="3F40A72A" w14:textId="77777777" w:rsidR="005B7D8D" w:rsidRPr="002C7204" w:rsidRDefault="005B7D8D">
      <w:pPr>
        <w:pStyle w:val="FootnoteText"/>
        <w:rPr>
          <w:sz w:val="16"/>
          <w:szCs w:val="16"/>
          <w:lang w:val="sr-Latn-ME"/>
        </w:rPr>
      </w:pPr>
      <w:r>
        <w:rPr>
          <w:rStyle w:val="FootnoteReference"/>
        </w:rPr>
        <w:footnoteRef/>
      </w:r>
      <w:r>
        <w:t xml:space="preserve"> </w:t>
      </w:r>
      <w:r w:rsidRPr="00522FE8">
        <w:rPr>
          <w:rFonts w:cs="Arial"/>
          <w:i/>
          <w:sz w:val="16"/>
          <w:szCs w:val="16"/>
          <w:lang w:val="sr-Latn-ME"/>
        </w:rPr>
        <w:t>Isto,</w:t>
      </w:r>
      <w:r w:rsidRPr="00522FE8">
        <w:rPr>
          <w:rFonts w:cs="Arial"/>
          <w:sz w:val="16"/>
          <w:szCs w:val="16"/>
          <w:lang w:val="sr-Latn-ME"/>
        </w:rPr>
        <w:t xml:space="preserve"> str. 15</w:t>
      </w:r>
      <w:r>
        <w:rPr>
          <w:rFonts w:cs="Arial"/>
          <w:sz w:val="16"/>
          <w:szCs w:val="16"/>
          <w:lang w:val="sr-Latn-ME"/>
        </w:rPr>
        <w:t>.</w:t>
      </w:r>
    </w:p>
  </w:footnote>
  <w:footnote w:id="4">
    <w:p w14:paraId="2E59D964" w14:textId="77777777" w:rsidR="005B7D8D" w:rsidRPr="002C7204" w:rsidRDefault="005B7D8D">
      <w:pPr>
        <w:pStyle w:val="FootnoteText"/>
        <w:rPr>
          <w:rFonts w:cs="Arial"/>
          <w:sz w:val="16"/>
          <w:szCs w:val="16"/>
          <w:lang w:val="sr-Latn-ME"/>
        </w:rPr>
      </w:pPr>
      <w:r>
        <w:rPr>
          <w:rStyle w:val="FootnoteReference"/>
        </w:rPr>
        <w:footnoteRef/>
      </w:r>
      <w:r>
        <w:t xml:space="preserve"> </w:t>
      </w:r>
      <w:r w:rsidRPr="00170066">
        <w:rPr>
          <w:rFonts w:cs="Arial"/>
          <w:sz w:val="16"/>
          <w:szCs w:val="16"/>
          <w:lang w:val="sr-Latn-ME"/>
        </w:rPr>
        <w:t>Ministarstvo održivog razvoja i turizma, Vlada Crne Gore (2016). Nacionalna strategija održivog razvoja do 2030. godine, str. 43</w:t>
      </w:r>
      <w:r>
        <w:rPr>
          <w:rFonts w:cs="Arial"/>
          <w:sz w:val="16"/>
          <w:szCs w:val="16"/>
          <w:lang w:val="sr-Latn-ME"/>
        </w:rPr>
        <w:t>.</w:t>
      </w:r>
    </w:p>
  </w:footnote>
  <w:footnote w:id="5">
    <w:p w14:paraId="47F590B8" w14:textId="77777777" w:rsidR="005B7D8D" w:rsidRDefault="005B7D8D">
      <w:pPr>
        <w:pStyle w:val="FootnoteText"/>
        <w:rPr>
          <w:rFonts w:cs="Arial"/>
          <w:sz w:val="16"/>
          <w:szCs w:val="16"/>
          <w:lang w:val="sr-Latn-ME"/>
        </w:rPr>
      </w:pPr>
      <w:r>
        <w:rPr>
          <w:rStyle w:val="FootnoteReference"/>
        </w:rPr>
        <w:footnoteRef/>
      </w:r>
      <w:r>
        <w:t xml:space="preserve"> </w:t>
      </w:r>
      <w:r w:rsidRPr="00170066">
        <w:rPr>
          <w:rFonts w:cs="Arial"/>
          <w:i/>
          <w:sz w:val="16"/>
          <w:szCs w:val="16"/>
          <w:lang w:val="sr-Latn-ME"/>
        </w:rPr>
        <w:t>Isto</w:t>
      </w:r>
      <w:r w:rsidRPr="00170066">
        <w:rPr>
          <w:rFonts w:cs="Arial"/>
          <w:sz w:val="16"/>
          <w:szCs w:val="16"/>
          <w:lang w:val="sr-Latn-ME"/>
        </w:rPr>
        <w:t>, str. 135</w:t>
      </w:r>
      <w:r>
        <w:rPr>
          <w:rFonts w:cs="Arial"/>
          <w:sz w:val="16"/>
          <w:szCs w:val="16"/>
          <w:lang w:val="sr-Latn-ME"/>
        </w:rPr>
        <w:t>.</w:t>
      </w:r>
    </w:p>
    <w:p w14:paraId="32BDAFF2" w14:textId="77777777" w:rsidR="005B7D8D" w:rsidRPr="002C7204" w:rsidRDefault="005B7D8D">
      <w:pPr>
        <w:pStyle w:val="FootnoteText"/>
        <w:rPr>
          <w:lang w:val="sr-Latn-ME"/>
        </w:rPr>
      </w:pPr>
    </w:p>
  </w:footnote>
  <w:footnote w:id="6">
    <w:p w14:paraId="3213AD3C" w14:textId="77777777" w:rsidR="005B7D8D" w:rsidRPr="002C7204" w:rsidRDefault="005B7D8D">
      <w:pPr>
        <w:pStyle w:val="FootnoteText"/>
        <w:rPr>
          <w:lang w:val="sr-Latn-ME"/>
        </w:rPr>
      </w:pPr>
      <w:r>
        <w:rPr>
          <w:rStyle w:val="FootnoteReference"/>
        </w:rPr>
        <w:footnoteRef/>
      </w:r>
      <w:r>
        <w:rPr>
          <w:rFonts w:cs="Arial"/>
          <w:sz w:val="16"/>
          <w:szCs w:val="16"/>
          <w:lang w:val="sr-Latn-ME"/>
        </w:rPr>
        <w:t xml:space="preserve"> </w:t>
      </w:r>
      <w:r w:rsidRPr="00170066">
        <w:rPr>
          <w:rFonts w:cs="Arial"/>
          <w:sz w:val="16"/>
          <w:szCs w:val="16"/>
          <w:lang w:val="sr-Latn-ME"/>
        </w:rPr>
        <w:t>Vlada Crne Gore (2023). Program ekonomskih reformi za Crnu Goru 2023–2025, str. 219</w:t>
      </w:r>
      <w:r>
        <w:rPr>
          <w:rFonts w:cs="Arial"/>
          <w:sz w:val="16"/>
          <w:szCs w:val="16"/>
          <w:lang w:val="sr-Latn-ME"/>
        </w:rPr>
        <w:t>.</w:t>
      </w:r>
      <w:r w:rsidRPr="00170066">
        <w:rPr>
          <w:rFonts w:cs="Arial"/>
          <w:sz w:val="16"/>
          <w:szCs w:val="16"/>
          <w:lang w:val="sr-Latn-ME"/>
        </w:rPr>
        <w:t xml:space="preserve"> </w:t>
      </w:r>
      <w:r>
        <w:t xml:space="preserve"> </w:t>
      </w:r>
    </w:p>
  </w:footnote>
  <w:footnote w:id="7">
    <w:p w14:paraId="37E993DD" w14:textId="77777777" w:rsidR="005B7D8D" w:rsidRPr="002C7204" w:rsidRDefault="005B7D8D">
      <w:pPr>
        <w:pStyle w:val="FootnoteText"/>
        <w:rPr>
          <w:lang w:val="sr-Latn-ME"/>
        </w:rPr>
      </w:pPr>
      <w:r>
        <w:rPr>
          <w:rStyle w:val="FootnoteReference"/>
        </w:rPr>
        <w:footnoteRef/>
      </w:r>
      <w:r>
        <w:t xml:space="preserve"> </w:t>
      </w:r>
      <w:r w:rsidRPr="00170066">
        <w:rPr>
          <w:rFonts w:cs="Arial"/>
          <w:sz w:val="16"/>
          <w:szCs w:val="16"/>
          <w:lang w:val="sr-Latn-ME"/>
        </w:rPr>
        <w:t>Ministarstvo evropskih poslova, Vlada Crne Gore (2023). Program pristupanja Crne Gore Evropskoj uniji 2023–2024, str. 116</w:t>
      </w:r>
      <w:r>
        <w:rPr>
          <w:rFonts w:cs="Arial"/>
          <w:sz w:val="16"/>
          <w:szCs w:val="16"/>
          <w:lang w:val="sr-Latn-ME"/>
        </w:rPr>
        <w:t>.</w:t>
      </w:r>
    </w:p>
  </w:footnote>
  <w:footnote w:id="8">
    <w:p w14:paraId="16DA608D" w14:textId="77777777" w:rsidR="005B7D8D" w:rsidRPr="002C7204" w:rsidRDefault="005B7D8D">
      <w:pPr>
        <w:pStyle w:val="FootnoteText"/>
        <w:rPr>
          <w:lang w:val="sr-Latn-ME"/>
        </w:rPr>
      </w:pPr>
      <w:r>
        <w:rPr>
          <w:rStyle w:val="FootnoteReference"/>
        </w:rPr>
        <w:footnoteRef/>
      </w:r>
      <w:r>
        <w:t xml:space="preserve"> </w:t>
      </w:r>
      <w:r w:rsidRPr="0066408A">
        <w:rPr>
          <w:i/>
          <w:sz w:val="16"/>
          <w:szCs w:val="16"/>
        </w:rPr>
        <w:t>Isto</w:t>
      </w:r>
      <w:r w:rsidRPr="00170066">
        <w:rPr>
          <w:sz w:val="16"/>
          <w:szCs w:val="16"/>
        </w:rPr>
        <w:t>, str. 115</w:t>
      </w:r>
      <w:r>
        <w:rPr>
          <w:sz w:val="16"/>
          <w:szCs w:val="16"/>
        </w:rPr>
        <w:t>.</w:t>
      </w:r>
    </w:p>
  </w:footnote>
  <w:footnote w:id="9">
    <w:p w14:paraId="52B6BDD7" w14:textId="77777777" w:rsidR="005B7D8D" w:rsidRPr="002C7204" w:rsidRDefault="005B7D8D">
      <w:pPr>
        <w:pStyle w:val="FootnoteText"/>
        <w:rPr>
          <w:lang w:val="sr-Latn-ME"/>
        </w:rPr>
      </w:pPr>
      <w:r>
        <w:rPr>
          <w:rStyle w:val="FootnoteReference"/>
        </w:rPr>
        <w:footnoteRef/>
      </w:r>
      <w:r>
        <w:t xml:space="preserve"> </w:t>
      </w:r>
      <w:r w:rsidRPr="00CB5843">
        <w:rPr>
          <w:rFonts w:cs="Arial"/>
          <w:i/>
          <w:sz w:val="16"/>
          <w:szCs w:val="16"/>
          <w:lang w:val="sr-Latn-ME"/>
        </w:rPr>
        <w:t>Isto</w:t>
      </w:r>
      <w:r w:rsidRPr="00CB5843">
        <w:rPr>
          <w:rFonts w:cs="Arial"/>
          <w:sz w:val="16"/>
          <w:szCs w:val="16"/>
          <w:lang w:val="sr-Latn-ME"/>
        </w:rPr>
        <w:t>, str. 51</w:t>
      </w:r>
      <w:r>
        <w:rPr>
          <w:rFonts w:cs="Arial"/>
          <w:sz w:val="16"/>
          <w:szCs w:val="16"/>
          <w:lang w:val="sr-Latn-ME"/>
        </w:rPr>
        <w:t>.</w:t>
      </w:r>
    </w:p>
  </w:footnote>
  <w:footnote w:id="10">
    <w:p w14:paraId="479DB8EC" w14:textId="77777777" w:rsidR="005B7D8D" w:rsidRPr="002C7204" w:rsidRDefault="005B7D8D">
      <w:pPr>
        <w:pStyle w:val="FootnoteText"/>
        <w:rPr>
          <w:lang w:val="sr-Latn-ME"/>
        </w:rPr>
      </w:pPr>
      <w:r>
        <w:rPr>
          <w:rStyle w:val="FootnoteReference"/>
        </w:rPr>
        <w:footnoteRef/>
      </w:r>
      <w:r>
        <w:t xml:space="preserve"> </w:t>
      </w:r>
      <w:r w:rsidRPr="00CB5843">
        <w:rPr>
          <w:rFonts w:cs="Arial"/>
          <w:sz w:val="16"/>
          <w:szCs w:val="16"/>
          <w:lang w:val="sr-Latn-ME"/>
        </w:rPr>
        <w:t>Ministarstvo ljudskih i manjinskih prava, Vlada Crne Gore (2022). Strategija za zaštitu lica s invaliditetom od diskriminacije i promociju jednakosti 2022–2023, str. 48</w:t>
      </w:r>
      <w:r>
        <w:rPr>
          <w:rFonts w:cs="Arial"/>
          <w:sz w:val="16"/>
          <w:szCs w:val="16"/>
          <w:lang w:val="sr-Latn-ME"/>
        </w:rPr>
        <w:t>.</w:t>
      </w:r>
    </w:p>
  </w:footnote>
  <w:footnote w:id="11">
    <w:p w14:paraId="08CC0B15" w14:textId="77777777" w:rsidR="005B7D8D" w:rsidRPr="002C7204" w:rsidRDefault="005B7D8D">
      <w:pPr>
        <w:pStyle w:val="FootnoteText"/>
        <w:rPr>
          <w:lang w:val="sr-Latn-ME"/>
        </w:rPr>
      </w:pPr>
      <w:r>
        <w:rPr>
          <w:rStyle w:val="FootnoteReference"/>
        </w:rPr>
        <w:footnoteRef/>
      </w:r>
      <w:r>
        <w:t xml:space="preserve"> </w:t>
      </w:r>
      <w:r w:rsidRPr="00CB5843">
        <w:rPr>
          <w:rFonts w:cs="Arial"/>
          <w:i/>
          <w:sz w:val="16"/>
          <w:szCs w:val="16"/>
          <w:lang w:val="sr-Latn-ME"/>
        </w:rPr>
        <w:t>Isto</w:t>
      </w:r>
      <w:r w:rsidRPr="00CB5843">
        <w:rPr>
          <w:rFonts w:cs="Arial"/>
          <w:sz w:val="16"/>
          <w:szCs w:val="16"/>
          <w:lang w:val="sr-Latn-ME"/>
        </w:rPr>
        <w:t>, str. 52</w:t>
      </w:r>
      <w:r>
        <w:rPr>
          <w:rFonts w:cs="Arial"/>
          <w:sz w:val="16"/>
          <w:szCs w:val="16"/>
          <w:lang w:val="sr-Latn-ME"/>
        </w:rPr>
        <w:t>.</w:t>
      </w:r>
    </w:p>
  </w:footnote>
  <w:footnote w:id="12">
    <w:p w14:paraId="16D1D3D6" w14:textId="77777777" w:rsidR="005B7D8D" w:rsidRPr="002C7204" w:rsidRDefault="005B7D8D">
      <w:pPr>
        <w:pStyle w:val="FootnoteText"/>
        <w:rPr>
          <w:lang w:val="sr-Latn-ME"/>
        </w:rPr>
      </w:pPr>
      <w:r>
        <w:rPr>
          <w:rStyle w:val="FootnoteReference"/>
        </w:rPr>
        <w:footnoteRef/>
      </w:r>
      <w:r>
        <w:t xml:space="preserve"> </w:t>
      </w:r>
      <w:bookmarkStart w:id="46" w:name="_Hlk166662614"/>
      <w:r w:rsidRPr="009C4222">
        <w:rPr>
          <w:rFonts w:cs="Arial"/>
          <w:i/>
          <w:sz w:val="16"/>
          <w:szCs w:val="16"/>
          <w:lang w:val="sr-Latn-ME"/>
        </w:rPr>
        <w:t>Isto</w:t>
      </w:r>
      <w:r w:rsidRPr="009C4222">
        <w:rPr>
          <w:rFonts w:cs="Arial"/>
          <w:sz w:val="16"/>
          <w:szCs w:val="16"/>
          <w:lang w:val="sr-Latn-ME"/>
        </w:rPr>
        <w:t>, str. 54–55</w:t>
      </w:r>
      <w:bookmarkEnd w:id="46"/>
      <w:r w:rsidRPr="009C4222">
        <w:rPr>
          <w:rFonts w:cs="Arial"/>
          <w:sz w:val="16"/>
          <w:szCs w:val="16"/>
          <w:lang w:val="sr-Latn-ME"/>
        </w:rPr>
        <w:t>.</w:t>
      </w:r>
    </w:p>
  </w:footnote>
  <w:footnote w:id="13">
    <w:p w14:paraId="0AB87CDB" w14:textId="77777777" w:rsidR="005B7D8D" w:rsidRPr="002C7204" w:rsidRDefault="005B7D8D">
      <w:pPr>
        <w:pStyle w:val="FootnoteText"/>
        <w:rPr>
          <w:rFonts w:cs="Arial"/>
          <w:sz w:val="16"/>
          <w:szCs w:val="16"/>
          <w:lang w:val="sr-Latn-ME"/>
        </w:rPr>
      </w:pPr>
      <w:r>
        <w:rPr>
          <w:rStyle w:val="FootnoteReference"/>
        </w:rPr>
        <w:footnoteRef/>
      </w:r>
      <w:r>
        <w:t xml:space="preserve"> </w:t>
      </w:r>
      <w:bookmarkStart w:id="47" w:name="_Hlk166662646"/>
      <w:r w:rsidRPr="009C4222">
        <w:rPr>
          <w:rFonts w:cs="Arial"/>
          <w:sz w:val="16"/>
          <w:szCs w:val="16"/>
          <w:lang w:val="sr-Latn-ME"/>
        </w:rPr>
        <w:t>Ministarstvo sporta i mladih, Vlada Crne Gore (2023). Strategija za mlade 2023–2027. s</w:t>
      </w:r>
      <w:r>
        <w:rPr>
          <w:rFonts w:cs="Arial"/>
          <w:sz w:val="16"/>
          <w:szCs w:val="16"/>
          <w:lang w:val="sr-Latn-ME"/>
        </w:rPr>
        <w:t>a</w:t>
      </w:r>
      <w:r w:rsidRPr="009C4222">
        <w:rPr>
          <w:rFonts w:cs="Arial"/>
          <w:sz w:val="16"/>
          <w:szCs w:val="16"/>
          <w:lang w:val="sr-Latn-ME"/>
        </w:rPr>
        <w:t xml:space="preserve"> </w:t>
      </w:r>
      <w:r>
        <w:rPr>
          <w:rFonts w:cs="Arial"/>
          <w:sz w:val="16"/>
          <w:szCs w:val="16"/>
          <w:lang w:val="sr-Latn-ME"/>
        </w:rPr>
        <w:t>A</w:t>
      </w:r>
      <w:r w:rsidRPr="009C4222">
        <w:rPr>
          <w:rFonts w:cs="Arial"/>
          <w:sz w:val="16"/>
          <w:szCs w:val="16"/>
          <w:lang w:val="sr-Latn-ME"/>
        </w:rPr>
        <w:t>kcionim planom 2023–2024, str. 89</w:t>
      </w:r>
      <w:bookmarkEnd w:id="47"/>
      <w:r>
        <w:rPr>
          <w:rFonts w:cs="Arial"/>
          <w:sz w:val="16"/>
          <w:szCs w:val="16"/>
          <w:lang w:val="sr-Latn-ME"/>
        </w:rPr>
        <w:t>.</w:t>
      </w:r>
    </w:p>
  </w:footnote>
  <w:footnote w:id="14">
    <w:p w14:paraId="629A954E" w14:textId="77777777" w:rsidR="005B7D8D" w:rsidRPr="002C7204" w:rsidRDefault="005B7D8D">
      <w:pPr>
        <w:pStyle w:val="FootnoteText"/>
        <w:rPr>
          <w:lang w:val="sr-Latn-ME"/>
        </w:rPr>
      </w:pPr>
      <w:r>
        <w:rPr>
          <w:rStyle w:val="FootnoteReference"/>
        </w:rPr>
        <w:footnoteRef/>
      </w:r>
      <w:r>
        <w:t xml:space="preserve"> </w:t>
      </w:r>
      <w:r w:rsidRPr="009C4222">
        <w:rPr>
          <w:rFonts w:cs="Arial"/>
          <w:i/>
          <w:sz w:val="16"/>
          <w:szCs w:val="16"/>
          <w:lang w:val="sr-Latn-ME"/>
        </w:rPr>
        <w:t xml:space="preserve">Isto, </w:t>
      </w:r>
      <w:r w:rsidRPr="008878BC">
        <w:rPr>
          <w:rFonts w:cs="Arial"/>
          <w:sz w:val="16"/>
          <w:szCs w:val="16"/>
          <w:lang w:val="sr-Latn-ME"/>
        </w:rPr>
        <w:t>str.</w:t>
      </w:r>
      <w:r w:rsidRPr="009C4222">
        <w:rPr>
          <w:rFonts w:cs="Arial"/>
          <w:sz w:val="16"/>
          <w:szCs w:val="16"/>
          <w:lang w:val="sr-Latn-ME"/>
        </w:rPr>
        <w:t xml:space="preserve"> 91</w:t>
      </w:r>
      <w:r>
        <w:rPr>
          <w:rFonts w:cs="Arial"/>
          <w:sz w:val="16"/>
          <w:szCs w:val="16"/>
          <w:lang w:val="sr-Latn-ME"/>
        </w:rPr>
        <w:t>.</w:t>
      </w:r>
    </w:p>
  </w:footnote>
  <w:footnote w:id="15">
    <w:p w14:paraId="5F5EB091" w14:textId="77777777" w:rsidR="005B7D8D" w:rsidRPr="002C7204" w:rsidRDefault="005B7D8D">
      <w:pPr>
        <w:pStyle w:val="FootnoteText"/>
        <w:rPr>
          <w:lang w:val="sr-Latn-ME"/>
        </w:rPr>
      </w:pPr>
      <w:r>
        <w:rPr>
          <w:rStyle w:val="FootnoteReference"/>
        </w:rPr>
        <w:footnoteRef/>
      </w:r>
      <w:r>
        <w:t xml:space="preserve"> </w:t>
      </w:r>
      <w:bookmarkStart w:id="48" w:name="_Hlk166662727"/>
      <w:r w:rsidRPr="00E742A6">
        <w:rPr>
          <w:rFonts w:cs="Arial"/>
          <w:sz w:val="16"/>
          <w:szCs w:val="16"/>
          <w:lang w:val="sr-Latn-ME"/>
        </w:rPr>
        <w:t>Ministarstvo prosvjete, Vlada Crne Gore (2022). Izvještaj o sprovođenju strategije inkluzivnog obrazovanja u Crnoj Gori 2019–2025. za 2022. godinu, str. 12–24.</w:t>
      </w:r>
      <w:bookmarkEnd w:id="48"/>
    </w:p>
  </w:footnote>
  <w:footnote w:id="16">
    <w:p w14:paraId="4EA8A5B5" w14:textId="77777777" w:rsidR="005B7D8D" w:rsidRPr="003752BE" w:rsidRDefault="005B7D8D" w:rsidP="000945A3">
      <w:pPr>
        <w:pStyle w:val="FootnoteText"/>
        <w:rPr>
          <w:rFonts w:ascii="Cambria" w:hAnsi="Cambria"/>
          <w:sz w:val="16"/>
          <w:szCs w:val="16"/>
          <w:lang w:val="sr-Latn-RS"/>
        </w:rPr>
      </w:pPr>
      <w:r w:rsidRPr="003752BE">
        <w:rPr>
          <w:rStyle w:val="FootnoteReference"/>
          <w:rFonts w:ascii="Cambria" w:hAnsi="Cambria"/>
          <w:sz w:val="16"/>
          <w:szCs w:val="16"/>
        </w:rPr>
        <w:footnoteRef/>
      </w:r>
      <w:r w:rsidRPr="003752BE">
        <w:rPr>
          <w:rFonts w:ascii="Cambria" w:hAnsi="Cambria"/>
          <w:sz w:val="16"/>
          <w:szCs w:val="16"/>
        </w:rPr>
        <w:t xml:space="preserve"> </w:t>
      </w:r>
      <w:hyperlink r:id="rId1" w:history="1">
        <w:r w:rsidRPr="003752BE">
          <w:rPr>
            <w:rStyle w:val="Hyperlink"/>
            <w:rFonts w:ascii="Cambria" w:hAnsi="Cambria"/>
            <w:sz w:val="16"/>
            <w:szCs w:val="16"/>
          </w:rPr>
          <w:t>https://www.gov.me/dokumenta/1f031d7b-7220-460a-a48b-bf093b37db6c</w:t>
        </w:r>
      </w:hyperlink>
      <w:r w:rsidRPr="003752BE">
        <w:rPr>
          <w:rFonts w:ascii="Cambria" w:hAnsi="Cambria"/>
          <w:sz w:val="16"/>
          <w:szCs w:val="16"/>
        </w:rPr>
        <w:t xml:space="preserve"> </w:t>
      </w:r>
    </w:p>
  </w:footnote>
  <w:footnote w:id="17">
    <w:p w14:paraId="36E9F456" w14:textId="77777777" w:rsidR="005B7D8D" w:rsidRPr="002C7204" w:rsidRDefault="005B7D8D">
      <w:pPr>
        <w:pStyle w:val="FootnoteText"/>
        <w:rPr>
          <w:lang w:val="sr-Latn-ME"/>
        </w:rPr>
      </w:pPr>
      <w:r>
        <w:rPr>
          <w:rStyle w:val="FootnoteReference"/>
        </w:rPr>
        <w:footnoteRef/>
      </w:r>
      <w:r w:rsidRPr="00E742A6">
        <w:rPr>
          <w:rFonts w:cs="Arial"/>
          <w:sz w:val="16"/>
          <w:szCs w:val="16"/>
          <w:lang w:val="sr-Latn-ME"/>
        </w:rPr>
        <w:t>Ministarstvo rada i socijalnog staranja, Vlada Crne Gore (2023). Nacionalni plan za implementaciju Konvencije Savjeta Evrope o suzbijanju i sprečavanju nasilja nad ženama i nasilja u porodici (Istanbulska konvencija) za period 2023–2027. godine, str. 15</w:t>
      </w:r>
      <w:r>
        <w:t>.</w:t>
      </w:r>
    </w:p>
  </w:footnote>
  <w:footnote w:id="18">
    <w:p w14:paraId="484F4A14" w14:textId="77777777" w:rsidR="005B7D8D" w:rsidRPr="002C7204" w:rsidRDefault="005B7D8D" w:rsidP="00627D91">
      <w:pPr>
        <w:pStyle w:val="FootnoteText"/>
        <w:jc w:val="both"/>
        <w:rPr>
          <w:rFonts w:cs="Arial"/>
          <w:sz w:val="16"/>
          <w:szCs w:val="16"/>
          <w:lang w:val="sr-Latn-ME"/>
        </w:rPr>
      </w:pPr>
      <w:r>
        <w:rPr>
          <w:rStyle w:val="FootnoteReference"/>
        </w:rPr>
        <w:footnoteRef/>
      </w:r>
      <w:bookmarkStart w:id="49" w:name="_Hlk166662884"/>
      <w:r w:rsidRPr="00E742A6">
        <w:rPr>
          <w:rFonts w:cs="Arial"/>
          <w:sz w:val="16"/>
          <w:szCs w:val="16"/>
          <w:lang w:val="sr-Latn-ME"/>
        </w:rPr>
        <w:t>Ministarstvo pravde, ljudskih i manjinskih prava, Vlada Crne Gore (2021). Strategija socijalne inkluzije Roma i Egipćana 2021–2025, str. 33</w:t>
      </w:r>
      <w:bookmarkEnd w:id="49"/>
      <w:r>
        <w:rPr>
          <w:rFonts w:cs="Arial"/>
          <w:sz w:val="16"/>
          <w:szCs w:val="16"/>
          <w:lang w:val="sr-Latn-ME"/>
        </w:rPr>
        <w:t>.</w:t>
      </w:r>
    </w:p>
  </w:footnote>
  <w:footnote w:id="19">
    <w:p w14:paraId="24D9BC01" w14:textId="77777777" w:rsidR="005B7D8D" w:rsidRPr="002C7204" w:rsidRDefault="005B7D8D">
      <w:pPr>
        <w:pStyle w:val="FootnoteText"/>
        <w:rPr>
          <w:sz w:val="16"/>
          <w:szCs w:val="16"/>
          <w:lang w:val="sr-Latn-ME"/>
        </w:rPr>
      </w:pPr>
      <w:r>
        <w:rPr>
          <w:rStyle w:val="FootnoteReference"/>
        </w:rPr>
        <w:footnoteRef/>
      </w:r>
      <w:bookmarkStart w:id="50" w:name="_Hlk166662920"/>
      <w:r w:rsidRPr="00E742A6">
        <w:rPr>
          <w:rFonts w:cs="Arial"/>
          <w:i/>
          <w:sz w:val="16"/>
          <w:szCs w:val="16"/>
          <w:lang w:val="sr-Latn-ME"/>
        </w:rPr>
        <w:t>Isto</w:t>
      </w:r>
      <w:r w:rsidRPr="00E742A6">
        <w:rPr>
          <w:rFonts w:cs="Arial"/>
          <w:sz w:val="16"/>
          <w:szCs w:val="16"/>
          <w:lang w:val="sr-Latn-ME"/>
        </w:rPr>
        <w:t>, str. 37</w:t>
      </w:r>
      <w:bookmarkEnd w:id="50"/>
      <w:r>
        <w:rPr>
          <w:rFonts w:cs="Arial"/>
          <w:sz w:val="16"/>
          <w:szCs w:val="16"/>
          <w:lang w:val="sr-Latn-ME"/>
        </w:rPr>
        <w:t>.</w:t>
      </w:r>
    </w:p>
  </w:footnote>
  <w:footnote w:id="20">
    <w:p w14:paraId="500E4AEE" w14:textId="77777777" w:rsidR="005B7D8D" w:rsidRPr="002C7204" w:rsidRDefault="005B7D8D">
      <w:pPr>
        <w:pStyle w:val="FootnoteText"/>
        <w:rPr>
          <w:rFonts w:cs="Arial"/>
          <w:sz w:val="16"/>
          <w:szCs w:val="16"/>
          <w:lang w:val="sr-Latn-ME"/>
        </w:rPr>
      </w:pPr>
      <w:r>
        <w:rPr>
          <w:rStyle w:val="FootnoteReference"/>
        </w:rPr>
        <w:footnoteRef/>
      </w:r>
      <w:r>
        <w:t xml:space="preserve"> </w:t>
      </w:r>
      <w:bookmarkStart w:id="51" w:name="_Hlk166662975"/>
      <w:r w:rsidRPr="00E742A6">
        <w:rPr>
          <w:rFonts w:cs="Arial"/>
          <w:i/>
          <w:sz w:val="16"/>
          <w:szCs w:val="16"/>
          <w:lang w:val="sr-Latn-ME"/>
        </w:rPr>
        <w:t>Isto</w:t>
      </w:r>
      <w:r w:rsidRPr="00E742A6">
        <w:rPr>
          <w:rFonts w:cs="Arial"/>
          <w:sz w:val="16"/>
          <w:szCs w:val="16"/>
          <w:lang w:val="sr-Latn-ME"/>
        </w:rPr>
        <w:t>, str. 70</w:t>
      </w:r>
      <w:bookmarkEnd w:id="51"/>
      <w:r>
        <w:rPr>
          <w:rFonts w:cs="Arial"/>
          <w:sz w:val="16"/>
          <w:szCs w:val="16"/>
          <w:lang w:val="sr-Latn-ME"/>
        </w:rPr>
        <w:t>.</w:t>
      </w:r>
    </w:p>
  </w:footnote>
  <w:footnote w:id="21">
    <w:p w14:paraId="4F5D5AC3" w14:textId="77777777" w:rsidR="005B7D8D" w:rsidRPr="002C7204" w:rsidRDefault="005B7D8D">
      <w:pPr>
        <w:pStyle w:val="FootnoteText"/>
        <w:rPr>
          <w:lang w:val="sr-Latn-ME"/>
        </w:rPr>
      </w:pPr>
      <w:r>
        <w:rPr>
          <w:rStyle w:val="FootnoteReference"/>
        </w:rPr>
        <w:footnoteRef/>
      </w:r>
      <w:r>
        <w:t xml:space="preserve"> </w:t>
      </w:r>
      <w:bookmarkStart w:id="52" w:name="_Hlk166662987"/>
      <w:r w:rsidRPr="00882654">
        <w:rPr>
          <w:rFonts w:cs="Arial"/>
          <w:i/>
          <w:sz w:val="16"/>
          <w:szCs w:val="16"/>
          <w:lang w:val="sr-Latn-ME"/>
        </w:rPr>
        <w:t>Isto</w:t>
      </w:r>
      <w:r w:rsidRPr="00882654">
        <w:rPr>
          <w:rFonts w:cs="Arial"/>
          <w:sz w:val="16"/>
          <w:szCs w:val="16"/>
          <w:lang w:val="sr-Latn-ME"/>
        </w:rPr>
        <w:t>, str. 75–76</w:t>
      </w:r>
      <w:bookmarkEnd w:id="52"/>
      <w:r w:rsidRPr="00882654">
        <w:rPr>
          <w:rFonts w:cs="Arial"/>
          <w:sz w:val="16"/>
          <w:szCs w:val="16"/>
          <w:lang w:val="sr-Latn-ME"/>
        </w:rPr>
        <w:t>.</w:t>
      </w:r>
    </w:p>
  </w:footnote>
  <w:footnote w:id="22">
    <w:p w14:paraId="4B6FBD8F" w14:textId="77777777" w:rsidR="005B7D8D" w:rsidRPr="002C7204" w:rsidRDefault="005B7D8D">
      <w:pPr>
        <w:pStyle w:val="FootnoteText"/>
        <w:rPr>
          <w:lang w:val="sr-Latn-ME"/>
        </w:rPr>
      </w:pPr>
      <w:r>
        <w:rPr>
          <w:rStyle w:val="FootnoteReference"/>
        </w:rPr>
        <w:footnoteRef/>
      </w:r>
      <w:r>
        <w:t xml:space="preserve"> </w:t>
      </w:r>
      <w:r w:rsidRPr="0066408A">
        <w:rPr>
          <w:rFonts w:cs="Arial"/>
          <w:sz w:val="16"/>
          <w:szCs w:val="16"/>
          <w:lang w:val="sr-Latn-ME"/>
        </w:rPr>
        <w:t>Ministarstvo pravde, ljudskih i manjinskih prava, Vlada Crne Gore (2021). Nacionalna strategija rodne ravnopravnosti 2021–2025. godine s</w:t>
      </w:r>
      <w:r>
        <w:rPr>
          <w:rFonts w:cs="Arial"/>
          <w:sz w:val="16"/>
          <w:szCs w:val="16"/>
          <w:lang w:val="sr-Latn-ME"/>
        </w:rPr>
        <w:t>a</w:t>
      </w:r>
      <w:r w:rsidRPr="0066408A">
        <w:rPr>
          <w:rFonts w:cs="Arial"/>
          <w:sz w:val="16"/>
          <w:szCs w:val="16"/>
          <w:lang w:val="sr-Latn-ME"/>
        </w:rPr>
        <w:t xml:space="preserve"> Akcionim planom 2021–2022. godine, str. 3</w:t>
      </w:r>
      <w:r>
        <w:rPr>
          <w:rFonts w:cs="Arial"/>
          <w:sz w:val="16"/>
          <w:szCs w:val="16"/>
          <w:lang w:val="sr-Latn-ME"/>
        </w:rPr>
        <w:t>.</w:t>
      </w:r>
    </w:p>
  </w:footnote>
  <w:footnote w:id="23">
    <w:p w14:paraId="18C8052C" w14:textId="77777777" w:rsidR="005B7D8D" w:rsidRPr="002C7204" w:rsidRDefault="005B7D8D">
      <w:pPr>
        <w:pStyle w:val="FootnoteText"/>
        <w:rPr>
          <w:lang w:val="sr-Latn-ME"/>
        </w:rPr>
      </w:pPr>
      <w:r>
        <w:rPr>
          <w:rStyle w:val="FootnoteReference"/>
        </w:rPr>
        <w:footnoteRef/>
      </w:r>
      <w:r>
        <w:t xml:space="preserve"> </w:t>
      </w:r>
      <w:bookmarkStart w:id="53" w:name="_Hlk166663079"/>
      <w:r w:rsidRPr="0066408A">
        <w:rPr>
          <w:rFonts w:cs="Arial"/>
          <w:i/>
          <w:sz w:val="16"/>
          <w:szCs w:val="16"/>
          <w:lang w:val="sr-Latn-ME"/>
        </w:rPr>
        <w:t>Isto</w:t>
      </w:r>
      <w:r w:rsidRPr="0066408A">
        <w:rPr>
          <w:rFonts w:cs="Arial"/>
          <w:sz w:val="16"/>
          <w:szCs w:val="16"/>
          <w:lang w:val="sr-Latn-ME"/>
        </w:rPr>
        <w:t>, str. 4</w:t>
      </w:r>
      <w:bookmarkEnd w:id="53"/>
      <w:r>
        <w:rPr>
          <w:rFonts w:cs="Arial"/>
          <w:sz w:val="16"/>
          <w:szCs w:val="16"/>
          <w:lang w:val="sr-Latn-ME"/>
        </w:rPr>
        <w:t>.</w:t>
      </w:r>
    </w:p>
  </w:footnote>
  <w:footnote w:id="24">
    <w:p w14:paraId="4C7B23E1" w14:textId="77777777" w:rsidR="005B7D8D" w:rsidRPr="002C7204" w:rsidRDefault="005B7D8D">
      <w:pPr>
        <w:pStyle w:val="FootnoteText"/>
        <w:rPr>
          <w:sz w:val="16"/>
          <w:szCs w:val="16"/>
          <w:lang w:val="sr-Latn-ME"/>
        </w:rPr>
      </w:pPr>
      <w:r>
        <w:rPr>
          <w:rStyle w:val="FootnoteReference"/>
        </w:rPr>
        <w:footnoteRef/>
      </w:r>
      <w:r>
        <w:t xml:space="preserve"> </w:t>
      </w:r>
      <w:r w:rsidRPr="0066408A">
        <w:rPr>
          <w:rFonts w:cs="Arial"/>
          <w:i/>
          <w:sz w:val="16"/>
          <w:szCs w:val="16"/>
          <w:lang w:val="sr-Latn-ME"/>
        </w:rPr>
        <w:t>Isto</w:t>
      </w:r>
      <w:r w:rsidRPr="0066408A">
        <w:rPr>
          <w:rFonts w:cs="Arial"/>
          <w:sz w:val="16"/>
          <w:szCs w:val="16"/>
          <w:lang w:val="sr-Latn-ME"/>
        </w:rPr>
        <w:t>, str. 5</w:t>
      </w:r>
      <w:r>
        <w:rPr>
          <w:rFonts w:cs="Arial"/>
          <w:sz w:val="16"/>
          <w:szCs w:val="16"/>
          <w:lang w:val="sr-Latn-ME"/>
        </w:rPr>
        <w:t>.</w:t>
      </w:r>
    </w:p>
  </w:footnote>
  <w:footnote w:id="25">
    <w:p w14:paraId="2B1C3FBD" w14:textId="77777777" w:rsidR="005B7D8D" w:rsidRPr="002C7204" w:rsidRDefault="005B7D8D">
      <w:pPr>
        <w:pStyle w:val="FootnoteText"/>
        <w:rPr>
          <w:lang w:val="sr-Latn-ME"/>
        </w:rPr>
      </w:pPr>
      <w:r>
        <w:rPr>
          <w:rStyle w:val="FootnoteReference"/>
        </w:rPr>
        <w:footnoteRef/>
      </w:r>
      <w:r>
        <w:t xml:space="preserve"> </w:t>
      </w:r>
      <w:r w:rsidRPr="0066408A">
        <w:rPr>
          <w:rFonts w:cs="Arial"/>
          <w:i/>
          <w:sz w:val="16"/>
          <w:szCs w:val="16"/>
          <w:lang w:val="sr-Latn-ME"/>
        </w:rPr>
        <w:t>Isto</w:t>
      </w:r>
      <w:r w:rsidRPr="0066408A">
        <w:rPr>
          <w:rFonts w:cs="Arial"/>
          <w:sz w:val="16"/>
          <w:szCs w:val="16"/>
          <w:lang w:val="sr-Latn-ME"/>
        </w:rPr>
        <w:t>, str. 53</w:t>
      </w:r>
      <w:r>
        <w:rPr>
          <w:rFonts w:cs="Arial"/>
          <w:sz w:val="16"/>
          <w:szCs w:val="16"/>
          <w:lang w:val="sr-Latn-ME"/>
        </w:rPr>
        <w:t>.</w:t>
      </w:r>
    </w:p>
  </w:footnote>
  <w:footnote w:id="26">
    <w:p w14:paraId="75C5F6B2" w14:textId="77777777" w:rsidR="005B7D8D" w:rsidRPr="002C7204" w:rsidRDefault="005B7D8D">
      <w:pPr>
        <w:pStyle w:val="FootnoteText"/>
        <w:rPr>
          <w:lang w:val="sr-Latn-ME"/>
        </w:rPr>
      </w:pPr>
      <w:r>
        <w:rPr>
          <w:rStyle w:val="FootnoteReference"/>
        </w:rPr>
        <w:footnoteRef/>
      </w:r>
      <w:r>
        <w:t xml:space="preserve"> </w:t>
      </w:r>
      <w:r w:rsidRPr="0066408A">
        <w:rPr>
          <w:rFonts w:cs="Arial"/>
          <w:i/>
          <w:sz w:val="16"/>
          <w:szCs w:val="16"/>
          <w:lang w:val="sr-Latn-ME"/>
        </w:rPr>
        <w:t>Isto</w:t>
      </w:r>
      <w:r w:rsidRPr="0066408A">
        <w:rPr>
          <w:rFonts w:cs="Arial"/>
          <w:sz w:val="16"/>
          <w:szCs w:val="16"/>
          <w:lang w:val="sr-Latn-ME"/>
        </w:rPr>
        <w:t>, str. 56</w:t>
      </w:r>
      <w:r>
        <w:rPr>
          <w:rFonts w:cs="Arial"/>
          <w:sz w:val="16"/>
          <w:szCs w:val="16"/>
          <w:lang w:val="sr-Latn-ME"/>
        </w:rPr>
        <w:t>.</w:t>
      </w:r>
    </w:p>
  </w:footnote>
  <w:footnote w:id="27">
    <w:p w14:paraId="4695FDFB" w14:textId="77777777" w:rsidR="005B7D8D" w:rsidRPr="002C7204" w:rsidRDefault="005B7D8D">
      <w:pPr>
        <w:pStyle w:val="FootnoteText"/>
        <w:rPr>
          <w:lang w:val="sr-Latn-ME"/>
        </w:rPr>
      </w:pPr>
      <w:r>
        <w:rPr>
          <w:rStyle w:val="FootnoteReference"/>
        </w:rPr>
        <w:footnoteRef/>
      </w:r>
      <w:r>
        <w:t xml:space="preserve"> </w:t>
      </w:r>
      <w:hyperlink r:id="rId2" w:history="1">
        <w:r w:rsidRPr="0066408A">
          <w:rPr>
            <w:rStyle w:val="Hyperlink"/>
            <w:rFonts w:cs="Arial"/>
            <w:sz w:val="16"/>
            <w:szCs w:val="16"/>
            <w:lang w:val="sr-Latn-ME"/>
          </w:rPr>
          <w:t>https://www.eu.me/poglavlje-19-socijalna-politika-i-zaposljavanje/</w:t>
        </w:r>
      </w:hyperlink>
    </w:p>
  </w:footnote>
  <w:footnote w:id="28">
    <w:p w14:paraId="033D4EA5" w14:textId="77777777" w:rsidR="005B7D8D" w:rsidRPr="002C7204" w:rsidRDefault="005B7D8D">
      <w:pPr>
        <w:pStyle w:val="FootnoteText"/>
        <w:rPr>
          <w:lang w:val="sr-Latn-ME"/>
        </w:rPr>
      </w:pPr>
      <w:r>
        <w:rPr>
          <w:rStyle w:val="FootnoteReference"/>
        </w:rPr>
        <w:footnoteRef/>
      </w:r>
      <w:r>
        <w:t xml:space="preserve"> </w:t>
      </w:r>
      <w:r w:rsidRPr="0066408A">
        <w:rPr>
          <w:rFonts w:cs="Arial"/>
          <w:sz w:val="16"/>
          <w:szCs w:val="16"/>
        </w:rPr>
        <w:t xml:space="preserve"> </w:t>
      </w:r>
      <w:hyperlink r:id="rId3" w:history="1">
        <w:r w:rsidRPr="0066408A">
          <w:rPr>
            <w:rFonts w:cs="Arial"/>
            <w:color w:val="0000FF"/>
            <w:sz w:val="16"/>
            <w:szCs w:val="16"/>
            <w:u w:val="single"/>
            <w:lang w:val="sr-Latn-ME"/>
          </w:rPr>
          <w:t>https://eur-lex.europa.eu/legal-content/HR/TXT/PDF/?uri=CELEX:52017IP0010</w:t>
        </w:r>
      </w:hyperlink>
    </w:p>
  </w:footnote>
  <w:footnote w:id="29">
    <w:p w14:paraId="61FEB5DA" w14:textId="77777777" w:rsidR="005B7D8D" w:rsidRPr="002C7204" w:rsidRDefault="005B7D8D">
      <w:pPr>
        <w:pStyle w:val="FootnoteText"/>
        <w:rPr>
          <w:lang w:val="sr-Latn-ME"/>
        </w:rPr>
      </w:pPr>
      <w:r>
        <w:rPr>
          <w:rStyle w:val="FootnoteReference"/>
        </w:rPr>
        <w:footnoteRef/>
      </w:r>
      <w:r>
        <w:t xml:space="preserve"> </w:t>
      </w:r>
      <w:bookmarkStart w:id="54" w:name="_Hlk166663418"/>
      <w:r w:rsidRPr="00515032">
        <w:rPr>
          <w:rFonts w:cs="Arial"/>
          <w:sz w:val="16"/>
          <w:szCs w:val="16"/>
          <w:lang w:val="sr-Latn-ME"/>
        </w:rPr>
        <w:t>Izvještaj Evropske komisije o napretku Crne Gore u procesu pristupanja EU za 2023. godinu, str. 105</w:t>
      </w:r>
      <w:bookmarkEnd w:id="54"/>
      <w:r>
        <w:rPr>
          <w:rFonts w:cs="Arial"/>
          <w:sz w:val="16"/>
          <w:szCs w:val="16"/>
          <w:lang w:val="sr-Latn-ME"/>
        </w:rPr>
        <w:t>.</w:t>
      </w:r>
    </w:p>
  </w:footnote>
  <w:footnote w:id="30">
    <w:p w14:paraId="039368F5" w14:textId="77777777" w:rsidR="005B7D8D" w:rsidRPr="002C7204" w:rsidRDefault="005B7D8D">
      <w:pPr>
        <w:pStyle w:val="FootnoteText"/>
        <w:rPr>
          <w:lang w:val="sr-Latn-ME"/>
        </w:rPr>
      </w:pPr>
      <w:r>
        <w:rPr>
          <w:rStyle w:val="FootnoteReference"/>
        </w:rPr>
        <w:footnoteRef/>
      </w:r>
      <w:r>
        <w:t xml:space="preserve"> </w:t>
      </w:r>
      <w:bookmarkStart w:id="55" w:name="_Hlk166670140"/>
      <w:bookmarkStart w:id="56" w:name="_Hlk166663456"/>
      <w:r w:rsidRPr="00515032">
        <w:rPr>
          <w:rFonts w:cs="Arial"/>
          <w:i/>
          <w:sz w:val="16"/>
          <w:szCs w:val="16"/>
          <w:lang w:val="sr-Latn-ME"/>
        </w:rPr>
        <w:t>Isto</w:t>
      </w:r>
      <w:bookmarkEnd w:id="55"/>
      <w:r w:rsidRPr="00515032">
        <w:rPr>
          <w:rFonts w:cs="Arial"/>
          <w:sz w:val="16"/>
          <w:szCs w:val="16"/>
          <w:lang w:val="sr-Latn-ME"/>
        </w:rPr>
        <w:t>, str. 107</w:t>
      </w:r>
      <w:bookmarkEnd w:id="56"/>
      <w:r>
        <w:rPr>
          <w:rFonts w:cs="Arial"/>
          <w:sz w:val="16"/>
          <w:szCs w:val="16"/>
          <w:lang w:val="sr-Latn-ME"/>
        </w:rPr>
        <w:t>.</w:t>
      </w:r>
    </w:p>
  </w:footnote>
  <w:footnote w:id="31">
    <w:p w14:paraId="492E33AE" w14:textId="77777777" w:rsidR="005B7D8D" w:rsidRPr="002C7204" w:rsidRDefault="005B7D8D">
      <w:pPr>
        <w:pStyle w:val="FootnoteText"/>
        <w:rPr>
          <w:lang w:val="sr-Latn-ME"/>
        </w:rPr>
      </w:pPr>
      <w:r>
        <w:rPr>
          <w:rStyle w:val="FootnoteReference"/>
        </w:rPr>
        <w:footnoteRef/>
      </w:r>
      <w:r>
        <w:t xml:space="preserve"> </w:t>
      </w:r>
      <w:r w:rsidRPr="00515032">
        <w:rPr>
          <w:rFonts w:cs="Arial"/>
          <w:i/>
          <w:sz w:val="16"/>
          <w:szCs w:val="16"/>
          <w:lang w:val="sr-Latn-ME"/>
        </w:rPr>
        <w:t>Isto</w:t>
      </w:r>
      <w:r>
        <w:rPr>
          <w:rFonts w:cs="Arial"/>
          <w:i/>
          <w:sz w:val="16"/>
          <w:szCs w:val="16"/>
          <w:lang w:val="sr-Latn-ME"/>
        </w:rPr>
        <w:t xml:space="preserve">, </w:t>
      </w:r>
      <w:r w:rsidRPr="002C7204">
        <w:rPr>
          <w:rFonts w:cs="Arial"/>
          <w:sz w:val="16"/>
          <w:szCs w:val="16"/>
          <w:lang w:val="sr-Latn-ME"/>
        </w:rPr>
        <w:t>str</w:t>
      </w:r>
      <w:r>
        <w:rPr>
          <w:rFonts w:cs="Arial"/>
          <w:sz w:val="16"/>
          <w:szCs w:val="16"/>
          <w:lang w:val="sr-Latn-ME"/>
        </w:rPr>
        <w:t>.</w:t>
      </w:r>
      <w:r w:rsidRPr="002C7204">
        <w:rPr>
          <w:rFonts w:cs="Arial"/>
          <w:sz w:val="16"/>
          <w:szCs w:val="16"/>
          <w:lang w:val="sr-Latn-ME"/>
        </w:rPr>
        <w:t xml:space="preserve"> 107</w:t>
      </w:r>
      <w:r>
        <w:rPr>
          <w:rFonts w:cs="Arial"/>
          <w:sz w:val="16"/>
          <w:szCs w:val="16"/>
          <w:lang w:val="sr-Latn-ME"/>
        </w:rPr>
        <w:t>.</w:t>
      </w:r>
    </w:p>
  </w:footnote>
  <w:footnote w:id="32">
    <w:p w14:paraId="0C81684A" w14:textId="77777777" w:rsidR="005B7D8D" w:rsidRPr="002C7204" w:rsidRDefault="005B7D8D">
      <w:pPr>
        <w:pStyle w:val="FootnoteText"/>
        <w:rPr>
          <w:lang w:val="sr-Latn-ME"/>
        </w:rPr>
      </w:pPr>
      <w:r>
        <w:rPr>
          <w:rStyle w:val="FootnoteReference"/>
        </w:rPr>
        <w:footnoteRef/>
      </w:r>
      <w:r>
        <w:t xml:space="preserve"> </w:t>
      </w:r>
      <w:bookmarkStart w:id="57" w:name="_Hlk166670533"/>
      <w:r w:rsidRPr="00515032">
        <w:rPr>
          <w:rFonts w:cs="Arial"/>
          <w:i/>
          <w:sz w:val="16"/>
          <w:szCs w:val="16"/>
          <w:lang w:val="sr-Latn-ME"/>
        </w:rPr>
        <w:t>Isto</w:t>
      </w:r>
      <w:r w:rsidRPr="00515032">
        <w:rPr>
          <w:rFonts w:cs="Arial"/>
          <w:sz w:val="16"/>
          <w:szCs w:val="16"/>
          <w:lang w:val="sr-Latn-ME"/>
        </w:rPr>
        <w:t>, str. 128</w:t>
      </w:r>
      <w:bookmarkEnd w:id="57"/>
      <w:r>
        <w:rPr>
          <w:rFonts w:cs="Arial"/>
          <w:sz w:val="16"/>
          <w:szCs w:val="16"/>
          <w:lang w:val="sr-Latn-ME"/>
        </w:rPr>
        <w:t>.</w:t>
      </w:r>
    </w:p>
  </w:footnote>
  <w:footnote w:id="33">
    <w:p w14:paraId="5B8A9CB3" w14:textId="77777777" w:rsidR="005B7D8D" w:rsidRPr="002C7204" w:rsidRDefault="005B7D8D">
      <w:pPr>
        <w:pStyle w:val="FootnoteText"/>
        <w:rPr>
          <w:lang w:val="sr-Latn-ME"/>
        </w:rPr>
      </w:pPr>
      <w:r>
        <w:rPr>
          <w:rStyle w:val="FootnoteReference"/>
        </w:rPr>
        <w:footnoteRef/>
      </w:r>
      <w:r>
        <w:t xml:space="preserve"> </w:t>
      </w:r>
      <w:r w:rsidRPr="00515032">
        <w:rPr>
          <w:rFonts w:cs="Arial"/>
          <w:i/>
          <w:sz w:val="16"/>
          <w:szCs w:val="16"/>
          <w:lang w:val="sr-Latn-ME"/>
        </w:rPr>
        <w:t>Isto</w:t>
      </w:r>
      <w:r w:rsidRPr="00515032">
        <w:rPr>
          <w:rFonts w:cs="Arial"/>
          <w:sz w:val="16"/>
          <w:szCs w:val="16"/>
          <w:lang w:val="sr-Latn-ME"/>
        </w:rPr>
        <w:t>, str. 107</w:t>
      </w:r>
      <w:r>
        <w:rPr>
          <w:rFonts w:cs="Arial"/>
          <w:sz w:val="16"/>
          <w:szCs w:val="16"/>
          <w:lang w:val="sr-Latn-ME"/>
        </w:rPr>
        <w:t>.</w:t>
      </w:r>
    </w:p>
  </w:footnote>
  <w:footnote w:id="34">
    <w:p w14:paraId="6FAA533F" w14:textId="77777777" w:rsidR="005B7D8D" w:rsidRPr="002C7204" w:rsidRDefault="005B7D8D">
      <w:pPr>
        <w:pStyle w:val="FootnoteText"/>
        <w:rPr>
          <w:lang w:val="sr-Latn-RS"/>
        </w:rPr>
      </w:pPr>
      <w:r>
        <w:rPr>
          <w:rStyle w:val="FootnoteReference"/>
        </w:rPr>
        <w:footnoteRef/>
      </w:r>
      <w:r>
        <w:t xml:space="preserve"> </w:t>
      </w:r>
      <w:r w:rsidRPr="002C7204">
        <w:rPr>
          <w:sz w:val="16"/>
          <w:szCs w:val="16"/>
        </w:rPr>
        <w:t xml:space="preserve">UN Ciljevi održivog razvoja do 2030. godine, </w:t>
      </w:r>
      <w:hyperlink r:id="rId4" w:history="1">
        <w:r w:rsidRPr="00B6364D">
          <w:rPr>
            <w:rStyle w:val="Hyperlink"/>
            <w:sz w:val="16"/>
            <w:szCs w:val="16"/>
          </w:rPr>
          <w:t>https://sdgs.un.org/goals</w:t>
        </w:r>
      </w:hyperlink>
      <w:r w:rsidRPr="00B6364D">
        <w:rPr>
          <w:sz w:val="16"/>
          <w:szCs w:val="16"/>
        </w:rPr>
        <w:t xml:space="preserve"> </w:t>
      </w:r>
    </w:p>
  </w:footnote>
  <w:footnote w:id="35">
    <w:p w14:paraId="74487804" w14:textId="77777777" w:rsidR="005B7D8D" w:rsidRPr="002C7204" w:rsidRDefault="005B7D8D">
      <w:pPr>
        <w:pStyle w:val="FootnoteText"/>
        <w:rPr>
          <w:lang w:val="sr-Latn-ME"/>
        </w:rPr>
      </w:pPr>
      <w:r>
        <w:rPr>
          <w:rStyle w:val="FootnoteReference"/>
        </w:rPr>
        <w:footnoteRef/>
      </w:r>
      <w:r>
        <w:t xml:space="preserve"> </w:t>
      </w:r>
      <w:r w:rsidRPr="0066408A">
        <w:rPr>
          <w:sz w:val="16"/>
          <w:szCs w:val="16"/>
        </w:rPr>
        <w:t xml:space="preserve">NVO Centar za ženska prava (2018). Konvencija Ujedinjenih nacija za otklanjanje svih oblika diskriminacije žena </w:t>
      </w:r>
      <w:r>
        <w:rPr>
          <w:rFonts w:cs="Arial"/>
          <w:sz w:val="16"/>
          <w:szCs w:val="16"/>
        </w:rPr>
        <w:t>‒</w:t>
      </w:r>
      <w:r w:rsidRPr="0066408A">
        <w:rPr>
          <w:sz w:val="16"/>
          <w:szCs w:val="16"/>
        </w:rPr>
        <w:t xml:space="preserve"> CEDAW, str. 6</w:t>
      </w:r>
      <w:r>
        <w:rPr>
          <w:sz w:val="16"/>
          <w:szCs w:val="16"/>
        </w:rPr>
        <w:t>.</w:t>
      </w:r>
    </w:p>
  </w:footnote>
  <w:footnote w:id="36">
    <w:p w14:paraId="1B313375" w14:textId="77777777" w:rsidR="005B7D8D" w:rsidRPr="002C7204" w:rsidRDefault="005B7D8D">
      <w:pPr>
        <w:pStyle w:val="FootnoteText"/>
        <w:rPr>
          <w:lang w:val="sr-Latn-ME"/>
        </w:rPr>
      </w:pPr>
      <w:r>
        <w:rPr>
          <w:rStyle w:val="FootnoteReference"/>
        </w:rPr>
        <w:footnoteRef/>
      </w:r>
      <w:r>
        <w:t xml:space="preserve"> </w:t>
      </w:r>
      <w:r w:rsidRPr="00B6364D">
        <w:rPr>
          <w:iCs/>
          <w:sz w:val="16"/>
          <w:szCs w:val="16"/>
          <w:lang w:val="sr-Latn-ME"/>
        </w:rPr>
        <w:t>Isto</w:t>
      </w:r>
      <w:r>
        <w:rPr>
          <w:i/>
          <w:sz w:val="16"/>
          <w:szCs w:val="16"/>
          <w:lang w:val="sr-Latn-ME"/>
        </w:rPr>
        <w:t>.</w:t>
      </w:r>
    </w:p>
  </w:footnote>
  <w:footnote w:id="37">
    <w:p w14:paraId="498FC8AD" w14:textId="77777777" w:rsidR="005B7D8D" w:rsidRPr="002C7204" w:rsidRDefault="005B7D8D">
      <w:pPr>
        <w:pStyle w:val="FootnoteText"/>
        <w:rPr>
          <w:lang w:val="sr-Latn-ME"/>
        </w:rPr>
      </w:pPr>
      <w:r>
        <w:rPr>
          <w:rStyle w:val="FootnoteReference"/>
        </w:rPr>
        <w:footnoteRef/>
      </w:r>
      <w:r>
        <w:t xml:space="preserve"> </w:t>
      </w:r>
      <w:hyperlink r:id="rId5" w:history="1">
        <w:r w:rsidRPr="0066408A">
          <w:rPr>
            <w:rStyle w:val="Hyperlink"/>
            <w:rFonts w:cs="Arial"/>
            <w:sz w:val="16"/>
            <w:szCs w:val="16"/>
            <w:lang w:val="sr-Latn-ME"/>
          </w:rPr>
          <w:t>https://usscg.me/2023/02/28/u-budvi-odrzan-sastanak-radnog-tima-za-uvodenje-i-implementacijua-programa-garancija-za-mlade/</w:t>
        </w:r>
      </w:hyperlink>
    </w:p>
  </w:footnote>
  <w:footnote w:id="38">
    <w:p w14:paraId="2C125F07" w14:textId="77777777" w:rsidR="005B7D8D" w:rsidRPr="002C7204" w:rsidRDefault="005B7D8D">
      <w:pPr>
        <w:pStyle w:val="FootnoteText"/>
        <w:rPr>
          <w:lang w:val="sr-Latn-ME"/>
        </w:rPr>
      </w:pPr>
      <w:r>
        <w:rPr>
          <w:rStyle w:val="FootnoteReference"/>
        </w:rPr>
        <w:footnoteRef/>
      </w:r>
      <w:r>
        <w:t xml:space="preserve"> </w:t>
      </w:r>
      <w:bookmarkStart w:id="58" w:name="_Hlk166663994"/>
      <w:r w:rsidRPr="00B6364D">
        <w:rPr>
          <w:rFonts w:cs="Arial"/>
          <w:iCs/>
          <w:sz w:val="16"/>
          <w:szCs w:val="16"/>
          <w:lang w:val="sr-Latn-ME"/>
        </w:rPr>
        <w:t>Isto</w:t>
      </w:r>
      <w:bookmarkEnd w:id="58"/>
      <w:r>
        <w:rPr>
          <w:rFonts w:cs="Arial"/>
          <w:i/>
          <w:sz w:val="16"/>
          <w:szCs w:val="16"/>
          <w:lang w:val="sr-Latn-ME"/>
        </w:rPr>
        <w:t>.</w:t>
      </w:r>
    </w:p>
  </w:footnote>
  <w:footnote w:id="39">
    <w:p w14:paraId="57D462A3" w14:textId="77777777" w:rsidR="005B7D8D" w:rsidRPr="00617C47" w:rsidRDefault="005B7D8D" w:rsidP="00FD7ACA">
      <w:pPr>
        <w:pStyle w:val="FootnoteText"/>
        <w:rPr>
          <w:sz w:val="16"/>
          <w:szCs w:val="16"/>
          <w:lang w:val="sr-Latn-ME"/>
        </w:rPr>
      </w:pPr>
      <w:r>
        <w:rPr>
          <w:rStyle w:val="FootnoteReference"/>
        </w:rPr>
        <w:footnoteRef/>
      </w:r>
      <w:r>
        <w:t xml:space="preserve"> </w:t>
      </w:r>
      <w:r w:rsidRPr="00617C47">
        <w:rPr>
          <w:rFonts w:cs="Arial"/>
          <w:sz w:val="16"/>
          <w:szCs w:val="16"/>
          <w:lang w:val="sr-Latn-ME"/>
        </w:rPr>
        <w:t xml:space="preserve">JU Dom starih </w:t>
      </w:r>
      <w:r>
        <w:rPr>
          <w:rFonts w:cs="Arial"/>
          <w:sz w:val="16"/>
          <w:szCs w:val="16"/>
          <w:lang w:val="sr-Latn-ME"/>
        </w:rPr>
        <w:t>„</w:t>
      </w:r>
      <w:r w:rsidRPr="00617C47">
        <w:rPr>
          <w:rFonts w:cs="Arial"/>
          <w:sz w:val="16"/>
          <w:szCs w:val="16"/>
          <w:lang w:val="sr-Latn-ME"/>
        </w:rPr>
        <w:t>Podgorica</w:t>
      </w:r>
      <w:r>
        <w:rPr>
          <w:rFonts w:cs="Arial"/>
          <w:sz w:val="16"/>
          <w:szCs w:val="16"/>
          <w:lang w:val="sr-Latn-ME"/>
        </w:rPr>
        <w:t xml:space="preserve">“ </w:t>
      </w:r>
      <w:r w:rsidRPr="00617C47">
        <w:rPr>
          <w:rFonts w:cs="Arial"/>
          <w:sz w:val="16"/>
          <w:szCs w:val="16"/>
          <w:lang w:val="sr-Latn-ME"/>
        </w:rPr>
        <w:t xml:space="preserve">(2021). Strategija razvoja JU Dom starih </w:t>
      </w:r>
      <w:r>
        <w:rPr>
          <w:rFonts w:cs="Arial"/>
          <w:sz w:val="16"/>
          <w:szCs w:val="16"/>
          <w:lang w:val="sr-Latn-ME"/>
        </w:rPr>
        <w:t>„</w:t>
      </w:r>
      <w:r w:rsidRPr="00617C47">
        <w:rPr>
          <w:rFonts w:cs="Arial"/>
          <w:sz w:val="16"/>
          <w:szCs w:val="16"/>
          <w:lang w:val="sr-Latn-ME"/>
        </w:rPr>
        <w:t>Podgorica</w:t>
      </w:r>
      <w:r w:rsidRPr="00017587">
        <w:rPr>
          <w:rFonts w:eastAsia="Times New Roman" w:cs="Arial"/>
          <w:sz w:val="24"/>
          <w:szCs w:val="24"/>
          <w:lang w:val="sr-Latn-ME"/>
        </w:rPr>
        <w:t xml:space="preserve"> </w:t>
      </w:r>
      <w:r w:rsidRPr="00017587">
        <w:rPr>
          <w:rFonts w:cs="Arial"/>
          <w:sz w:val="16"/>
          <w:szCs w:val="16"/>
          <w:lang w:val="sr-Latn-ME"/>
        </w:rPr>
        <w:t>”</w:t>
      </w:r>
      <w:r w:rsidRPr="00617C47">
        <w:rPr>
          <w:rFonts w:cs="Arial"/>
          <w:sz w:val="16"/>
          <w:szCs w:val="16"/>
          <w:lang w:val="sr-Latn-ME"/>
        </w:rPr>
        <w:t xml:space="preserve"> za period 2020–2024. godine, str. 2–3.</w:t>
      </w:r>
    </w:p>
    <w:p w14:paraId="09D8F1EB" w14:textId="77777777" w:rsidR="005B7D8D" w:rsidRPr="002C7204" w:rsidRDefault="005B7D8D">
      <w:pPr>
        <w:pStyle w:val="FootnoteText"/>
        <w:rPr>
          <w:lang w:val="sr-Latn-ME"/>
        </w:rPr>
      </w:pPr>
    </w:p>
  </w:footnote>
  <w:footnote w:id="40">
    <w:p w14:paraId="62C56AA8" w14:textId="77777777" w:rsidR="005B7D8D" w:rsidRPr="002C7204" w:rsidRDefault="005B7D8D">
      <w:pPr>
        <w:pStyle w:val="FootnoteText"/>
        <w:rPr>
          <w:lang w:val="sr-Latn-ME"/>
        </w:rPr>
      </w:pPr>
      <w:r>
        <w:rPr>
          <w:rStyle w:val="FootnoteReference"/>
        </w:rPr>
        <w:footnoteRef/>
      </w:r>
      <w:r>
        <w:t xml:space="preserve"> </w:t>
      </w:r>
      <w:r w:rsidRPr="00617C47">
        <w:rPr>
          <w:rFonts w:cs="Arial"/>
          <w:sz w:val="16"/>
          <w:szCs w:val="16"/>
          <w:lang w:val="sr-Latn-ME"/>
        </w:rPr>
        <w:t>Ministarstvo rada i socijalnog staranja, Vlada Crne Gore (2017). Strategija razvoja sistema socijalne i dječje zaštite za period od 2018. do 2022. godine, str. 5</w:t>
      </w:r>
      <w:r>
        <w:rPr>
          <w:rFonts w:cs="Arial"/>
          <w:sz w:val="16"/>
          <w:szCs w:val="16"/>
          <w:lang w:val="sr-Latn-ME"/>
        </w:rPr>
        <w:t>.</w:t>
      </w:r>
    </w:p>
  </w:footnote>
  <w:footnote w:id="41">
    <w:p w14:paraId="4A99A844" w14:textId="77777777" w:rsidR="005B7D8D" w:rsidRPr="002C7204" w:rsidRDefault="005B7D8D">
      <w:pPr>
        <w:pStyle w:val="FootnoteText"/>
        <w:rPr>
          <w:lang w:val="sr-Latn-ME"/>
        </w:rPr>
      </w:pPr>
      <w:r>
        <w:rPr>
          <w:rStyle w:val="FootnoteReference"/>
        </w:rPr>
        <w:footnoteRef/>
      </w:r>
      <w:r>
        <w:t xml:space="preserve"> </w:t>
      </w:r>
      <w:bookmarkStart w:id="59" w:name="_Hlk166664151"/>
      <w:r w:rsidRPr="00B6364D">
        <w:rPr>
          <w:rFonts w:cs="Arial"/>
          <w:iCs/>
          <w:sz w:val="16"/>
          <w:szCs w:val="16"/>
          <w:lang w:val="sr-Latn-ME"/>
        </w:rPr>
        <w:t>Isto</w:t>
      </w:r>
      <w:r w:rsidRPr="00302441">
        <w:rPr>
          <w:rFonts w:cs="Arial"/>
          <w:sz w:val="16"/>
          <w:szCs w:val="16"/>
          <w:lang w:val="sr-Latn-ME"/>
        </w:rPr>
        <w:t>, str. 7</w:t>
      </w:r>
      <w:bookmarkEnd w:id="59"/>
      <w:r>
        <w:rPr>
          <w:rFonts w:cs="Arial"/>
          <w:sz w:val="16"/>
          <w:szCs w:val="16"/>
          <w:lang w:val="sr-Latn-ME"/>
        </w:rPr>
        <w:t>.</w:t>
      </w:r>
    </w:p>
  </w:footnote>
  <w:footnote w:id="42">
    <w:p w14:paraId="03D90E80" w14:textId="77777777" w:rsidR="005B7D8D" w:rsidRPr="002C7204" w:rsidRDefault="005B7D8D">
      <w:pPr>
        <w:pStyle w:val="FootnoteText"/>
        <w:rPr>
          <w:lang w:val="sr-Latn-ME"/>
        </w:rPr>
      </w:pPr>
      <w:r>
        <w:rPr>
          <w:rStyle w:val="FootnoteReference"/>
        </w:rPr>
        <w:footnoteRef/>
      </w:r>
      <w:r>
        <w:t xml:space="preserve"> </w:t>
      </w:r>
      <w:bookmarkStart w:id="60" w:name="_Hlk166664162"/>
      <w:r w:rsidRPr="00B6364D">
        <w:rPr>
          <w:rFonts w:cs="Arial"/>
          <w:iCs/>
          <w:sz w:val="16"/>
          <w:szCs w:val="16"/>
          <w:lang w:val="sr-Latn-ME"/>
        </w:rPr>
        <w:t>Isto</w:t>
      </w:r>
      <w:bookmarkEnd w:id="60"/>
      <w:r>
        <w:rPr>
          <w:rFonts w:cs="Arial"/>
          <w:i/>
          <w:sz w:val="16"/>
          <w:szCs w:val="16"/>
          <w:lang w:val="sr-Latn-ME"/>
        </w:rPr>
        <w:t>.</w:t>
      </w:r>
    </w:p>
  </w:footnote>
  <w:footnote w:id="43">
    <w:p w14:paraId="390DF727" w14:textId="77777777" w:rsidR="005B7D8D" w:rsidRPr="005D144C" w:rsidRDefault="005B7D8D" w:rsidP="002B4243">
      <w:pPr>
        <w:pStyle w:val="FootnoteText"/>
        <w:rPr>
          <w:rFonts w:cs="Arial"/>
          <w:sz w:val="16"/>
          <w:szCs w:val="16"/>
          <w:lang w:val="sr-Latn-RS"/>
        </w:rPr>
      </w:pPr>
      <w:r w:rsidRPr="005D144C">
        <w:rPr>
          <w:rStyle w:val="FootnoteReference"/>
          <w:rFonts w:cs="Arial"/>
          <w:sz w:val="16"/>
          <w:szCs w:val="16"/>
        </w:rPr>
        <w:footnoteRef/>
      </w:r>
      <w:r w:rsidRPr="005D144C">
        <w:rPr>
          <w:rFonts w:cs="Arial"/>
          <w:sz w:val="16"/>
          <w:szCs w:val="16"/>
        </w:rPr>
        <w:t xml:space="preserve"> </w:t>
      </w:r>
      <w:r w:rsidRPr="005D144C">
        <w:rPr>
          <w:rFonts w:cs="Arial"/>
          <w:sz w:val="16"/>
          <w:szCs w:val="16"/>
          <w:lang w:val="sr-Latn-CS"/>
        </w:rPr>
        <w:t>„Službeni list Crne Gore“ br. 27/13, 001/15, 042/15, 047/15, 056/16, 066/16, 001/17, 031/17, 042/17, 050/17, 059/21, 145/21, 3/23</w:t>
      </w:r>
    </w:p>
  </w:footnote>
  <w:footnote w:id="44">
    <w:p w14:paraId="67CF64EA" w14:textId="77777777" w:rsidR="005B7D8D" w:rsidRPr="005D144C" w:rsidRDefault="005B7D8D" w:rsidP="002B4243">
      <w:pPr>
        <w:pStyle w:val="FootnoteText"/>
        <w:rPr>
          <w:rFonts w:cs="Arial"/>
          <w:sz w:val="16"/>
          <w:szCs w:val="16"/>
        </w:rPr>
      </w:pPr>
      <w:r w:rsidRPr="005D144C">
        <w:rPr>
          <w:rStyle w:val="FootnoteReference"/>
          <w:rFonts w:cs="Arial"/>
          <w:sz w:val="16"/>
          <w:szCs w:val="16"/>
        </w:rPr>
        <w:footnoteRef/>
      </w:r>
      <w:r w:rsidRPr="005D144C">
        <w:rPr>
          <w:rFonts w:cs="Arial"/>
          <w:sz w:val="16"/>
          <w:szCs w:val="16"/>
        </w:rPr>
        <w:t xml:space="preserve"> Program ekonomskih reformi Crne Gore za period 2023</w:t>
      </w:r>
      <w:r>
        <w:rPr>
          <w:rFonts w:cs="Arial"/>
          <w:sz w:val="16"/>
          <w:szCs w:val="16"/>
        </w:rPr>
        <w:t>‒</w:t>
      </w:r>
      <w:r w:rsidRPr="005D144C">
        <w:rPr>
          <w:rFonts w:cs="Arial"/>
          <w:sz w:val="16"/>
          <w:szCs w:val="16"/>
        </w:rPr>
        <w:t xml:space="preserve">2025. </w:t>
      </w:r>
      <w:r>
        <w:rPr>
          <w:rFonts w:cs="Arial"/>
          <w:sz w:val="16"/>
          <w:szCs w:val="16"/>
        </w:rPr>
        <w:t>g</w:t>
      </w:r>
      <w:r w:rsidRPr="005D144C">
        <w:rPr>
          <w:rFonts w:cs="Arial"/>
          <w:sz w:val="16"/>
          <w:szCs w:val="16"/>
        </w:rPr>
        <w:t>odine, Vlada Crne Gore, Reformska mjera 5</w:t>
      </w:r>
      <w:r w:rsidRPr="005D144C">
        <w:rPr>
          <w:rFonts w:cs="Arial"/>
          <w:sz w:val="16"/>
          <w:szCs w:val="16"/>
          <w:lang w:val="sr-Latn-ME"/>
        </w:rPr>
        <w:t xml:space="preserve">, </w:t>
      </w:r>
      <w:r w:rsidRPr="005D144C">
        <w:rPr>
          <w:rFonts w:cs="Arial"/>
          <w:sz w:val="16"/>
          <w:szCs w:val="16"/>
        </w:rPr>
        <w:t xml:space="preserve">2023. </w:t>
      </w:r>
    </w:p>
  </w:footnote>
  <w:footnote w:id="45">
    <w:p w14:paraId="1A5F455E" w14:textId="77777777" w:rsidR="005B7D8D" w:rsidRPr="005D144C" w:rsidRDefault="005B7D8D" w:rsidP="002B4243">
      <w:pPr>
        <w:pStyle w:val="FootnoteText"/>
        <w:rPr>
          <w:rFonts w:cs="Arial"/>
          <w:sz w:val="16"/>
          <w:szCs w:val="16"/>
          <w:lang w:val="sr-Latn-RS"/>
        </w:rPr>
      </w:pPr>
      <w:r w:rsidRPr="005D144C">
        <w:rPr>
          <w:rStyle w:val="FootnoteReference"/>
          <w:rFonts w:cs="Arial"/>
          <w:sz w:val="16"/>
          <w:szCs w:val="16"/>
        </w:rPr>
        <w:footnoteRef/>
      </w:r>
      <w:r w:rsidRPr="005D144C">
        <w:rPr>
          <w:rFonts w:cs="Arial"/>
          <w:sz w:val="16"/>
          <w:szCs w:val="16"/>
        </w:rPr>
        <w:t xml:space="preserve"> </w:t>
      </w:r>
      <w:r>
        <w:rPr>
          <w:rFonts w:cs="Arial"/>
          <w:sz w:val="16"/>
          <w:szCs w:val="16"/>
        </w:rPr>
        <w:t xml:space="preserve">Žarko </w:t>
      </w:r>
      <w:r w:rsidRPr="005D144C">
        <w:rPr>
          <w:rFonts w:cs="Arial"/>
          <w:sz w:val="16"/>
          <w:szCs w:val="16"/>
        </w:rPr>
        <w:t>Šunderić</w:t>
      </w:r>
      <w:r>
        <w:rPr>
          <w:rFonts w:cs="Arial"/>
          <w:sz w:val="16"/>
          <w:szCs w:val="16"/>
        </w:rPr>
        <w:t xml:space="preserve">, </w:t>
      </w:r>
      <w:r w:rsidRPr="005D144C">
        <w:rPr>
          <w:rFonts w:cs="Arial"/>
          <w:sz w:val="16"/>
          <w:szCs w:val="16"/>
        </w:rPr>
        <w:t>Evaluacija sprovođenja Strategije razvoja socijalne i dječje zaštite u Crnoj Gori za period od 2018. do 2022. godine, 2021</w:t>
      </w:r>
    </w:p>
  </w:footnote>
  <w:footnote w:id="46">
    <w:p w14:paraId="53F4F140" w14:textId="77777777" w:rsidR="005B7D8D" w:rsidRPr="006F56C3" w:rsidRDefault="005B7D8D" w:rsidP="006F56C3">
      <w:pPr>
        <w:pStyle w:val="FootnoteText"/>
      </w:pPr>
      <w:r>
        <w:rPr>
          <w:rStyle w:val="FootnoteReference"/>
        </w:rPr>
        <w:footnoteRef/>
      </w:r>
      <w:r>
        <w:t xml:space="preserve"> </w:t>
      </w:r>
      <w:r>
        <w:rPr>
          <w:sz w:val="16"/>
          <w:szCs w:val="16"/>
        </w:rPr>
        <w:t>Analiza</w:t>
      </w:r>
      <w:r w:rsidRPr="006F56C3">
        <w:rPr>
          <w:sz w:val="16"/>
          <w:szCs w:val="16"/>
        </w:rPr>
        <w:t xml:space="preserve"> o sredstvima koj</w:t>
      </w:r>
      <w:r>
        <w:rPr>
          <w:sz w:val="16"/>
          <w:szCs w:val="16"/>
        </w:rPr>
        <w:t>a</w:t>
      </w:r>
      <w:r w:rsidRPr="006F56C3">
        <w:rPr>
          <w:sz w:val="16"/>
          <w:szCs w:val="16"/>
        </w:rPr>
        <w:t xml:space="preserve"> su izdvajale jedinice lokalne samouprave za usluge i davanja iz oblasti socijalne i dječj</w:t>
      </w:r>
      <w:r>
        <w:rPr>
          <w:sz w:val="16"/>
          <w:szCs w:val="16"/>
        </w:rPr>
        <w:t>e zaštite za period 2020</w:t>
      </w:r>
      <w:r>
        <w:rPr>
          <w:rFonts w:cs="Arial"/>
          <w:sz w:val="16"/>
          <w:szCs w:val="16"/>
        </w:rPr>
        <w:t>‒</w:t>
      </w:r>
      <w:r>
        <w:rPr>
          <w:sz w:val="16"/>
          <w:szCs w:val="16"/>
        </w:rPr>
        <w:t>2022. g</w:t>
      </w:r>
      <w:r w:rsidRPr="006F56C3">
        <w:rPr>
          <w:sz w:val="16"/>
          <w:szCs w:val="16"/>
        </w:rPr>
        <w:t>odine</w:t>
      </w:r>
      <w:r>
        <w:rPr>
          <w:sz w:val="16"/>
          <w:szCs w:val="16"/>
        </w:rPr>
        <w:t>, Zajednica opština Crne Gore, Odbor za društvene djelatnosti (2023).</w:t>
      </w:r>
    </w:p>
  </w:footnote>
  <w:footnote w:id="47">
    <w:p w14:paraId="76D816BD" w14:textId="77777777" w:rsidR="005B7D8D" w:rsidRPr="00491352" w:rsidRDefault="005B7D8D" w:rsidP="002B4243">
      <w:pPr>
        <w:pStyle w:val="NormalWeb"/>
        <w:rPr>
          <w:rFonts w:ascii="Arial" w:hAnsi="Arial" w:cs="Arial"/>
          <w:sz w:val="16"/>
          <w:szCs w:val="16"/>
        </w:rPr>
      </w:pPr>
      <w:r w:rsidRPr="00491352">
        <w:rPr>
          <w:rStyle w:val="FootnoteReference"/>
          <w:rFonts w:ascii="Arial" w:hAnsi="Arial" w:cs="Arial"/>
          <w:sz w:val="16"/>
          <w:szCs w:val="16"/>
        </w:rPr>
        <w:footnoteRef/>
      </w:r>
      <w:r w:rsidRPr="00491352">
        <w:rPr>
          <w:rFonts w:ascii="Arial" w:hAnsi="Arial" w:cs="Arial"/>
          <w:sz w:val="16"/>
          <w:szCs w:val="16"/>
        </w:rPr>
        <w:t xml:space="preserve"> </w:t>
      </w:r>
      <w:hyperlink r:id="rId6" w:history="1">
        <w:r w:rsidRPr="00491352">
          <w:rPr>
            <w:rStyle w:val="Hyperlink"/>
            <w:rFonts w:ascii="Arial" w:hAnsi="Arial" w:cs="Arial"/>
            <w:sz w:val="16"/>
            <w:szCs w:val="16"/>
          </w:rPr>
          <w:t>http://eesp.me/wp-content/uploads/2021/12/Pravci-promjena-u-programima-SDZ-MNE-FINAL.doc</w:t>
        </w:r>
      </w:hyperlink>
      <w:r w:rsidRPr="00491352">
        <w:rPr>
          <w:rFonts w:ascii="Arial" w:hAnsi="Arial" w:cs="Arial"/>
          <w:sz w:val="16"/>
          <w:szCs w:val="16"/>
        </w:rPr>
        <w:t xml:space="preserve"> </w:t>
      </w:r>
    </w:p>
  </w:footnote>
  <w:footnote w:id="48">
    <w:p w14:paraId="5AED3F7A" w14:textId="77777777" w:rsidR="005B7D8D" w:rsidRPr="00491352" w:rsidRDefault="005B7D8D" w:rsidP="002C7D71">
      <w:pPr>
        <w:rPr>
          <w:rFonts w:eastAsia="Times New Roman" w:cs="Arial"/>
          <w:sz w:val="16"/>
          <w:szCs w:val="16"/>
          <w:lang w:eastAsia="en-GB"/>
        </w:rPr>
      </w:pPr>
      <w:r w:rsidRPr="00491352">
        <w:rPr>
          <w:rStyle w:val="FootnoteReference"/>
          <w:rFonts w:cs="Arial"/>
          <w:sz w:val="16"/>
          <w:szCs w:val="16"/>
        </w:rPr>
        <w:footnoteRef/>
      </w:r>
      <w:r w:rsidRPr="00491352">
        <w:rPr>
          <w:rFonts w:cs="Arial"/>
          <w:sz w:val="16"/>
          <w:szCs w:val="16"/>
        </w:rPr>
        <w:t xml:space="preserve"> </w:t>
      </w:r>
      <w:r w:rsidRPr="00491352">
        <w:rPr>
          <w:rFonts w:eastAsia="Times New Roman" w:cs="Arial"/>
          <w:sz w:val="16"/>
          <w:szCs w:val="16"/>
          <w:lang w:eastAsia="en-GB"/>
        </w:rPr>
        <w:t>Stopa rizika od siromaštva u 2022. godini iznosila je 20,3%, što pokazuje procenat lica čiji je ekvivalentni raspoloživi dohodak is</w:t>
      </w:r>
      <w:r>
        <w:rPr>
          <w:rFonts w:eastAsia="Times New Roman" w:cs="Arial"/>
          <w:sz w:val="16"/>
          <w:szCs w:val="16"/>
          <w:lang w:eastAsia="en-GB"/>
        </w:rPr>
        <w:t>pod praga rizika od siromaštva.</w:t>
      </w:r>
    </w:p>
  </w:footnote>
  <w:footnote w:id="49">
    <w:p w14:paraId="5AA91E09" w14:textId="77777777" w:rsidR="005B7D8D" w:rsidRPr="00491352" w:rsidRDefault="005B7D8D" w:rsidP="002C7D71">
      <w:pPr>
        <w:pStyle w:val="FootnoteText"/>
        <w:rPr>
          <w:rFonts w:cs="Arial"/>
          <w:sz w:val="16"/>
          <w:szCs w:val="16"/>
          <w:lang w:val="sr-Latn-BA"/>
        </w:rPr>
      </w:pPr>
      <w:r w:rsidRPr="00491352">
        <w:rPr>
          <w:rStyle w:val="FootnoteReference"/>
          <w:rFonts w:cs="Arial"/>
          <w:sz w:val="16"/>
          <w:szCs w:val="16"/>
        </w:rPr>
        <w:footnoteRef/>
      </w:r>
      <w:hyperlink r:id="rId7" w:history="1">
        <w:r w:rsidRPr="00491352">
          <w:rPr>
            <w:rStyle w:val="Hyperlink"/>
            <w:rFonts w:cs="Arial"/>
            <w:sz w:val="16"/>
            <w:szCs w:val="16"/>
            <w:lang w:val="sr-Latn-RS"/>
          </w:rPr>
          <w:t>https://www.monstat.org/uploads/files/SILC/2022/Saop%C5%A1tenje_Anketa_o_dohotku_i_uslovima_%C5%BEivota_EU-SILC_2022.pdf</w:t>
        </w:r>
      </w:hyperlink>
      <w:r w:rsidRPr="00491352">
        <w:rPr>
          <w:rFonts w:cs="Arial"/>
          <w:sz w:val="16"/>
          <w:szCs w:val="16"/>
          <w:lang w:val="sr-Latn-RS"/>
        </w:rPr>
        <w:t xml:space="preserve"> </w:t>
      </w:r>
    </w:p>
  </w:footnote>
  <w:footnote w:id="50">
    <w:p w14:paraId="24F21CA2" w14:textId="77777777" w:rsidR="005B7D8D" w:rsidRPr="00491352" w:rsidRDefault="005B7D8D">
      <w:pPr>
        <w:pStyle w:val="FootnoteText"/>
        <w:rPr>
          <w:rFonts w:cs="Arial"/>
          <w:sz w:val="16"/>
          <w:szCs w:val="16"/>
          <w:lang w:val="sr-Latn-ME"/>
        </w:rPr>
      </w:pPr>
      <w:r w:rsidRPr="00491352">
        <w:rPr>
          <w:rStyle w:val="FootnoteReference"/>
          <w:rFonts w:cs="Arial"/>
          <w:sz w:val="16"/>
          <w:szCs w:val="16"/>
        </w:rPr>
        <w:footnoteRef/>
      </w:r>
      <w:r w:rsidRPr="00491352">
        <w:rPr>
          <w:rFonts w:cs="Arial"/>
          <w:sz w:val="16"/>
          <w:szCs w:val="16"/>
        </w:rPr>
        <w:t xml:space="preserve"> </w:t>
      </w:r>
      <w:hyperlink r:id="rId8" w:history="1">
        <w:r w:rsidRPr="00491352">
          <w:rPr>
            <w:rStyle w:val="Hyperlink"/>
            <w:rFonts w:cs="Arial"/>
            <w:sz w:val="16"/>
            <w:szCs w:val="16"/>
          </w:rPr>
          <w:t>https://www.monstat.org/uploads/files/SILC/2022/Saop%C5%A1tenje_Anketa_o_dohotku_i_uslovima_%C5%BEivota_EU-SILC_2022.pdf</w:t>
        </w:r>
      </w:hyperlink>
    </w:p>
  </w:footnote>
  <w:footnote w:id="51">
    <w:p w14:paraId="774132C3" w14:textId="77777777" w:rsidR="005B7D8D" w:rsidRPr="006A23FA" w:rsidRDefault="005B7D8D">
      <w:pPr>
        <w:pStyle w:val="FootnoteText"/>
        <w:rPr>
          <w:lang w:val="sr-Latn-ME"/>
        </w:rPr>
      </w:pPr>
      <w:r>
        <w:rPr>
          <w:rStyle w:val="FootnoteReference"/>
        </w:rPr>
        <w:footnoteRef/>
      </w:r>
      <w:r>
        <w:rPr>
          <w:sz w:val="16"/>
        </w:rPr>
        <w:t xml:space="preserve"> </w:t>
      </w:r>
      <w:hyperlink r:id="rId9" w:history="1">
        <w:r w:rsidRPr="00FE0CEA">
          <w:rPr>
            <w:rStyle w:val="Hyperlink"/>
            <w:sz w:val="16"/>
          </w:rPr>
          <w:t>https://www.monstat.org/uploads/files/SILC/2022/Saop%C5%A1tenje_Anketa_o_dohotku_i_uslovima_%C5%BEivota_EU-SILC_2022.pdf</w:t>
        </w:r>
      </w:hyperlink>
      <w:r w:rsidRPr="006A23FA">
        <w:rPr>
          <w:sz w:val="16"/>
        </w:rPr>
        <w:t xml:space="preserve"> </w:t>
      </w:r>
    </w:p>
  </w:footnote>
  <w:footnote w:id="52">
    <w:p w14:paraId="1B4560B9" w14:textId="77777777" w:rsidR="005B7D8D" w:rsidRDefault="005B7D8D" w:rsidP="00427B5E">
      <w:pPr>
        <w:pStyle w:val="FootnoteText"/>
        <w:rPr>
          <w:rFonts w:cs="Arial"/>
          <w:sz w:val="16"/>
          <w:szCs w:val="16"/>
          <w:lang w:val="sr-Latn-ME"/>
        </w:rPr>
      </w:pPr>
      <w:r>
        <w:rPr>
          <w:rStyle w:val="FootnoteReference"/>
          <w:rFonts w:cs="Arial"/>
          <w:sz w:val="16"/>
          <w:szCs w:val="16"/>
        </w:rPr>
        <w:footnoteRef/>
      </w:r>
      <w:bookmarkStart w:id="72" w:name="_Hlk168050527"/>
      <w:r>
        <w:fldChar w:fldCharType="begin"/>
      </w:r>
      <w:r>
        <w:instrText xml:space="preserve"> HYPERLINK "https://www.monstat.org/uploads/files/SILC/2022/Saop%C5%A1tenje_Anketa_o_dohotku_i_uslovima_%C5%BEivota_EU-SILC_2022.pdf" </w:instrText>
      </w:r>
      <w:r>
        <w:fldChar w:fldCharType="separate"/>
      </w:r>
      <w:r>
        <w:rPr>
          <w:rStyle w:val="Hyperlink"/>
          <w:rFonts w:cs="Arial"/>
          <w:sz w:val="16"/>
          <w:szCs w:val="16"/>
        </w:rPr>
        <w:t>https://www.monstat.org/uploads/files/SILC/2022/Saop%C5%A1tenje_Anketa_o_dohotku_i_uslovima_%C5%BEivota_EU-SILC_2022.pdf</w:t>
      </w:r>
      <w:r>
        <w:fldChar w:fldCharType="end"/>
      </w:r>
      <w:bookmarkEnd w:id="72"/>
    </w:p>
  </w:footnote>
  <w:footnote w:id="53">
    <w:p w14:paraId="4F9C52AD" w14:textId="77777777" w:rsidR="005B7D8D" w:rsidRPr="00491352" w:rsidRDefault="005B7D8D" w:rsidP="00E16213">
      <w:pPr>
        <w:pStyle w:val="FootnoteText"/>
        <w:rPr>
          <w:rFonts w:cs="Arial"/>
          <w:sz w:val="16"/>
          <w:szCs w:val="16"/>
        </w:rPr>
      </w:pPr>
      <w:r w:rsidRPr="00491352">
        <w:rPr>
          <w:rStyle w:val="FootnoteReference"/>
          <w:rFonts w:cs="Arial"/>
          <w:sz w:val="16"/>
          <w:szCs w:val="16"/>
        </w:rPr>
        <w:footnoteRef/>
      </w:r>
      <w:hyperlink r:id="rId10" w:history="1">
        <w:r w:rsidRPr="00491352">
          <w:rPr>
            <w:rStyle w:val="Hyperlink"/>
            <w:rFonts w:cs="Arial"/>
            <w:sz w:val="16"/>
            <w:szCs w:val="16"/>
          </w:rPr>
          <w:t>https://www.monstat.org/uploads/files/SILC/2022/Saop%C5%A1tenje_Anketa_o_dohotku_i_uslovima_%C5%BEivota_EU-SILC_2022.pdf</w:t>
        </w:r>
      </w:hyperlink>
      <w:r w:rsidRPr="00491352">
        <w:rPr>
          <w:rFonts w:cs="Arial"/>
          <w:sz w:val="16"/>
          <w:szCs w:val="16"/>
        </w:rPr>
        <w:t xml:space="preserve"> </w:t>
      </w:r>
    </w:p>
    <w:p w14:paraId="3B1C9CE7" w14:textId="77777777" w:rsidR="005B7D8D" w:rsidRPr="00491352" w:rsidRDefault="005B7D8D" w:rsidP="008553BD">
      <w:pPr>
        <w:pStyle w:val="FootnoteText"/>
        <w:rPr>
          <w:rFonts w:cs="Arial"/>
          <w:sz w:val="16"/>
          <w:szCs w:val="16"/>
          <w:lang w:val="sr-Latn-ME"/>
        </w:rPr>
      </w:pPr>
      <w:r w:rsidRPr="00491352">
        <w:rPr>
          <w:rStyle w:val="FootnoteReference"/>
          <w:rFonts w:cs="Arial"/>
          <w:sz w:val="16"/>
          <w:szCs w:val="16"/>
        </w:rPr>
        <w:footnoteRef/>
      </w:r>
      <w:hyperlink r:id="rId11" w:history="1">
        <w:r w:rsidRPr="00491352">
          <w:rPr>
            <w:rStyle w:val="Hyperlink"/>
            <w:rFonts w:cs="Arial"/>
            <w:sz w:val="16"/>
            <w:szCs w:val="16"/>
          </w:rPr>
          <w:t>https://www.monstat.org/uploads/files/SILC/2022/Saop%C5%A1tenje_Anketa_o_dohotku_i_uslovima_%C5%BEivota_EU-SILC_2022.pdf</w:t>
        </w:r>
      </w:hyperlink>
    </w:p>
    <w:p w14:paraId="53BC0C87" w14:textId="77777777" w:rsidR="005B7D8D" w:rsidRPr="00953BB7" w:rsidRDefault="005B7D8D" w:rsidP="00D85B56">
      <w:pPr>
        <w:pStyle w:val="FootnoteText"/>
        <w:jc w:val="both"/>
        <w:rPr>
          <w:lang w:val="sr-Latn-BA"/>
        </w:rPr>
      </w:pPr>
      <w:r w:rsidRPr="00491352">
        <w:rPr>
          <w:rStyle w:val="FootnoteReference"/>
          <w:rFonts w:cs="Arial"/>
          <w:sz w:val="16"/>
          <w:szCs w:val="16"/>
        </w:rPr>
        <w:footnoteRef/>
      </w:r>
      <w:r w:rsidRPr="00491352">
        <w:rPr>
          <w:rFonts w:cs="Arial"/>
          <w:color w:val="333333"/>
          <w:sz w:val="16"/>
          <w:szCs w:val="16"/>
          <w:shd w:val="clear" w:color="auto" w:fill="FEFEFF"/>
        </w:rPr>
        <w:t>Gini</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koeficijent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je</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koeficijent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za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mjerenje</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nejednakosti</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unutar</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zemlje</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On</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ra</w:t>
      </w:r>
      <w:r w:rsidRPr="00491352">
        <w:rPr>
          <w:rFonts w:cs="Arial"/>
          <w:color w:val="333333"/>
          <w:sz w:val="16"/>
          <w:szCs w:val="16"/>
          <w:shd w:val="clear" w:color="auto" w:fill="FEFEFF"/>
          <w:lang w:val="sr-Latn-ME"/>
        </w:rPr>
        <w:t>č</w:t>
      </w:r>
      <w:r w:rsidRPr="00491352">
        <w:rPr>
          <w:rFonts w:cs="Arial"/>
          <w:color w:val="333333"/>
          <w:sz w:val="16"/>
          <w:szCs w:val="16"/>
          <w:shd w:val="clear" w:color="auto" w:fill="FEFEFF"/>
        </w:rPr>
        <w:t>una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nejednakost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kao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koeficijent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od</w:t>
      </w:r>
      <w:r w:rsidRPr="00491352">
        <w:rPr>
          <w:rFonts w:cs="Arial"/>
          <w:color w:val="333333"/>
          <w:sz w:val="16"/>
          <w:szCs w:val="16"/>
          <w:shd w:val="clear" w:color="auto" w:fill="FEFEFF"/>
          <w:lang w:val="sr-Latn-ME"/>
        </w:rPr>
        <w:t xml:space="preserve"> 0 (</w:t>
      </w:r>
      <w:r w:rsidRPr="00491352">
        <w:rPr>
          <w:rFonts w:cs="Arial"/>
          <w:color w:val="333333"/>
          <w:sz w:val="16"/>
          <w:szCs w:val="16"/>
          <w:shd w:val="clear" w:color="auto" w:fill="FEFEFF"/>
        </w:rPr>
        <w:t>savr</w:t>
      </w:r>
      <w:r w:rsidRPr="00491352">
        <w:rPr>
          <w:rFonts w:cs="Arial"/>
          <w:color w:val="333333"/>
          <w:sz w:val="16"/>
          <w:szCs w:val="16"/>
          <w:shd w:val="clear" w:color="auto" w:fill="FEFEFF"/>
          <w:lang w:val="sr-Latn-ME"/>
        </w:rPr>
        <w:t>š</w:t>
      </w:r>
      <w:r w:rsidRPr="00491352">
        <w:rPr>
          <w:rFonts w:cs="Arial"/>
          <w:color w:val="333333"/>
          <w:sz w:val="16"/>
          <w:szCs w:val="16"/>
          <w:shd w:val="clear" w:color="auto" w:fill="FEFEFF"/>
        </w:rPr>
        <w:t>ena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jednakost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do</w:t>
      </w:r>
      <w:r w:rsidRPr="00491352">
        <w:rPr>
          <w:rFonts w:cs="Arial"/>
          <w:color w:val="333333"/>
          <w:sz w:val="16"/>
          <w:szCs w:val="16"/>
          <w:shd w:val="clear" w:color="auto" w:fill="FEFEFF"/>
          <w:lang w:val="sr-Latn-ME"/>
        </w:rPr>
        <w:t xml:space="preserve"> 1 (</w:t>
      </w:r>
      <w:r w:rsidRPr="00491352">
        <w:rPr>
          <w:rFonts w:cs="Arial"/>
          <w:color w:val="333333"/>
          <w:sz w:val="16"/>
          <w:szCs w:val="16"/>
          <w:shd w:val="clear" w:color="auto" w:fill="FEFEFF"/>
        </w:rPr>
        <w:t>savr</w:t>
      </w:r>
      <w:r w:rsidRPr="00491352">
        <w:rPr>
          <w:rFonts w:cs="Arial"/>
          <w:color w:val="333333"/>
          <w:sz w:val="16"/>
          <w:szCs w:val="16"/>
          <w:shd w:val="clear" w:color="auto" w:fill="FEFEFF"/>
          <w:lang w:val="sr-Latn-ME"/>
        </w:rPr>
        <w:t>š</w:t>
      </w:r>
      <w:r w:rsidRPr="00491352">
        <w:rPr>
          <w:rFonts w:cs="Arial"/>
          <w:color w:val="333333"/>
          <w:sz w:val="16"/>
          <w:szCs w:val="16"/>
          <w:shd w:val="clear" w:color="auto" w:fill="FEFEFF"/>
        </w:rPr>
        <w:t>ena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nejednakost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odnosno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nekad</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prikazano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kao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od</w:t>
      </w:r>
      <w:r w:rsidRPr="00491352">
        <w:rPr>
          <w:rFonts w:cs="Arial"/>
          <w:color w:val="333333"/>
          <w:sz w:val="16"/>
          <w:szCs w:val="16"/>
          <w:shd w:val="clear" w:color="auto" w:fill="FEFEFF"/>
          <w:lang w:val="sr-Latn-ME"/>
        </w:rPr>
        <w:t xml:space="preserve"> 0% </w:t>
      </w:r>
      <w:r w:rsidRPr="00491352">
        <w:rPr>
          <w:rFonts w:cs="Arial"/>
          <w:color w:val="333333"/>
          <w:sz w:val="16"/>
          <w:szCs w:val="16"/>
          <w:shd w:val="clear" w:color="auto" w:fill="FEFEFF"/>
        </w:rPr>
        <w:t>do</w:t>
      </w:r>
      <w:r w:rsidRPr="00491352">
        <w:rPr>
          <w:rFonts w:cs="Arial"/>
          <w:color w:val="333333"/>
          <w:sz w:val="16"/>
          <w:szCs w:val="16"/>
          <w:shd w:val="clear" w:color="auto" w:fill="FEFEFF"/>
          <w:lang w:val="sr-Latn-ME"/>
        </w:rPr>
        <w:t xml:space="preserve"> 100%. </w:t>
      </w:r>
      <w:hyperlink r:id="rId12" w:history="1">
        <w:r w:rsidRPr="002C7204">
          <w:rPr>
            <w:rStyle w:val="Hyperlink"/>
            <w:sz w:val="16"/>
            <w:szCs w:val="16"/>
          </w:rPr>
          <w:t>https</w:t>
        </w:r>
        <w:r w:rsidRPr="004E1B76">
          <w:rPr>
            <w:rStyle w:val="Hyperlink"/>
            <w:sz w:val="16"/>
            <w:szCs w:val="16"/>
            <w:lang w:val="sr-Latn-ME"/>
          </w:rPr>
          <w:t>://</w:t>
        </w:r>
        <w:r w:rsidRPr="002C7204">
          <w:rPr>
            <w:rStyle w:val="Hyperlink"/>
            <w:sz w:val="16"/>
            <w:szCs w:val="16"/>
          </w:rPr>
          <w:t>www</w:t>
        </w:r>
        <w:r w:rsidRPr="004E1B76">
          <w:rPr>
            <w:rStyle w:val="Hyperlink"/>
            <w:sz w:val="16"/>
            <w:szCs w:val="16"/>
            <w:lang w:val="sr-Latn-ME"/>
          </w:rPr>
          <w:t>.</w:t>
        </w:r>
        <w:r w:rsidRPr="002C7204">
          <w:rPr>
            <w:rStyle w:val="Hyperlink"/>
            <w:sz w:val="16"/>
            <w:szCs w:val="16"/>
          </w:rPr>
          <w:t>monstat</w:t>
        </w:r>
        <w:r w:rsidRPr="004E1B76">
          <w:rPr>
            <w:rStyle w:val="Hyperlink"/>
            <w:sz w:val="16"/>
            <w:szCs w:val="16"/>
            <w:lang w:val="sr-Latn-ME"/>
          </w:rPr>
          <w:t>.</w:t>
        </w:r>
        <w:r w:rsidRPr="002C7204">
          <w:rPr>
            <w:rStyle w:val="Hyperlink"/>
            <w:sz w:val="16"/>
            <w:szCs w:val="16"/>
          </w:rPr>
          <w:t>org</w:t>
        </w:r>
        <w:r w:rsidRPr="004E1B76">
          <w:rPr>
            <w:rStyle w:val="Hyperlink"/>
            <w:sz w:val="16"/>
            <w:szCs w:val="16"/>
            <w:lang w:val="sr-Latn-ME"/>
          </w:rPr>
          <w:t>/</w:t>
        </w:r>
        <w:r w:rsidRPr="002C7204">
          <w:rPr>
            <w:rStyle w:val="Hyperlink"/>
            <w:sz w:val="16"/>
            <w:szCs w:val="16"/>
          </w:rPr>
          <w:t>uploads</w:t>
        </w:r>
        <w:r w:rsidRPr="004E1B76">
          <w:rPr>
            <w:rStyle w:val="Hyperlink"/>
            <w:sz w:val="16"/>
            <w:szCs w:val="16"/>
            <w:lang w:val="sr-Latn-ME"/>
          </w:rPr>
          <w:t>/</w:t>
        </w:r>
        <w:r w:rsidRPr="002C7204">
          <w:rPr>
            <w:rStyle w:val="Hyperlink"/>
            <w:sz w:val="16"/>
            <w:szCs w:val="16"/>
          </w:rPr>
          <w:t>files</w:t>
        </w:r>
        <w:r w:rsidRPr="004E1B76">
          <w:rPr>
            <w:rStyle w:val="Hyperlink"/>
            <w:sz w:val="16"/>
            <w:szCs w:val="16"/>
            <w:lang w:val="sr-Latn-ME"/>
          </w:rPr>
          <w:t>/</w:t>
        </w:r>
        <w:r w:rsidRPr="002C7204">
          <w:rPr>
            <w:rStyle w:val="Hyperlink"/>
            <w:sz w:val="16"/>
            <w:szCs w:val="16"/>
          </w:rPr>
          <w:t>SILC</w:t>
        </w:r>
        <w:r w:rsidRPr="004E1B76">
          <w:rPr>
            <w:rStyle w:val="Hyperlink"/>
            <w:sz w:val="16"/>
            <w:szCs w:val="16"/>
            <w:lang w:val="sr-Latn-ME"/>
          </w:rPr>
          <w:t>/2022/</w:t>
        </w:r>
        <w:r w:rsidRPr="002C7204">
          <w:rPr>
            <w:rStyle w:val="Hyperlink"/>
            <w:sz w:val="16"/>
            <w:szCs w:val="16"/>
          </w:rPr>
          <w:t>Saop</w:t>
        </w:r>
        <w:r w:rsidRPr="004E1B76">
          <w:rPr>
            <w:rStyle w:val="Hyperlink"/>
            <w:sz w:val="16"/>
            <w:szCs w:val="16"/>
            <w:lang w:val="sr-Latn-ME"/>
          </w:rPr>
          <w:t>%</w:t>
        </w:r>
        <w:r w:rsidRPr="002C7204">
          <w:rPr>
            <w:rStyle w:val="Hyperlink"/>
            <w:sz w:val="16"/>
            <w:szCs w:val="16"/>
          </w:rPr>
          <w:t>C</w:t>
        </w:r>
        <w:r w:rsidRPr="004E1B76">
          <w:rPr>
            <w:rStyle w:val="Hyperlink"/>
            <w:sz w:val="16"/>
            <w:szCs w:val="16"/>
            <w:lang w:val="sr-Latn-ME"/>
          </w:rPr>
          <w:t>5%</w:t>
        </w:r>
        <w:r w:rsidRPr="002C7204">
          <w:rPr>
            <w:rStyle w:val="Hyperlink"/>
            <w:sz w:val="16"/>
            <w:szCs w:val="16"/>
          </w:rPr>
          <w:t>A</w:t>
        </w:r>
        <w:r w:rsidRPr="004E1B76">
          <w:rPr>
            <w:rStyle w:val="Hyperlink"/>
            <w:sz w:val="16"/>
            <w:szCs w:val="16"/>
            <w:lang w:val="sr-Latn-ME"/>
          </w:rPr>
          <w:t>1</w:t>
        </w:r>
        <w:r w:rsidRPr="002C7204">
          <w:rPr>
            <w:rStyle w:val="Hyperlink"/>
            <w:sz w:val="16"/>
            <w:szCs w:val="16"/>
          </w:rPr>
          <w:t>tenje</w:t>
        </w:r>
        <w:r w:rsidRPr="004E1B76">
          <w:rPr>
            <w:rStyle w:val="Hyperlink"/>
            <w:sz w:val="16"/>
            <w:szCs w:val="16"/>
            <w:lang w:val="sr-Latn-ME"/>
          </w:rPr>
          <w:t>_</w:t>
        </w:r>
        <w:r w:rsidRPr="002C7204">
          <w:rPr>
            <w:rStyle w:val="Hyperlink"/>
            <w:sz w:val="16"/>
            <w:szCs w:val="16"/>
          </w:rPr>
          <w:t>Anketa</w:t>
        </w:r>
        <w:r w:rsidRPr="004E1B76">
          <w:rPr>
            <w:rStyle w:val="Hyperlink"/>
            <w:sz w:val="16"/>
            <w:szCs w:val="16"/>
            <w:lang w:val="sr-Latn-ME"/>
          </w:rPr>
          <w:t>_</w:t>
        </w:r>
        <w:r w:rsidRPr="002C7204">
          <w:rPr>
            <w:rStyle w:val="Hyperlink"/>
            <w:sz w:val="16"/>
            <w:szCs w:val="16"/>
          </w:rPr>
          <w:t>o</w:t>
        </w:r>
        <w:r w:rsidRPr="004E1B76">
          <w:rPr>
            <w:rStyle w:val="Hyperlink"/>
            <w:sz w:val="16"/>
            <w:szCs w:val="16"/>
            <w:lang w:val="sr-Latn-ME"/>
          </w:rPr>
          <w:t>_</w:t>
        </w:r>
        <w:r w:rsidRPr="002C7204">
          <w:rPr>
            <w:rStyle w:val="Hyperlink"/>
            <w:sz w:val="16"/>
            <w:szCs w:val="16"/>
          </w:rPr>
          <w:t>dohotku</w:t>
        </w:r>
        <w:r w:rsidRPr="004E1B76">
          <w:rPr>
            <w:rStyle w:val="Hyperlink"/>
            <w:sz w:val="16"/>
            <w:szCs w:val="16"/>
            <w:lang w:val="sr-Latn-ME"/>
          </w:rPr>
          <w:t>_</w:t>
        </w:r>
        <w:r w:rsidRPr="002C7204">
          <w:rPr>
            <w:rStyle w:val="Hyperlink"/>
            <w:sz w:val="16"/>
            <w:szCs w:val="16"/>
          </w:rPr>
          <w:t>i</w:t>
        </w:r>
        <w:r w:rsidRPr="004E1B76">
          <w:rPr>
            <w:rStyle w:val="Hyperlink"/>
            <w:sz w:val="16"/>
            <w:szCs w:val="16"/>
            <w:lang w:val="sr-Latn-ME"/>
          </w:rPr>
          <w:t>_</w:t>
        </w:r>
        <w:r w:rsidRPr="002C7204">
          <w:rPr>
            <w:rStyle w:val="Hyperlink"/>
            <w:sz w:val="16"/>
            <w:szCs w:val="16"/>
          </w:rPr>
          <w:t>uslovima</w:t>
        </w:r>
        <w:r w:rsidRPr="004E1B76">
          <w:rPr>
            <w:rStyle w:val="Hyperlink"/>
            <w:sz w:val="16"/>
            <w:szCs w:val="16"/>
            <w:lang w:val="sr-Latn-ME"/>
          </w:rPr>
          <w:t>_%</w:t>
        </w:r>
        <w:r w:rsidRPr="002C7204">
          <w:rPr>
            <w:rStyle w:val="Hyperlink"/>
            <w:sz w:val="16"/>
            <w:szCs w:val="16"/>
          </w:rPr>
          <w:t>C</w:t>
        </w:r>
        <w:r w:rsidRPr="004E1B76">
          <w:rPr>
            <w:rStyle w:val="Hyperlink"/>
            <w:sz w:val="16"/>
            <w:szCs w:val="16"/>
            <w:lang w:val="sr-Latn-ME"/>
          </w:rPr>
          <w:t>5%</w:t>
        </w:r>
        <w:r w:rsidRPr="002C7204">
          <w:rPr>
            <w:rStyle w:val="Hyperlink"/>
            <w:sz w:val="16"/>
            <w:szCs w:val="16"/>
          </w:rPr>
          <w:t>BEivota</w:t>
        </w:r>
        <w:r w:rsidRPr="004E1B76">
          <w:rPr>
            <w:rStyle w:val="Hyperlink"/>
            <w:sz w:val="16"/>
            <w:szCs w:val="16"/>
            <w:lang w:val="sr-Latn-ME"/>
          </w:rPr>
          <w:t>_</w:t>
        </w:r>
        <w:r w:rsidRPr="002C7204">
          <w:rPr>
            <w:rStyle w:val="Hyperlink"/>
            <w:sz w:val="16"/>
            <w:szCs w:val="16"/>
          </w:rPr>
          <w:t>EU</w:t>
        </w:r>
        <w:r w:rsidRPr="004E1B76">
          <w:rPr>
            <w:rStyle w:val="Hyperlink"/>
            <w:sz w:val="16"/>
            <w:szCs w:val="16"/>
            <w:lang w:val="sr-Latn-ME"/>
          </w:rPr>
          <w:t>-</w:t>
        </w:r>
        <w:r w:rsidRPr="002C7204">
          <w:rPr>
            <w:rStyle w:val="Hyperlink"/>
            <w:sz w:val="16"/>
            <w:szCs w:val="16"/>
          </w:rPr>
          <w:t>SILC</w:t>
        </w:r>
        <w:r w:rsidRPr="004E1B76">
          <w:rPr>
            <w:rStyle w:val="Hyperlink"/>
            <w:sz w:val="16"/>
            <w:szCs w:val="16"/>
            <w:lang w:val="sr-Latn-ME"/>
          </w:rPr>
          <w:t>_2022.</w:t>
        </w:r>
        <w:r w:rsidRPr="002C7204">
          <w:rPr>
            <w:rStyle w:val="Hyperlink"/>
            <w:sz w:val="16"/>
            <w:szCs w:val="16"/>
          </w:rPr>
          <w:t>pdf</w:t>
        </w:r>
      </w:hyperlink>
      <w:r w:rsidRPr="004E1B76">
        <w:rPr>
          <w:lang w:val="sr-Latn-ME"/>
        </w:rPr>
        <w:t xml:space="preserve"> </w:t>
      </w:r>
    </w:p>
    <w:p w14:paraId="7039833D" w14:textId="77777777" w:rsidR="005B7D8D" w:rsidRPr="004305DF" w:rsidRDefault="005B7D8D" w:rsidP="00D85B56">
      <w:pPr>
        <w:jc w:val="both"/>
        <w:rPr>
          <w:rFonts w:eastAsia="Times New Roman" w:cs="Arial"/>
          <w:sz w:val="16"/>
          <w:szCs w:val="16"/>
          <w:lang w:eastAsia="en-GB"/>
        </w:rPr>
      </w:pPr>
      <w:r w:rsidRPr="00984B6F">
        <w:rPr>
          <w:rStyle w:val="FootnoteReference"/>
          <w:rFonts w:cs="Arial"/>
          <w:sz w:val="16"/>
          <w:szCs w:val="16"/>
        </w:rPr>
        <w:footnoteRef/>
      </w:r>
      <w:r w:rsidRPr="00984B6F">
        <w:rPr>
          <w:rFonts w:cs="Arial"/>
          <w:sz w:val="16"/>
          <w:szCs w:val="16"/>
        </w:rPr>
        <w:t xml:space="preserve"> </w:t>
      </w:r>
      <w:r w:rsidRPr="00984B6F">
        <w:rPr>
          <w:rFonts w:eastAsia="Times New Roman" w:cs="Arial"/>
          <w:sz w:val="16"/>
          <w:szCs w:val="16"/>
          <w:lang w:eastAsia="en-GB"/>
        </w:rPr>
        <w:t xml:space="preserve">Stopa rizika od siromaštva ili socijalne isključenosti (AROPE), </w:t>
      </w:r>
      <w:r w:rsidRPr="004305DF">
        <w:rPr>
          <w:rFonts w:eastAsia="Times New Roman" w:cs="Arial"/>
          <w:sz w:val="16"/>
          <w:szCs w:val="16"/>
          <w:lang w:eastAsia="en-GB"/>
        </w:rPr>
        <w:t>kao procenat osoba koje se nalaze u riziku od siromaštva i/ili su izrazito materijalno i socijalno deprivirani i/ili žive u domaćinstvima s veoma niskim intenzitetom rada, u 2022. godini iznosila je 34,1%.</w:t>
      </w:r>
    </w:p>
    <w:p w14:paraId="696CA016" w14:textId="77777777" w:rsidR="005B7D8D" w:rsidRPr="004305DF" w:rsidRDefault="005B7D8D" w:rsidP="008553BD">
      <w:pPr>
        <w:pStyle w:val="FootnoteText"/>
        <w:rPr>
          <w:lang w:val="hr-HR"/>
        </w:rPr>
      </w:pPr>
    </w:p>
    <w:p w14:paraId="07465F9C" w14:textId="77777777" w:rsidR="005B7D8D" w:rsidRPr="00953BB7" w:rsidRDefault="005B7D8D" w:rsidP="00E16213">
      <w:pPr>
        <w:pStyle w:val="FootnoteText"/>
        <w:rPr>
          <w:lang w:val="sr-Latn-BA"/>
        </w:rPr>
      </w:pPr>
    </w:p>
  </w:footnote>
  <w:footnote w:id="54">
    <w:p w14:paraId="31CEA190" w14:textId="77777777" w:rsidR="005B7D8D" w:rsidRPr="006C1A95" w:rsidRDefault="005B7D8D" w:rsidP="002B4243">
      <w:pPr>
        <w:shd w:val="clear" w:color="auto" w:fill="FFFFFF"/>
        <w:rPr>
          <w:rFonts w:cs="Arial"/>
          <w:color w:val="FF0000"/>
          <w:sz w:val="16"/>
          <w:szCs w:val="16"/>
        </w:rPr>
      </w:pPr>
      <w:r w:rsidRPr="00CA0019">
        <w:rPr>
          <w:rStyle w:val="FootnoteReference"/>
          <w:rFonts w:cs="Arial"/>
          <w:sz w:val="16"/>
          <w:szCs w:val="16"/>
        </w:rPr>
        <w:footnoteRef/>
      </w:r>
      <w:r w:rsidRPr="00CA0019">
        <w:rPr>
          <w:rFonts w:cs="Arial"/>
          <w:sz w:val="16"/>
          <w:szCs w:val="16"/>
        </w:rPr>
        <w:t xml:space="preserve"> </w:t>
      </w:r>
      <w:r>
        <w:rPr>
          <w:rFonts w:cs="Arial"/>
          <w:sz w:val="16"/>
          <w:szCs w:val="16"/>
        </w:rPr>
        <w:t xml:space="preserve">Gordana </w:t>
      </w:r>
      <w:r w:rsidRPr="00CA0019">
        <w:rPr>
          <w:rFonts w:cs="Arial"/>
          <w:sz w:val="16"/>
          <w:szCs w:val="16"/>
        </w:rPr>
        <w:t>Matković</w:t>
      </w:r>
      <w:r>
        <w:rPr>
          <w:rFonts w:cs="Arial"/>
          <w:sz w:val="16"/>
          <w:szCs w:val="16"/>
        </w:rPr>
        <w:t>,</w:t>
      </w:r>
      <w:r w:rsidRPr="00CA0019">
        <w:rPr>
          <w:rFonts w:cs="Arial"/>
          <w:sz w:val="16"/>
          <w:szCs w:val="16"/>
        </w:rPr>
        <w:t xml:space="preserve"> </w:t>
      </w:r>
      <w:r w:rsidRPr="00CA0019">
        <w:rPr>
          <w:rFonts w:cs="Arial"/>
          <w:iCs/>
          <w:color w:val="000000"/>
          <w:sz w:val="16"/>
          <w:szCs w:val="16"/>
          <w:lang w:val="sr-Latn-RS"/>
        </w:rPr>
        <w:t>Pravci promjena u neposrednoj budućnosti u programima socijalne i d</w:t>
      </w:r>
      <w:r>
        <w:rPr>
          <w:rFonts w:cs="Arial"/>
          <w:iCs/>
          <w:color w:val="000000"/>
          <w:sz w:val="16"/>
          <w:szCs w:val="16"/>
          <w:lang w:val="sr-Latn-RS"/>
        </w:rPr>
        <w:t>ječj</w:t>
      </w:r>
      <w:r w:rsidRPr="00CA0019">
        <w:rPr>
          <w:rFonts w:cs="Arial"/>
          <w:iCs/>
          <w:color w:val="000000"/>
          <w:sz w:val="16"/>
          <w:szCs w:val="16"/>
          <w:lang w:val="sr-Latn-RS"/>
        </w:rPr>
        <w:t>e zaštite u Crnoj Gori</w:t>
      </w:r>
      <w:r>
        <w:rPr>
          <w:rFonts w:cs="Arial"/>
          <w:iCs/>
          <w:color w:val="000000"/>
          <w:sz w:val="16"/>
          <w:szCs w:val="16"/>
          <w:lang w:val="sr-Latn-RS"/>
        </w:rPr>
        <w:t>, 2021.</w:t>
      </w:r>
      <w:r>
        <w:rPr>
          <w:rFonts w:cs="Arial"/>
          <w:iCs/>
          <w:color w:val="FF0000"/>
          <w:sz w:val="16"/>
          <w:szCs w:val="16"/>
          <w:lang w:val="sr-Latn-RS"/>
        </w:rPr>
        <w:t xml:space="preserve"> </w:t>
      </w:r>
    </w:p>
  </w:footnote>
  <w:footnote w:id="55">
    <w:p w14:paraId="5F18EC80" w14:textId="77777777" w:rsidR="005B7D8D" w:rsidRPr="00CA0019" w:rsidRDefault="005B7D8D" w:rsidP="002B4243">
      <w:pPr>
        <w:pStyle w:val="FootnoteText"/>
        <w:rPr>
          <w:rFonts w:cs="Arial"/>
          <w:sz w:val="16"/>
          <w:szCs w:val="16"/>
          <w:lang w:val="sr-Latn-RS"/>
        </w:rPr>
      </w:pPr>
      <w:r w:rsidRPr="00CA0019">
        <w:rPr>
          <w:rStyle w:val="FootnoteReference"/>
          <w:rFonts w:cs="Arial"/>
          <w:sz w:val="16"/>
          <w:szCs w:val="16"/>
        </w:rPr>
        <w:footnoteRef/>
      </w:r>
      <w:r w:rsidRPr="00CA0019">
        <w:rPr>
          <w:rFonts w:cs="Arial"/>
          <w:sz w:val="16"/>
          <w:szCs w:val="16"/>
        </w:rPr>
        <w:t xml:space="preserve"> </w:t>
      </w:r>
      <w:bookmarkStart w:id="74" w:name="_Hlk168050676"/>
      <w:r>
        <w:fldChar w:fldCharType="begin"/>
      </w:r>
      <w:r>
        <w:instrText xml:space="preserve"> HYPERLINK "https://www.monstat.org/uploads/files/SILC/2021/RELEASE_Survey_on_Income_and_Living_Conditions_EU-SILC_2021.pdf" </w:instrText>
      </w:r>
      <w:r>
        <w:fldChar w:fldCharType="separate"/>
      </w:r>
      <w:r w:rsidRPr="00CA0019">
        <w:rPr>
          <w:rStyle w:val="Hyperlink"/>
          <w:rFonts w:cs="Arial"/>
          <w:sz w:val="16"/>
          <w:szCs w:val="16"/>
        </w:rPr>
        <w:t>https://www.monstat.org/uploads/files/SILC/2021/RELEASE_Survey_on_Income_and_Living_Conditions_EU-SILC_2021.pdf</w:t>
      </w:r>
      <w:r>
        <w:rPr>
          <w:rStyle w:val="Hyperlink"/>
          <w:rFonts w:cs="Arial"/>
          <w:sz w:val="16"/>
          <w:szCs w:val="16"/>
        </w:rPr>
        <w:fldChar w:fldCharType="end"/>
      </w:r>
      <w:r w:rsidRPr="00CA0019">
        <w:rPr>
          <w:rFonts w:cs="Arial"/>
          <w:sz w:val="16"/>
          <w:szCs w:val="16"/>
        </w:rPr>
        <w:t xml:space="preserve"> </w:t>
      </w:r>
      <w:bookmarkEnd w:id="74"/>
    </w:p>
  </w:footnote>
  <w:footnote w:id="56">
    <w:p w14:paraId="5A35C683" w14:textId="77777777" w:rsidR="005B7D8D" w:rsidRPr="00F23AC4" w:rsidRDefault="005B7D8D">
      <w:pPr>
        <w:pStyle w:val="FootnoteText"/>
        <w:rPr>
          <w:lang w:val="sr-Latn-ME"/>
        </w:rPr>
      </w:pPr>
      <w:r w:rsidRPr="00D85B56">
        <w:rPr>
          <w:rStyle w:val="FootnoteReference"/>
          <w:sz w:val="16"/>
          <w:szCs w:val="16"/>
        </w:rPr>
        <w:footnoteRef/>
      </w:r>
      <w:r>
        <w:t xml:space="preserve"> </w:t>
      </w:r>
      <w:hyperlink r:id="rId13" w:history="1">
        <w:r w:rsidRPr="00CA0019">
          <w:rPr>
            <w:rStyle w:val="Hyperlink"/>
            <w:rFonts w:cs="Arial"/>
            <w:sz w:val="16"/>
            <w:szCs w:val="16"/>
          </w:rPr>
          <w:t>https://www.monstat.org/uploads/files/SILC/2021/RELEASE_Survey_on_Income_and_Living_Conditions_EU-SILC_2021.pdf</w:t>
        </w:r>
      </w:hyperlink>
    </w:p>
  </w:footnote>
  <w:footnote w:id="57">
    <w:p w14:paraId="5C0D6B87" w14:textId="77777777" w:rsidR="005B7D8D" w:rsidRPr="00CA0019" w:rsidRDefault="005B7D8D" w:rsidP="002B4243">
      <w:pPr>
        <w:pStyle w:val="NormalWeb"/>
        <w:rPr>
          <w:rFonts w:ascii="Arial" w:hAnsi="Arial" w:cs="Arial"/>
          <w:sz w:val="16"/>
          <w:szCs w:val="16"/>
          <w:lang w:val="sr-Latn-RS"/>
        </w:rPr>
      </w:pPr>
      <w:r w:rsidRPr="00CA0019">
        <w:rPr>
          <w:rStyle w:val="FootnoteReference"/>
          <w:rFonts w:ascii="Arial" w:hAnsi="Arial" w:cs="Arial"/>
          <w:sz w:val="16"/>
          <w:szCs w:val="16"/>
        </w:rPr>
        <w:footnoteRef/>
      </w:r>
      <w:r w:rsidRPr="00CA0019">
        <w:rPr>
          <w:rFonts w:ascii="Arial" w:hAnsi="Arial" w:cs="Arial"/>
          <w:sz w:val="16"/>
          <w:szCs w:val="16"/>
        </w:rPr>
        <w:t xml:space="preserve"> Maastricht University (2022). </w:t>
      </w:r>
      <w:r w:rsidRPr="00CA0019">
        <w:rPr>
          <w:rFonts w:ascii="Arial" w:hAnsi="Arial" w:cs="Arial"/>
          <w:sz w:val="16"/>
          <w:szCs w:val="16"/>
          <w:lang w:val="sr-Latn-RS"/>
        </w:rPr>
        <w:t>S</w:t>
      </w:r>
      <w:r w:rsidRPr="00CA0019">
        <w:rPr>
          <w:rFonts w:ascii="Arial" w:hAnsi="Arial" w:cs="Arial"/>
          <w:sz w:val="16"/>
          <w:szCs w:val="16"/>
        </w:rPr>
        <w:t xml:space="preserve">uzbijanje siromaštva u </w:t>
      </w:r>
      <w:r w:rsidRPr="00CA0019">
        <w:rPr>
          <w:rFonts w:ascii="Arial" w:hAnsi="Arial" w:cs="Arial"/>
          <w:sz w:val="16"/>
          <w:szCs w:val="16"/>
          <w:lang w:val="sr-Latn-RS"/>
        </w:rPr>
        <w:t>C</w:t>
      </w:r>
      <w:r w:rsidRPr="00CA0019">
        <w:rPr>
          <w:rFonts w:ascii="Arial" w:hAnsi="Arial" w:cs="Arial"/>
          <w:sz w:val="16"/>
          <w:szCs w:val="16"/>
        </w:rPr>
        <w:t xml:space="preserve">rnoj </w:t>
      </w:r>
      <w:r w:rsidRPr="00CA0019">
        <w:rPr>
          <w:rFonts w:ascii="Arial" w:hAnsi="Arial" w:cs="Arial"/>
          <w:sz w:val="16"/>
          <w:szCs w:val="16"/>
          <w:lang w:val="sr-Latn-RS"/>
        </w:rPr>
        <w:t>G</w:t>
      </w:r>
      <w:r w:rsidRPr="00CA0019">
        <w:rPr>
          <w:rFonts w:ascii="Arial" w:hAnsi="Arial" w:cs="Arial"/>
          <w:sz w:val="16"/>
          <w:szCs w:val="16"/>
        </w:rPr>
        <w:t>ori pomoću adekvatne socijalne i dječje zaštite zasnovane na čvrstim pokazateljima: pregled održivih scenarija reformi</w:t>
      </w:r>
      <w:r w:rsidRPr="00CA0019">
        <w:rPr>
          <w:rFonts w:ascii="Arial" w:hAnsi="Arial" w:cs="Arial"/>
          <w:sz w:val="16"/>
          <w:szCs w:val="16"/>
          <w:lang w:val="sr-Latn-RS"/>
        </w:rPr>
        <w:t xml:space="preserve">. Joint SDG Fund </w:t>
      </w:r>
      <w:r w:rsidRPr="00CA0019">
        <w:rPr>
          <w:rFonts w:ascii="Arial" w:hAnsi="Arial" w:cs="Arial"/>
          <w:i/>
          <w:iCs/>
          <w:sz w:val="16"/>
          <w:szCs w:val="16"/>
          <w:lang w:val="sr-Latn-RS"/>
        </w:rPr>
        <w:t>Aktiviraj</w:t>
      </w:r>
      <w:r w:rsidRPr="00CA0019">
        <w:rPr>
          <w:rFonts w:ascii="Arial" w:hAnsi="Arial" w:cs="Arial"/>
          <w:sz w:val="16"/>
          <w:szCs w:val="16"/>
          <w:lang w:val="sr-Latn-RS"/>
        </w:rPr>
        <w:t>. Vlada Crne Gore.</w:t>
      </w:r>
    </w:p>
  </w:footnote>
  <w:footnote w:id="58">
    <w:p w14:paraId="09E2EF04" w14:textId="77777777" w:rsidR="005B7D8D" w:rsidRPr="00CA0019" w:rsidRDefault="005B7D8D" w:rsidP="00F3474D">
      <w:pPr>
        <w:pStyle w:val="FootnoteText"/>
        <w:jc w:val="both"/>
        <w:rPr>
          <w:rFonts w:cs="Arial"/>
          <w:sz w:val="16"/>
          <w:szCs w:val="16"/>
          <w:lang w:val="sr-Latn-ME"/>
        </w:rPr>
      </w:pPr>
      <w:r w:rsidRPr="00CA0019">
        <w:rPr>
          <w:rStyle w:val="FootnoteReference"/>
          <w:rFonts w:cs="Arial"/>
          <w:sz w:val="16"/>
          <w:szCs w:val="16"/>
        </w:rPr>
        <w:footnoteRef/>
      </w:r>
      <w:r w:rsidRPr="00CA0019">
        <w:rPr>
          <w:rFonts w:cs="Arial"/>
          <w:sz w:val="16"/>
          <w:szCs w:val="16"/>
        </w:rPr>
        <w:t xml:space="preserve"> </w:t>
      </w:r>
      <w:r w:rsidRPr="00576949">
        <w:rPr>
          <w:rFonts w:cs="Arial"/>
          <w:sz w:val="16"/>
          <w:szCs w:val="16"/>
        </w:rPr>
        <w:t>Roksana Irimija</w:t>
      </w:r>
      <w:r>
        <w:rPr>
          <w:rFonts w:cs="Arial"/>
          <w:sz w:val="16"/>
          <w:szCs w:val="16"/>
        </w:rPr>
        <w:t xml:space="preserve">, </w:t>
      </w:r>
      <w:r w:rsidRPr="00576949">
        <w:rPr>
          <w:rFonts w:cs="Arial"/>
          <w:sz w:val="16"/>
          <w:szCs w:val="16"/>
        </w:rPr>
        <w:t>Dijana Kirja</w:t>
      </w:r>
      <w:r>
        <w:rPr>
          <w:rFonts w:cs="Arial"/>
          <w:sz w:val="16"/>
          <w:szCs w:val="16"/>
        </w:rPr>
        <w:t>č</w:t>
      </w:r>
      <w:r w:rsidRPr="00576949">
        <w:rPr>
          <w:rFonts w:cs="Arial"/>
          <w:sz w:val="16"/>
          <w:szCs w:val="16"/>
        </w:rPr>
        <w:t>esku</w:t>
      </w:r>
      <w:r>
        <w:rPr>
          <w:rFonts w:cs="Arial"/>
          <w:sz w:val="16"/>
          <w:szCs w:val="16"/>
        </w:rPr>
        <w:t xml:space="preserve">, </w:t>
      </w:r>
      <w:r w:rsidRPr="00576949">
        <w:rPr>
          <w:rFonts w:cs="Arial"/>
          <w:sz w:val="16"/>
          <w:szCs w:val="16"/>
        </w:rPr>
        <w:t>Sonja Vasić</w:t>
      </w:r>
      <w:r>
        <w:rPr>
          <w:rFonts w:cs="Arial"/>
          <w:sz w:val="16"/>
          <w:szCs w:val="16"/>
        </w:rPr>
        <w:t xml:space="preserve">, </w:t>
      </w:r>
      <w:r w:rsidRPr="00CA0019">
        <w:rPr>
          <w:rFonts w:cs="Arial"/>
          <w:sz w:val="16"/>
          <w:szCs w:val="16"/>
        </w:rPr>
        <w:t>Analiza multisektorskog odgovora na potrebe djece sa smetnjama u razvoju u Crnoj Gori</w:t>
      </w:r>
      <w:r>
        <w:rPr>
          <w:rFonts w:cs="Arial"/>
          <w:sz w:val="16"/>
          <w:szCs w:val="16"/>
        </w:rPr>
        <w:t xml:space="preserve">, </w:t>
      </w:r>
      <w:r w:rsidRPr="00576949">
        <w:rPr>
          <w:rFonts w:cs="Arial"/>
          <w:sz w:val="16"/>
          <w:szCs w:val="16"/>
        </w:rPr>
        <w:t>UNICEF Crna Gora</w:t>
      </w:r>
      <w:r>
        <w:rPr>
          <w:rFonts w:cs="Arial"/>
          <w:sz w:val="16"/>
          <w:szCs w:val="16"/>
        </w:rPr>
        <w:t>, 2019.</w:t>
      </w:r>
    </w:p>
  </w:footnote>
  <w:footnote w:id="59">
    <w:p w14:paraId="61F81F2E" w14:textId="77777777" w:rsidR="005B7D8D" w:rsidRPr="00CA0019" w:rsidRDefault="005B7D8D" w:rsidP="003C5CED">
      <w:pPr>
        <w:pStyle w:val="FootnoteText"/>
        <w:jc w:val="both"/>
        <w:rPr>
          <w:rFonts w:cs="Arial"/>
          <w:sz w:val="16"/>
          <w:szCs w:val="16"/>
          <w:lang w:val="sr-Latn-RS"/>
        </w:rPr>
      </w:pPr>
      <w:r w:rsidRPr="00CA0019">
        <w:rPr>
          <w:rStyle w:val="FootnoteReference"/>
          <w:rFonts w:cs="Arial"/>
          <w:sz w:val="16"/>
          <w:szCs w:val="16"/>
        </w:rPr>
        <w:footnoteRef/>
      </w:r>
      <w:r w:rsidRPr="00CA0019">
        <w:rPr>
          <w:rFonts w:cs="Arial"/>
          <w:sz w:val="16"/>
          <w:szCs w:val="16"/>
        </w:rPr>
        <w:t xml:space="preserve"> </w:t>
      </w:r>
      <w:r w:rsidRPr="00CA0019">
        <w:rPr>
          <w:rFonts w:cs="Arial"/>
          <w:color w:val="000000"/>
          <w:sz w:val="16"/>
          <w:szCs w:val="16"/>
        </w:rPr>
        <w:t xml:space="preserve">Strategija za zaštitu lica </w:t>
      </w:r>
      <w:r>
        <w:rPr>
          <w:rFonts w:cs="Arial"/>
          <w:color w:val="000000"/>
          <w:sz w:val="16"/>
          <w:szCs w:val="16"/>
        </w:rPr>
        <w:t>sa</w:t>
      </w:r>
      <w:r w:rsidRPr="00CA0019">
        <w:rPr>
          <w:rFonts w:cs="Arial"/>
          <w:color w:val="000000"/>
          <w:sz w:val="16"/>
          <w:szCs w:val="16"/>
        </w:rPr>
        <w:t xml:space="preserve"> invaliditetom od diskriminacije i promociju jednakosti za period 2022</w:t>
      </w:r>
      <w:r>
        <w:rPr>
          <w:rFonts w:cs="Arial"/>
          <w:color w:val="000000"/>
          <w:sz w:val="16"/>
          <w:szCs w:val="16"/>
        </w:rPr>
        <w:t>‒</w:t>
      </w:r>
      <w:r w:rsidRPr="00CA0019">
        <w:rPr>
          <w:rFonts w:cs="Arial"/>
          <w:color w:val="000000"/>
          <w:sz w:val="16"/>
          <w:szCs w:val="16"/>
        </w:rPr>
        <w:t>2027</w:t>
      </w:r>
      <w:r>
        <w:rPr>
          <w:rFonts w:cs="Arial"/>
          <w:color w:val="000000"/>
          <w:sz w:val="16"/>
          <w:szCs w:val="16"/>
        </w:rPr>
        <w:t>.</w:t>
      </w:r>
      <w:r w:rsidRPr="00CA0019">
        <w:rPr>
          <w:rFonts w:cs="Arial"/>
          <w:color w:val="000000"/>
          <w:sz w:val="16"/>
          <w:szCs w:val="16"/>
        </w:rPr>
        <w:t xml:space="preserve"> s Akcio</w:t>
      </w:r>
      <w:r>
        <w:rPr>
          <w:rFonts w:cs="Arial"/>
          <w:color w:val="000000"/>
          <w:sz w:val="16"/>
          <w:szCs w:val="16"/>
        </w:rPr>
        <w:t>ni</w:t>
      </w:r>
      <w:r w:rsidRPr="00CA0019">
        <w:rPr>
          <w:rFonts w:cs="Arial"/>
          <w:color w:val="000000"/>
          <w:sz w:val="16"/>
          <w:szCs w:val="16"/>
        </w:rPr>
        <w:t>m planom za sprovođenje strategije za 2022</w:t>
      </w:r>
      <w:r>
        <w:rPr>
          <w:rFonts w:cs="Arial"/>
          <w:color w:val="000000"/>
          <w:sz w:val="16"/>
          <w:szCs w:val="16"/>
        </w:rPr>
        <w:t>‒</w:t>
      </w:r>
      <w:r w:rsidRPr="00CA0019">
        <w:rPr>
          <w:rFonts w:cs="Arial"/>
          <w:color w:val="000000"/>
          <w:sz w:val="16"/>
          <w:szCs w:val="16"/>
        </w:rPr>
        <w:t xml:space="preserve">2023. </w:t>
      </w:r>
      <w:r>
        <w:rPr>
          <w:rFonts w:cs="Arial"/>
          <w:color w:val="000000"/>
          <w:sz w:val="16"/>
          <w:szCs w:val="16"/>
        </w:rPr>
        <w:t>g</w:t>
      </w:r>
      <w:r w:rsidRPr="00CA0019">
        <w:rPr>
          <w:rFonts w:cs="Arial"/>
          <w:color w:val="000000"/>
          <w:sz w:val="16"/>
          <w:szCs w:val="16"/>
        </w:rPr>
        <w:t>odinu</w:t>
      </w:r>
    </w:p>
  </w:footnote>
  <w:footnote w:id="60">
    <w:p w14:paraId="06D1006E" w14:textId="77777777" w:rsidR="005B7D8D" w:rsidRPr="008C0F7F" w:rsidRDefault="005B7D8D" w:rsidP="003C5CED">
      <w:pPr>
        <w:pBdr>
          <w:top w:val="nil"/>
          <w:left w:val="nil"/>
          <w:bottom w:val="nil"/>
          <w:right w:val="nil"/>
          <w:between w:val="nil"/>
        </w:pBdr>
        <w:jc w:val="both"/>
        <w:rPr>
          <w:rFonts w:cs="Arial"/>
          <w:color w:val="000000" w:themeColor="text1"/>
          <w:sz w:val="16"/>
          <w:szCs w:val="16"/>
        </w:rPr>
      </w:pPr>
      <w:r w:rsidRPr="00CA0019">
        <w:rPr>
          <w:rStyle w:val="FootnoteReference"/>
          <w:rFonts w:eastAsia="Calibri" w:cs="Arial"/>
          <w:color w:val="000000" w:themeColor="text1"/>
          <w:sz w:val="16"/>
          <w:szCs w:val="16"/>
        </w:rPr>
        <w:footnoteRef/>
      </w:r>
      <w:r w:rsidRPr="00CA0019">
        <w:rPr>
          <w:rFonts w:cs="Arial"/>
          <w:color w:val="000000" w:themeColor="text1"/>
          <w:sz w:val="16"/>
          <w:szCs w:val="16"/>
        </w:rPr>
        <w:t xml:space="preserve"> </w:t>
      </w:r>
      <w:r w:rsidRPr="00CA0019">
        <w:rPr>
          <w:rFonts w:cs="Arial"/>
          <w:sz w:val="16"/>
          <w:szCs w:val="16"/>
        </w:rPr>
        <w:t>Crna Gora</w:t>
      </w:r>
      <w:r>
        <w:rPr>
          <w:rFonts w:cs="Arial"/>
          <w:sz w:val="16"/>
          <w:szCs w:val="16"/>
        </w:rPr>
        <w:t>,</w:t>
      </w:r>
      <w:r w:rsidRPr="00CA0019">
        <w:rPr>
          <w:rFonts w:cs="Arial"/>
          <w:sz w:val="16"/>
          <w:szCs w:val="16"/>
        </w:rPr>
        <w:t xml:space="preserve"> Zavod za </w:t>
      </w:r>
      <w:r>
        <w:rPr>
          <w:rFonts w:cs="Arial"/>
          <w:sz w:val="16"/>
          <w:szCs w:val="16"/>
        </w:rPr>
        <w:t>z</w:t>
      </w:r>
      <w:r w:rsidRPr="00CA0019">
        <w:rPr>
          <w:rFonts w:cs="Arial"/>
          <w:sz w:val="16"/>
          <w:szCs w:val="16"/>
        </w:rPr>
        <w:t>apošljavanje Crne Gore, Izvještaj o radu za 2019. godinu:</w:t>
      </w:r>
      <w:r>
        <w:rPr>
          <w:rFonts w:cs="Arial"/>
          <w:sz w:val="16"/>
          <w:szCs w:val="16"/>
        </w:rPr>
        <w:t xml:space="preserve"> </w:t>
      </w:r>
      <w:hyperlink r:id="rId14" w:history="1">
        <w:r w:rsidRPr="008C0F7F">
          <w:rPr>
            <w:rStyle w:val="Hyperlink"/>
            <w:rFonts w:cs="Arial"/>
            <w:sz w:val="16"/>
            <w:szCs w:val="16"/>
          </w:rPr>
          <w:t>http://www.zzzcg.me/wp-content/uploads/2020/01/Izvjestaj-o-radu-ZZZCG-za-2019.-godinu.pdf</w:t>
        </w:r>
      </w:hyperlink>
      <w:r w:rsidRPr="008C0F7F">
        <w:rPr>
          <w:rFonts w:cs="Arial"/>
          <w:color w:val="000000" w:themeColor="text1"/>
          <w:sz w:val="16"/>
          <w:szCs w:val="16"/>
        </w:rPr>
        <w:t>.</w:t>
      </w:r>
    </w:p>
  </w:footnote>
  <w:footnote w:id="61">
    <w:p w14:paraId="1B0A31D6" w14:textId="77777777" w:rsidR="005B7D8D" w:rsidRPr="008C0F7F" w:rsidRDefault="005B7D8D" w:rsidP="003C5CED">
      <w:pPr>
        <w:pStyle w:val="FootnoteText"/>
        <w:jc w:val="both"/>
        <w:rPr>
          <w:sz w:val="16"/>
          <w:szCs w:val="16"/>
        </w:rPr>
      </w:pPr>
      <w:r w:rsidRPr="008C0F7F">
        <w:rPr>
          <w:rStyle w:val="FootnoteReference"/>
          <w:sz w:val="16"/>
          <w:szCs w:val="16"/>
        </w:rPr>
        <w:footnoteRef/>
      </w:r>
      <w:r w:rsidRPr="008C0F7F">
        <w:rPr>
          <w:sz w:val="16"/>
          <w:szCs w:val="16"/>
        </w:rPr>
        <w:t xml:space="preserve"> Komitet UN za prava lica </w:t>
      </w:r>
      <w:r>
        <w:rPr>
          <w:sz w:val="16"/>
          <w:szCs w:val="16"/>
        </w:rPr>
        <w:t>sa</w:t>
      </w:r>
      <w:r w:rsidRPr="008C0F7F">
        <w:rPr>
          <w:sz w:val="16"/>
          <w:szCs w:val="16"/>
        </w:rPr>
        <w:t xml:space="preserve"> invaliditetom (2017), Zaključna razmatranja na Inicijalni izvještaj Crne Gore o sprovođenju Konvencije UN o pravima lica </w:t>
      </w:r>
      <w:r>
        <w:rPr>
          <w:sz w:val="16"/>
          <w:szCs w:val="16"/>
        </w:rPr>
        <w:t>sa</w:t>
      </w:r>
      <w:r w:rsidRPr="008C0F7F">
        <w:rPr>
          <w:sz w:val="16"/>
          <w:szCs w:val="16"/>
        </w:rPr>
        <w:t xml:space="preserve"> invaliditetom, paragraf 51.a:</w:t>
      </w:r>
    </w:p>
  </w:footnote>
  <w:footnote w:id="62">
    <w:p w14:paraId="7126A938" w14:textId="77777777" w:rsidR="005B7D8D" w:rsidRPr="008C0F7F" w:rsidRDefault="005B7D8D">
      <w:pPr>
        <w:pStyle w:val="FootnoteText"/>
        <w:rPr>
          <w:lang w:val="sr-Latn-ME"/>
        </w:rPr>
      </w:pPr>
      <w:r w:rsidRPr="008C0F7F">
        <w:rPr>
          <w:rStyle w:val="FootnoteReference"/>
          <w:sz w:val="16"/>
          <w:szCs w:val="16"/>
        </w:rPr>
        <w:footnoteRef/>
      </w:r>
      <w:r w:rsidRPr="008C0F7F">
        <w:rPr>
          <w:sz w:val="16"/>
          <w:szCs w:val="16"/>
        </w:rPr>
        <w:t xml:space="preserve"> </w:t>
      </w:r>
      <w:hyperlink r:id="rId15" w:history="1">
        <w:r w:rsidRPr="008C0F7F">
          <w:rPr>
            <w:rStyle w:val="Hyperlink"/>
            <w:sz w:val="16"/>
            <w:szCs w:val="16"/>
          </w:rPr>
          <w:t>https://monstat.org/cg/page.php?id=534&amp;pageid=322</w:t>
        </w:r>
      </w:hyperlink>
      <w:r>
        <w:t xml:space="preserve"> </w:t>
      </w:r>
    </w:p>
  </w:footnote>
  <w:footnote w:id="63">
    <w:p w14:paraId="7336B84F" w14:textId="77777777" w:rsidR="005B7D8D" w:rsidRPr="002C7204" w:rsidRDefault="005B7D8D" w:rsidP="00DD706A">
      <w:pPr>
        <w:pStyle w:val="FootnoteText"/>
        <w:jc w:val="both"/>
        <w:rPr>
          <w:rFonts w:cs="Arial"/>
          <w:sz w:val="16"/>
          <w:szCs w:val="16"/>
          <w:lang w:val="sr-Latn-RS"/>
        </w:rPr>
      </w:pPr>
      <w:r w:rsidRPr="002C7204">
        <w:rPr>
          <w:rStyle w:val="FootnoteReference"/>
          <w:rFonts w:cs="Arial"/>
          <w:sz w:val="16"/>
          <w:szCs w:val="16"/>
        </w:rPr>
        <w:footnoteRef/>
      </w:r>
      <w:r w:rsidRPr="002C7204">
        <w:rPr>
          <w:rFonts w:cs="Arial"/>
          <w:sz w:val="16"/>
          <w:szCs w:val="16"/>
        </w:rPr>
        <w:t>Strategija socijalne inkluzije Roma i Egipćana 2021</w:t>
      </w:r>
      <w:r>
        <w:rPr>
          <w:rFonts w:cs="Arial"/>
          <w:sz w:val="16"/>
          <w:szCs w:val="16"/>
        </w:rPr>
        <w:t>‒</w:t>
      </w:r>
      <w:r w:rsidRPr="002C7204">
        <w:rPr>
          <w:rFonts w:cs="Arial"/>
          <w:sz w:val="16"/>
          <w:szCs w:val="16"/>
        </w:rPr>
        <w:t xml:space="preserve">2025, </w:t>
      </w:r>
      <w:r w:rsidRPr="002C7204">
        <w:rPr>
          <w:rFonts w:cs="Arial"/>
          <w:i/>
          <w:sz w:val="16"/>
          <w:szCs w:val="16"/>
        </w:rPr>
        <w:t>Ministarstvo za ljudska i manjinska prava</w:t>
      </w:r>
      <w:r w:rsidRPr="002C7204">
        <w:rPr>
          <w:rFonts w:cs="Arial"/>
          <w:sz w:val="16"/>
          <w:szCs w:val="16"/>
        </w:rPr>
        <w:t>, 2021, Podgorica, Crna Gora.</w:t>
      </w:r>
    </w:p>
  </w:footnote>
  <w:footnote w:id="64">
    <w:p w14:paraId="1549AF5B" w14:textId="77777777" w:rsidR="005B7D8D" w:rsidRPr="002C7204" w:rsidRDefault="005B7D8D" w:rsidP="00BC2A76">
      <w:pPr>
        <w:pStyle w:val="FootnoteText"/>
        <w:jc w:val="both"/>
        <w:rPr>
          <w:rFonts w:cs="Arial"/>
          <w:sz w:val="16"/>
          <w:szCs w:val="16"/>
          <w:lang w:val="sr-Latn-ME"/>
        </w:rPr>
      </w:pPr>
      <w:r w:rsidRPr="003C5CED">
        <w:rPr>
          <w:rStyle w:val="FootnoteReference"/>
          <w:rFonts w:ascii="Times New Roman" w:hAnsi="Times New Roman" w:cs="Times New Roman"/>
          <w:sz w:val="16"/>
          <w:szCs w:val="16"/>
        </w:rPr>
        <w:footnoteRef/>
      </w:r>
      <w:r w:rsidRPr="003C5CED">
        <w:rPr>
          <w:rFonts w:ascii="Times New Roman" w:hAnsi="Times New Roman" w:cs="Times New Roman"/>
          <w:sz w:val="16"/>
          <w:szCs w:val="16"/>
        </w:rPr>
        <w:t xml:space="preserve"> </w:t>
      </w:r>
      <w:hyperlink r:id="rId16" w:tgtFrame="_blank" w:history="1">
        <w:r w:rsidRPr="002C7204">
          <w:rPr>
            <w:rStyle w:val="Hyperlink"/>
            <w:rFonts w:cs="Arial"/>
            <w:sz w:val="16"/>
            <w:szCs w:val="16"/>
          </w:rPr>
          <w:t>Montenegro Report 2023.pdf (europa.eu)</w:t>
        </w:r>
      </w:hyperlink>
      <w:r w:rsidRPr="002C7204">
        <w:rPr>
          <w:rFonts w:cs="Arial"/>
          <w:sz w:val="16"/>
          <w:szCs w:val="16"/>
        </w:rPr>
        <w:t xml:space="preserve"> (Datum pristupa (9.</w:t>
      </w:r>
      <w:r>
        <w:rPr>
          <w:rFonts w:cs="Arial"/>
          <w:sz w:val="16"/>
          <w:szCs w:val="16"/>
        </w:rPr>
        <w:t xml:space="preserve"> </w:t>
      </w:r>
      <w:r w:rsidRPr="002C7204">
        <w:rPr>
          <w:rFonts w:cs="Arial"/>
          <w:sz w:val="16"/>
          <w:szCs w:val="16"/>
        </w:rPr>
        <w:t>5.</w:t>
      </w:r>
      <w:r>
        <w:rPr>
          <w:rFonts w:cs="Arial"/>
          <w:sz w:val="16"/>
          <w:szCs w:val="16"/>
        </w:rPr>
        <w:t xml:space="preserve"> </w:t>
      </w:r>
      <w:r w:rsidRPr="002C7204">
        <w:rPr>
          <w:rFonts w:cs="Arial"/>
          <w:sz w:val="16"/>
          <w:szCs w:val="16"/>
        </w:rPr>
        <w:t>2024)</w:t>
      </w:r>
    </w:p>
  </w:footnote>
  <w:footnote w:id="65">
    <w:p w14:paraId="46D8E4E4" w14:textId="77777777" w:rsidR="005B7D8D" w:rsidRPr="002C7204" w:rsidRDefault="005B7D8D" w:rsidP="00BC2A76">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URL: </w:t>
      </w:r>
      <w:hyperlink r:id="rId17" w:tgtFrame="_blank" w:history="1">
        <w:r w:rsidRPr="002C7204">
          <w:rPr>
            <w:rStyle w:val="Hyperlink"/>
            <w:rFonts w:cs="Arial"/>
            <w:sz w:val="16"/>
            <w:szCs w:val="16"/>
          </w:rPr>
          <w:t>https://mmp.gov.me/ResourceManager/FileDownload.aspx?rid=417447&amp;rType=2&amp;file=Socio-ekonomski%20poloz%CB%87aj%20Roma%20i%20Egipc%C2%B4ana%20u%20Crnoj%20Gori.pdf</w:t>
        </w:r>
      </w:hyperlink>
      <w:r w:rsidRPr="002C7204">
        <w:rPr>
          <w:rFonts w:cs="Arial"/>
          <w:sz w:val="16"/>
          <w:szCs w:val="16"/>
        </w:rPr>
        <w:t> (Datum pristupa 8.</w:t>
      </w:r>
      <w:r>
        <w:rPr>
          <w:rFonts w:cs="Arial"/>
          <w:sz w:val="16"/>
          <w:szCs w:val="16"/>
        </w:rPr>
        <w:t xml:space="preserve"> </w:t>
      </w:r>
      <w:r w:rsidRPr="002C7204">
        <w:rPr>
          <w:rFonts w:cs="Arial"/>
          <w:sz w:val="16"/>
          <w:szCs w:val="16"/>
        </w:rPr>
        <w:t>5.</w:t>
      </w:r>
      <w:r>
        <w:rPr>
          <w:rFonts w:cs="Arial"/>
          <w:sz w:val="16"/>
          <w:szCs w:val="16"/>
        </w:rPr>
        <w:t xml:space="preserve"> </w:t>
      </w:r>
      <w:r w:rsidRPr="002C7204">
        <w:rPr>
          <w:rFonts w:cs="Arial"/>
          <w:sz w:val="16"/>
          <w:szCs w:val="16"/>
        </w:rPr>
        <w:t>2024. godine).</w:t>
      </w:r>
    </w:p>
  </w:footnote>
  <w:footnote w:id="66">
    <w:p w14:paraId="09D1C677" w14:textId="77777777" w:rsidR="005B7D8D" w:rsidRPr="002C7204" w:rsidRDefault="005B7D8D" w:rsidP="00BC2A76">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w:t>
      </w:r>
      <w:r w:rsidRPr="00513537">
        <w:rPr>
          <w:rFonts w:cs="Arial"/>
          <w:sz w:val="16"/>
          <w:szCs w:val="16"/>
        </w:rPr>
        <w:t>Isto</w:t>
      </w:r>
      <w:r>
        <w:rPr>
          <w:rFonts w:cs="Arial"/>
          <w:sz w:val="16"/>
          <w:szCs w:val="16"/>
        </w:rPr>
        <w:t>.</w:t>
      </w:r>
    </w:p>
  </w:footnote>
  <w:footnote w:id="67">
    <w:p w14:paraId="4FB76938" w14:textId="77777777" w:rsidR="005B7D8D" w:rsidRPr="002C7204" w:rsidRDefault="005B7D8D" w:rsidP="00BC2A76">
      <w:pPr>
        <w:pStyle w:val="FootnoteText"/>
        <w:jc w:val="both"/>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Položaj </w:t>
      </w:r>
      <w:r>
        <w:rPr>
          <w:rFonts w:cs="Arial"/>
          <w:sz w:val="16"/>
          <w:szCs w:val="16"/>
        </w:rPr>
        <w:t>R</w:t>
      </w:r>
      <w:r w:rsidRPr="002C7204">
        <w:rPr>
          <w:rFonts w:cs="Arial"/>
          <w:sz w:val="16"/>
          <w:szCs w:val="16"/>
        </w:rPr>
        <w:t xml:space="preserve">oma i Egipćana u Crnoj Gori, </w:t>
      </w:r>
      <w:r w:rsidRPr="002C7204">
        <w:rPr>
          <w:rFonts w:cs="Arial"/>
          <w:i/>
          <w:sz w:val="16"/>
          <w:szCs w:val="16"/>
        </w:rPr>
        <w:t>Institucija Zaštitnika ljudskih prava i sloboda Crne Gore</w:t>
      </w:r>
      <w:r w:rsidRPr="002C7204">
        <w:rPr>
          <w:rFonts w:cs="Arial"/>
          <w:sz w:val="16"/>
          <w:szCs w:val="16"/>
        </w:rPr>
        <w:t>, 2021, Podgorica, Crna Gora</w:t>
      </w:r>
      <w:r>
        <w:rPr>
          <w:rFonts w:cs="Arial"/>
          <w:sz w:val="16"/>
          <w:szCs w:val="16"/>
        </w:rPr>
        <w:t>.</w:t>
      </w:r>
    </w:p>
  </w:footnote>
  <w:footnote w:id="68">
    <w:p w14:paraId="4A4C66B4" w14:textId="77777777" w:rsidR="005B7D8D" w:rsidRPr="009E140F" w:rsidRDefault="005B7D8D" w:rsidP="00BC2A76">
      <w:pPr>
        <w:pStyle w:val="FootnoteText"/>
        <w:jc w:val="both"/>
        <w:rPr>
          <w:lang w:val="sr-Latn-ME"/>
        </w:rPr>
      </w:pPr>
      <w:r w:rsidRPr="002C7204">
        <w:rPr>
          <w:rStyle w:val="FootnoteReference"/>
          <w:rFonts w:cs="Arial"/>
          <w:sz w:val="16"/>
          <w:szCs w:val="16"/>
        </w:rPr>
        <w:footnoteRef/>
      </w:r>
      <w:r w:rsidRPr="002C7204">
        <w:rPr>
          <w:rFonts w:cs="Arial"/>
          <w:sz w:val="16"/>
          <w:szCs w:val="16"/>
        </w:rPr>
        <w:t>URL:</w:t>
      </w:r>
      <w:r>
        <w:rPr>
          <w:rFonts w:cs="Arial"/>
          <w:sz w:val="16"/>
          <w:szCs w:val="16"/>
        </w:rPr>
        <w:t xml:space="preserve"> </w:t>
      </w:r>
      <w:hyperlink r:id="rId18" w:history="1">
        <w:r w:rsidRPr="00EA104D">
          <w:rPr>
            <w:rStyle w:val="Hyperlink"/>
            <w:rFonts w:cs="Arial"/>
            <w:sz w:val="16"/>
            <w:szCs w:val="16"/>
          </w:rPr>
          <w:t>https://op.europa.eu/en/publication-detail/-/publication/66f8eded-7eee-11ee-99ba 01aa75ed71a1/language-en</w:t>
        </w:r>
      </w:hyperlink>
      <w:r w:rsidRPr="002C7204">
        <w:rPr>
          <w:rFonts w:cs="Arial"/>
          <w:sz w:val="16"/>
          <w:szCs w:val="16"/>
        </w:rPr>
        <w:t xml:space="preserve"> (Datum pristupa 8.</w:t>
      </w:r>
      <w:r>
        <w:rPr>
          <w:rFonts w:cs="Arial"/>
          <w:sz w:val="16"/>
          <w:szCs w:val="16"/>
        </w:rPr>
        <w:t xml:space="preserve"> </w:t>
      </w:r>
      <w:r w:rsidRPr="002C7204">
        <w:rPr>
          <w:rFonts w:cs="Arial"/>
          <w:sz w:val="16"/>
          <w:szCs w:val="16"/>
        </w:rPr>
        <w:t>5.</w:t>
      </w:r>
      <w:r>
        <w:rPr>
          <w:rFonts w:cs="Arial"/>
          <w:sz w:val="16"/>
          <w:szCs w:val="16"/>
        </w:rPr>
        <w:t xml:space="preserve"> </w:t>
      </w:r>
      <w:r w:rsidRPr="002C7204">
        <w:rPr>
          <w:rFonts w:cs="Arial"/>
          <w:sz w:val="16"/>
          <w:szCs w:val="16"/>
        </w:rPr>
        <w:t>2024. godine).</w:t>
      </w:r>
      <w:r>
        <w:t xml:space="preserve"> </w:t>
      </w:r>
    </w:p>
  </w:footnote>
  <w:footnote w:id="69">
    <w:p w14:paraId="700CEDAA" w14:textId="77777777" w:rsidR="005B7D8D" w:rsidRPr="00F23AC4" w:rsidRDefault="005B7D8D">
      <w:pPr>
        <w:pStyle w:val="FootnoteText"/>
        <w:rPr>
          <w:lang w:val="sr-Latn-ME"/>
        </w:rPr>
      </w:pPr>
      <w:r>
        <w:rPr>
          <w:rStyle w:val="FootnoteReference"/>
        </w:rPr>
        <w:footnoteRef/>
      </w:r>
      <w:r>
        <w:t xml:space="preserve"> </w:t>
      </w:r>
      <w:hyperlink r:id="rId19" w:history="1">
        <w:r w:rsidRPr="00F23AC4">
          <w:rPr>
            <w:rStyle w:val="Hyperlink"/>
            <w:sz w:val="16"/>
            <w:szCs w:val="16"/>
          </w:rPr>
          <w:t>PowerPoint Presentation (monstat.org)</w:t>
        </w:r>
      </w:hyperlink>
    </w:p>
  </w:footnote>
  <w:footnote w:id="70">
    <w:p w14:paraId="3B0690A3" w14:textId="77777777" w:rsidR="005B7D8D" w:rsidRPr="00EE71E9" w:rsidRDefault="005B7D8D">
      <w:pPr>
        <w:pStyle w:val="FootnoteText"/>
        <w:rPr>
          <w:rFonts w:cs="Arial"/>
          <w:lang w:val="sr-Latn-ME"/>
        </w:rPr>
      </w:pPr>
      <w:r w:rsidRPr="00EE71E9">
        <w:rPr>
          <w:rStyle w:val="FootnoteReference"/>
          <w:rFonts w:cs="Arial"/>
        </w:rPr>
        <w:footnoteRef/>
      </w:r>
      <w:r w:rsidRPr="00EE71E9">
        <w:rPr>
          <w:rFonts w:cs="Arial"/>
        </w:rPr>
        <w:t xml:space="preserve"> </w:t>
      </w:r>
      <w:hyperlink r:id="rId20" w:history="1">
        <w:r w:rsidRPr="00B91E04">
          <w:rPr>
            <w:rStyle w:val="Hyperlink"/>
            <w:rFonts w:cs="Arial"/>
            <w:sz w:val="16"/>
            <w:szCs w:val="16"/>
          </w:rPr>
          <w:t>https://www.cedem.me/wp-content/uploads/2023/12/CEDEM_Analiza_Prava-LGBTIQ-zajednice-u-svijetlu-prakse-ESLJP-dizajn-2.pdf</w:t>
        </w:r>
      </w:hyperlink>
      <w:r>
        <w:rPr>
          <w:rFonts w:cs="Arial"/>
          <w:sz w:val="16"/>
          <w:szCs w:val="16"/>
        </w:rPr>
        <w:t xml:space="preserve"> </w:t>
      </w:r>
    </w:p>
  </w:footnote>
  <w:footnote w:id="71">
    <w:p w14:paraId="05E79D0D" w14:textId="77777777" w:rsidR="005B7D8D" w:rsidRPr="00F87ECD" w:rsidRDefault="005B7D8D">
      <w:pPr>
        <w:pStyle w:val="FootnoteText"/>
        <w:rPr>
          <w:lang w:val="sr-Latn-ME"/>
        </w:rPr>
      </w:pPr>
      <w:r w:rsidRPr="00EE71E9">
        <w:rPr>
          <w:rStyle w:val="FootnoteReference"/>
          <w:rFonts w:cs="Arial"/>
        </w:rPr>
        <w:footnoteRef/>
      </w:r>
      <w:r w:rsidRPr="00EE71E9">
        <w:rPr>
          <w:rFonts w:cs="Arial"/>
        </w:rPr>
        <w:t xml:space="preserve"> </w:t>
      </w:r>
      <w:hyperlink r:id="rId21" w:history="1">
        <w:r w:rsidRPr="00B91E04">
          <w:rPr>
            <w:rStyle w:val="Hyperlink"/>
            <w:rFonts w:cs="Arial"/>
            <w:sz w:val="16"/>
            <w:szCs w:val="16"/>
          </w:rPr>
          <w:t>https://www.monstat.org/uploads/files/demografija/gbv/Saop%C5%A1tenje%20gbv%2025%2011%202022.pdf</w:t>
        </w:r>
      </w:hyperlink>
      <w:r>
        <w:rPr>
          <w:rFonts w:cs="Arial"/>
          <w:color w:val="000000" w:themeColor="text1"/>
          <w:sz w:val="16"/>
          <w:szCs w:val="16"/>
        </w:rPr>
        <w:t xml:space="preserve"> </w:t>
      </w:r>
    </w:p>
  </w:footnote>
  <w:footnote w:id="72">
    <w:p w14:paraId="2180BB6A" w14:textId="77777777" w:rsidR="005B7D8D" w:rsidRPr="00C23804" w:rsidRDefault="005B7D8D" w:rsidP="002B4243">
      <w:pPr>
        <w:pStyle w:val="FootnoteText"/>
        <w:rPr>
          <w:rFonts w:ascii="Cambria" w:hAnsi="Cambria" w:cstheme="minorHAnsi"/>
          <w:color w:val="000000" w:themeColor="text1"/>
          <w:sz w:val="16"/>
          <w:szCs w:val="16"/>
        </w:rPr>
      </w:pPr>
      <w:r w:rsidRPr="00C23804">
        <w:rPr>
          <w:rStyle w:val="FootnoteReference"/>
          <w:rFonts w:ascii="Cambria" w:eastAsia="Calibri" w:hAnsi="Cambria" w:cstheme="minorHAnsi"/>
          <w:color w:val="000000" w:themeColor="text1"/>
          <w:sz w:val="16"/>
          <w:szCs w:val="16"/>
        </w:rPr>
        <w:footnoteRef/>
      </w:r>
      <w:r w:rsidRPr="00C23804">
        <w:rPr>
          <w:rFonts w:ascii="Cambria" w:hAnsi="Cambria" w:cstheme="minorHAnsi"/>
          <w:color w:val="000000" w:themeColor="text1"/>
          <w:sz w:val="16"/>
          <w:szCs w:val="16"/>
        </w:rPr>
        <w:t xml:space="preserve"> Economic and Social Council (ECOSOC), Report of the United Nations High Commissioner for Human Rights, Economic, social and cultural rights, UN Doc. E/2018/57, May 2018.</w:t>
      </w:r>
    </w:p>
  </w:footnote>
  <w:footnote w:id="73">
    <w:p w14:paraId="62A2941E" w14:textId="77777777" w:rsidR="005B7D8D" w:rsidRDefault="005B7D8D" w:rsidP="00D9050F">
      <w:pPr>
        <w:pStyle w:val="FootnoteText"/>
        <w:jc w:val="both"/>
      </w:pPr>
      <w:r w:rsidRPr="001F708B">
        <w:rPr>
          <w:rStyle w:val="FootnoteReference"/>
          <w:sz w:val="16"/>
          <w:szCs w:val="16"/>
        </w:rPr>
        <w:footnoteRef/>
      </w:r>
      <w:r w:rsidRPr="001F708B">
        <w:rPr>
          <w:sz w:val="16"/>
          <w:szCs w:val="16"/>
        </w:rPr>
        <w:t xml:space="preserve"> </w:t>
      </w:r>
      <w:r>
        <w:rPr>
          <w:sz w:val="16"/>
          <w:szCs w:val="16"/>
        </w:rPr>
        <w:t>Z</w:t>
      </w:r>
      <w:r w:rsidRPr="001F708B">
        <w:rPr>
          <w:sz w:val="16"/>
          <w:szCs w:val="16"/>
        </w:rPr>
        <w:t xml:space="preserve">akon o povlastici na putovanje lica </w:t>
      </w:r>
      <w:r>
        <w:rPr>
          <w:sz w:val="16"/>
          <w:szCs w:val="16"/>
        </w:rPr>
        <w:t>sa</w:t>
      </w:r>
      <w:r w:rsidRPr="001F708B">
        <w:rPr>
          <w:sz w:val="16"/>
          <w:szCs w:val="16"/>
        </w:rPr>
        <w:t xml:space="preserve"> invaliditetom ("Službeni list Crne Gore", br. 080/08 od 26.</w:t>
      </w:r>
      <w:r>
        <w:rPr>
          <w:sz w:val="16"/>
          <w:szCs w:val="16"/>
        </w:rPr>
        <w:t xml:space="preserve"> </w:t>
      </w:r>
      <w:r w:rsidRPr="001F708B">
        <w:rPr>
          <w:sz w:val="16"/>
          <w:szCs w:val="16"/>
        </w:rPr>
        <w:t>12.</w:t>
      </w:r>
      <w:r>
        <w:rPr>
          <w:sz w:val="16"/>
          <w:szCs w:val="16"/>
        </w:rPr>
        <w:t xml:space="preserve"> </w:t>
      </w:r>
      <w:r w:rsidRPr="001F708B">
        <w:rPr>
          <w:sz w:val="16"/>
          <w:szCs w:val="16"/>
        </w:rPr>
        <w:t>2008, 040/11 od 8.</w:t>
      </w:r>
      <w:r>
        <w:rPr>
          <w:sz w:val="16"/>
          <w:szCs w:val="16"/>
        </w:rPr>
        <w:t xml:space="preserve"> </w:t>
      </w:r>
      <w:r w:rsidRPr="001F708B">
        <w:rPr>
          <w:sz w:val="16"/>
          <w:szCs w:val="16"/>
        </w:rPr>
        <w:t>8.</w:t>
      </w:r>
      <w:r>
        <w:rPr>
          <w:sz w:val="16"/>
          <w:szCs w:val="16"/>
        </w:rPr>
        <w:t xml:space="preserve"> </w:t>
      </w:r>
      <w:r w:rsidRPr="001F708B">
        <w:rPr>
          <w:sz w:val="16"/>
          <w:szCs w:val="16"/>
        </w:rPr>
        <w:t>2011, 010/15 od 10.</w:t>
      </w:r>
      <w:r>
        <w:rPr>
          <w:sz w:val="16"/>
          <w:szCs w:val="16"/>
        </w:rPr>
        <w:t xml:space="preserve"> </w:t>
      </w:r>
      <w:r w:rsidRPr="001F708B">
        <w:rPr>
          <w:sz w:val="16"/>
          <w:szCs w:val="16"/>
        </w:rPr>
        <w:t>3.</w:t>
      </w:r>
      <w:r>
        <w:rPr>
          <w:sz w:val="16"/>
          <w:szCs w:val="16"/>
        </w:rPr>
        <w:t xml:space="preserve"> </w:t>
      </w:r>
      <w:r w:rsidRPr="001F708B">
        <w:rPr>
          <w:sz w:val="16"/>
          <w:szCs w:val="16"/>
        </w:rPr>
        <w:t>2015, 050/17 od 31.</w:t>
      </w:r>
      <w:r>
        <w:rPr>
          <w:sz w:val="16"/>
          <w:szCs w:val="16"/>
        </w:rPr>
        <w:t xml:space="preserve"> </w:t>
      </w:r>
      <w:r w:rsidRPr="001F708B">
        <w:rPr>
          <w:sz w:val="16"/>
          <w:szCs w:val="16"/>
        </w:rPr>
        <w:t>7.</w:t>
      </w:r>
      <w:r>
        <w:rPr>
          <w:sz w:val="16"/>
          <w:szCs w:val="16"/>
        </w:rPr>
        <w:t xml:space="preserve"> </w:t>
      </w:r>
      <w:r w:rsidRPr="001F708B">
        <w:rPr>
          <w:sz w:val="16"/>
          <w:szCs w:val="16"/>
        </w:rPr>
        <w:t>2017)</w:t>
      </w:r>
      <w:r>
        <w:rPr>
          <w:sz w:val="16"/>
          <w:szCs w:val="16"/>
        </w:rPr>
        <w:t>.</w:t>
      </w:r>
    </w:p>
  </w:footnote>
  <w:footnote w:id="74">
    <w:p w14:paraId="12192F19" w14:textId="77777777" w:rsidR="005B7D8D" w:rsidRPr="004305DF" w:rsidRDefault="005B7D8D" w:rsidP="00735198">
      <w:pPr>
        <w:pStyle w:val="FootnoteText"/>
        <w:rPr>
          <w:lang w:val="hr-HR"/>
        </w:rPr>
      </w:pPr>
      <w:r>
        <w:rPr>
          <w:rStyle w:val="FootnoteReference"/>
        </w:rPr>
        <w:footnoteRef/>
      </w:r>
      <w:r>
        <w:t xml:space="preserve"> </w:t>
      </w:r>
      <w:hyperlink r:id="rId22" w:history="1">
        <w:r w:rsidRPr="00B91E04">
          <w:rPr>
            <w:rStyle w:val="Hyperlink"/>
          </w:rPr>
          <w:t>https://ec.europa.eu/social/main.jsp?catId=1059&amp;langId=en</w:t>
        </w:r>
      </w:hyperlink>
      <w:r>
        <w:t xml:space="preserve"> </w:t>
      </w:r>
    </w:p>
  </w:footnote>
  <w:footnote w:id="75">
    <w:p w14:paraId="6B3090A5" w14:textId="77777777" w:rsidR="005B7D8D" w:rsidRDefault="005B7D8D" w:rsidP="00F509B6">
      <w:pPr>
        <w:pStyle w:val="FootnoteText"/>
        <w:jc w:val="both"/>
      </w:pPr>
      <w:r>
        <w:rPr>
          <w:rStyle w:val="FootnoteReference"/>
        </w:rPr>
        <w:footnoteRef/>
      </w:r>
      <w:r>
        <w:t xml:space="preserve"> Inicijativa mladih s invaliditetom Boke (2024), Sažetak „</w:t>
      </w:r>
      <w:r w:rsidRPr="002C4675">
        <w:t>Rodno odgovorno budžetiranje u oblastima profesionalne rehabilitacije i zapošljavanja i socijalne i dječje zaštite osoba s invaliditetom</w:t>
      </w:r>
      <w:r>
        <w:t xml:space="preserve">”, str. 17: </w:t>
      </w:r>
      <w:hyperlink r:id="rId23" w:history="1">
        <w:r w:rsidRPr="00B91E04">
          <w:rPr>
            <w:rStyle w:val="Hyperlink"/>
          </w:rPr>
          <w:t>https://imiboke.me/static/ROB-7a44608b199b4ac567b9e84ff24784b9.pdf</w:t>
        </w:r>
      </w:hyperlink>
      <w:r>
        <w:t xml:space="preserve">; </w:t>
      </w:r>
    </w:p>
  </w:footnote>
  <w:footnote w:id="76">
    <w:p w14:paraId="4129FD7B" w14:textId="77777777" w:rsidR="005B7D8D" w:rsidRDefault="005B7D8D" w:rsidP="008B2F62">
      <w:pPr>
        <w:pStyle w:val="FootnoteText"/>
        <w:rPr>
          <w:rFonts w:ascii="Cambria" w:hAnsi="Cambria" w:cstheme="minorHAnsi"/>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Pr>
          <w:rFonts w:ascii="Cambria" w:hAnsi="Cambria" w:cstheme="minorHAnsi"/>
          <w:color w:val="000000" w:themeColor="text1"/>
          <w:sz w:val="16"/>
          <w:szCs w:val="16"/>
        </w:rPr>
        <w:t xml:space="preserve">Zakon o socijalnoj i dječjoj zaštiti, član 60, Službeni list </w:t>
      </w:r>
    </w:p>
  </w:footnote>
  <w:footnote w:id="77">
    <w:p w14:paraId="02EE3520" w14:textId="77777777" w:rsidR="005B7D8D" w:rsidRDefault="005B7D8D" w:rsidP="008B2F62">
      <w:pPr>
        <w:rPr>
          <w:rFonts w:ascii="Cambria" w:hAnsi="Cambria" w:cstheme="minorHAnsi"/>
          <w:i/>
          <w:iCs/>
          <w:color w:val="FF0000"/>
          <w:sz w:val="16"/>
          <w:szCs w:val="16"/>
        </w:rPr>
      </w:pPr>
      <w:r w:rsidRPr="006E3A6B">
        <w:rPr>
          <w:rStyle w:val="FootnoteReference"/>
          <w:rFonts w:cs="Arial"/>
          <w:sz w:val="16"/>
          <w:szCs w:val="16"/>
        </w:rPr>
        <w:footnoteRef/>
      </w:r>
      <w:r w:rsidRPr="006E3A6B">
        <w:rPr>
          <w:rFonts w:cs="Arial"/>
          <w:sz w:val="16"/>
          <w:szCs w:val="16"/>
        </w:rPr>
        <w:t xml:space="preserve"> Pravilnik o bližim uslovima za pružanje i korišćenje, normativima i minimalnim standardima usluga podrške za život u zajednici (“Sl. list Crne Gore”, br. 063/19)</w:t>
      </w:r>
    </w:p>
  </w:footnote>
  <w:footnote w:id="78">
    <w:p w14:paraId="0778AD26" w14:textId="77777777" w:rsidR="005B7D8D" w:rsidRPr="006E3A6B" w:rsidRDefault="005B7D8D" w:rsidP="008B2F62">
      <w:pPr>
        <w:rPr>
          <w:rFonts w:cs="Arial"/>
          <w:sz w:val="16"/>
          <w:szCs w:val="16"/>
        </w:rPr>
      </w:pPr>
      <w:r w:rsidRPr="000218D4">
        <w:rPr>
          <w:rFonts w:cs="Arial"/>
          <w:sz w:val="16"/>
          <w:szCs w:val="16"/>
          <w:vertAlign w:val="superscript"/>
        </w:rPr>
        <w:footnoteRef/>
      </w:r>
      <w:r w:rsidRPr="000218D4">
        <w:rPr>
          <w:rFonts w:cs="Arial"/>
          <w:sz w:val="16"/>
          <w:szCs w:val="16"/>
        </w:rPr>
        <w:t xml:space="preserve"> </w:t>
      </w:r>
      <w:r w:rsidRPr="006E3A6B">
        <w:rPr>
          <w:rFonts w:cs="Arial"/>
          <w:color w:val="000000" w:themeColor="text1"/>
          <w:sz w:val="16"/>
          <w:szCs w:val="16"/>
        </w:rPr>
        <w:t xml:space="preserve">Pravilnik o bližim uslovima za pružanje i korišćenje, normativima i minimalnim standardima usluga podrške za život u zajednici </w:t>
      </w:r>
      <w:r w:rsidRPr="006E3A6B">
        <w:rPr>
          <w:rFonts w:cs="Arial"/>
          <w:i/>
          <w:iCs/>
          <w:color w:val="000000" w:themeColor="text1"/>
          <w:sz w:val="16"/>
          <w:szCs w:val="16"/>
        </w:rPr>
        <w:t>(Sl. list CG,, br. 063/19</w:t>
      </w:r>
      <w:r w:rsidRPr="006E3A6B">
        <w:rPr>
          <w:rFonts w:cs="Arial"/>
          <w:sz w:val="16"/>
          <w:szCs w:val="16"/>
        </w:rPr>
        <w:t>), član 3.</w:t>
      </w:r>
    </w:p>
  </w:footnote>
  <w:footnote w:id="79">
    <w:p w14:paraId="3B9737D7" w14:textId="77777777" w:rsidR="005B7D8D" w:rsidRPr="006E3A6B" w:rsidRDefault="005B7D8D" w:rsidP="008B2F62">
      <w:pPr>
        <w:rPr>
          <w:rFonts w:eastAsia="Cambria"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eastAsia="Cambria" w:cs="Arial"/>
          <w:sz w:val="16"/>
          <w:szCs w:val="16"/>
        </w:rPr>
        <w:t xml:space="preserve">Pravilnik o bližim uslovima za pružanje i korišćenje, normativima i minimalnim standardima usluga podrške za život u zajednici </w:t>
      </w:r>
      <w:r w:rsidRPr="006E3A6B">
        <w:rPr>
          <w:rFonts w:cs="Arial"/>
          <w:i/>
          <w:iCs/>
          <w:sz w:val="16"/>
          <w:szCs w:val="16"/>
        </w:rPr>
        <w:t>(Sl. list CG,, br. 063/19</w:t>
      </w:r>
      <w:r w:rsidRPr="006E3A6B">
        <w:rPr>
          <w:rFonts w:cs="Arial"/>
          <w:sz w:val="16"/>
          <w:szCs w:val="16"/>
        </w:rPr>
        <w:t xml:space="preserve">), </w:t>
      </w:r>
      <w:r w:rsidRPr="006E3A6B">
        <w:rPr>
          <w:rFonts w:eastAsia="Cambria" w:cs="Arial"/>
          <w:sz w:val="16"/>
          <w:szCs w:val="16"/>
        </w:rPr>
        <w:t>član 34.</w:t>
      </w:r>
    </w:p>
  </w:footnote>
  <w:footnote w:id="80">
    <w:p w14:paraId="334603F2" w14:textId="77777777" w:rsidR="005B7D8D" w:rsidRPr="006E3A6B" w:rsidRDefault="005B7D8D" w:rsidP="008B2F62">
      <w:pPr>
        <w:pStyle w:val="FootnoteText"/>
        <w:rPr>
          <w:rFonts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cs="Arial"/>
          <w:sz w:val="16"/>
          <w:szCs w:val="16"/>
          <w:lang w:val="sr-Latn-ME"/>
        </w:rPr>
        <w:t>Registar licenciranih pružalaca usluga socijalne i dječje zaštite,</w:t>
      </w:r>
      <w:r w:rsidRPr="00422DE3">
        <w:rPr>
          <w:rFonts w:cs="Arial"/>
        </w:rPr>
        <w:t xml:space="preserve"> </w:t>
      </w:r>
      <w:r w:rsidRPr="006E3A6B">
        <w:rPr>
          <w:rFonts w:cs="Arial"/>
          <w:sz w:val="16"/>
          <w:szCs w:val="16"/>
          <w:lang w:val="sr-Latn-ME"/>
        </w:rPr>
        <w:t>https://www.gov.me/dokumenta/0ff6c498-4700-4c13-9406-c5e1dce2207e, 25.</w:t>
      </w:r>
      <w:r>
        <w:rPr>
          <w:rFonts w:cs="Arial"/>
          <w:sz w:val="16"/>
          <w:szCs w:val="16"/>
          <w:lang w:val="sr-Latn-ME"/>
        </w:rPr>
        <w:t xml:space="preserve"> </w:t>
      </w:r>
      <w:r w:rsidRPr="006E3A6B">
        <w:rPr>
          <w:rFonts w:cs="Arial"/>
          <w:sz w:val="16"/>
          <w:szCs w:val="16"/>
          <w:lang w:val="sr-Latn-ME"/>
        </w:rPr>
        <w:t>4.</w:t>
      </w:r>
      <w:r>
        <w:rPr>
          <w:rFonts w:cs="Arial"/>
          <w:sz w:val="16"/>
          <w:szCs w:val="16"/>
          <w:lang w:val="sr-Latn-ME"/>
        </w:rPr>
        <w:t xml:space="preserve"> </w:t>
      </w:r>
      <w:r w:rsidRPr="006E3A6B">
        <w:rPr>
          <w:rFonts w:cs="Arial"/>
          <w:sz w:val="16"/>
          <w:szCs w:val="16"/>
          <w:lang w:val="sr-Latn-ME"/>
        </w:rPr>
        <w:t>2024.</w:t>
      </w:r>
    </w:p>
  </w:footnote>
  <w:footnote w:id="81">
    <w:p w14:paraId="20122518" w14:textId="77777777" w:rsidR="005B7D8D" w:rsidRPr="006E3A6B" w:rsidRDefault="005B7D8D" w:rsidP="008B2F62">
      <w:pPr>
        <w:pStyle w:val="NormalWeb"/>
        <w:shd w:val="clear" w:color="auto" w:fill="FFFFFF"/>
        <w:rPr>
          <w:rFonts w:ascii="Arial" w:hAnsi="Arial" w:cs="Arial"/>
          <w:sz w:val="16"/>
          <w:szCs w:val="16"/>
        </w:rPr>
      </w:pPr>
      <w:r w:rsidRPr="006E3A6B">
        <w:rPr>
          <w:rStyle w:val="FootnoteReference"/>
          <w:rFonts w:ascii="Arial" w:hAnsi="Arial" w:cs="Arial"/>
          <w:sz w:val="16"/>
          <w:szCs w:val="16"/>
          <w:lang w:val="sr-Latn-RS"/>
        </w:rPr>
        <w:footnoteRef/>
      </w:r>
      <w:r w:rsidRPr="006E3A6B">
        <w:rPr>
          <w:rFonts w:ascii="Arial" w:hAnsi="Arial" w:cs="Arial"/>
          <w:sz w:val="16"/>
          <w:szCs w:val="16"/>
          <w:lang w:val="sr-Latn-RS"/>
        </w:rPr>
        <w:t xml:space="preserve"> Marina Vujačić, A</w:t>
      </w:r>
      <w:r w:rsidRPr="006E3A6B">
        <w:rPr>
          <w:rFonts w:ascii="Arial" w:hAnsi="Arial" w:cs="Arial"/>
          <w:sz w:val="16"/>
          <w:szCs w:val="16"/>
        </w:rPr>
        <w:t xml:space="preserve">naliza usluga za </w:t>
      </w:r>
      <w:r w:rsidRPr="006E3A6B">
        <w:rPr>
          <w:rFonts w:ascii="Arial" w:hAnsi="Arial" w:cs="Arial"/>
          <w:sz w:val="16"/>
          <w:szCs w:val="16"/>
          <w:lang w:val="sr-Latn-RS"/>
        </w:rPr>
        <w:t>OSI</w:t>
      </w:r>
      <w:r w:rsidRPr="006E3A6B">
        <w:rPr>
          <w:rFonts w:ascii="Arial" w:hAnsi="Arial" w:cs="Arial"/>
          <w:sz w:val="16"/>
          <w:szCs w:val="16"/>
        </w:rPr>
        <w:t xml:space="preserve"> i preporuke za unapre</w:t>
      </w:r>
      <w:r>
        <w:rPr>
          <w:rFonts w:ascii="Arial" w:hAnsi="Arial" w:cs="Arial"/>
          <w:sz w:val="16"/>
          <w:szCs w:val="16"/>
        </w:rPr>
        <w:t>đ</w:t>
      </w:r>
      <w:r w:rsidRPr="006E3A6B">
        <w:rPr>
          <w:rFonts w:ascii="Arial" w:hAnsi="Arial" w:cs="Arial"/>
          <w:sz w:val="16"/>
          <w:szCs w:val="16"/>
        </w:rPr>
        <w:t>enje trenutnog stanja</w:t>
      </w:r>
      <w:r w:rsidRPr="006E3A6B">
        <w:rPr>
          <w:rFonts w:ascii="Arial" w:hAnsi="Arial" w:cs="Arial"/>
          <w:sz w:val="16"/>
          <w:szCs w:val="16"/>
          <w:lang w:val="sr-Latn-RS"/>
        </w:rPr>
        <w:t xml:space="preserve">, </w:t>
      </w:r>
      <w:r w:rsidRPr="006E3A6B">
        <w:rPr>
          <w:rFonts w:ascii="Arial" w:hAnsi="Arial" w:cs="Arial"/>
          <w:sz w:val="16"/>
          <w:szCs w:val="16"/>
        </w:rPr>
        <w:t>Udruženje mladih sa hendikepom Crne Gore</w:t>
      </w:r>
      <w:r>
        <w:rPr>
          <w:rFonts w:ascii="Arial" w:hAnsi="Arial" w:cs="Arial"/>
          <w:sz w:val="16"/>
          <w:szCs w:val="16"/>
        </w:rPr>
        <w:t>,</w:t>
      </w:r>
      <w:r w:rsidRPr="006E3A6B">
        <w:rPr>
          <w:rFonts w:ascii="Arial" w:hAnsi="Arial" w:cs="Arial"/>
          <w:sz w:val="16"/>
          <w:szCs w:val="16"/>
        </w:rPr>
        <w:t xml:space="preserve"> 2021</w:t>
      </w:r>
      <w:r w:rsidRPr="006E3A6B">
        <w:rPr>
          <w:rFonts w:ascii="Arial" w:hAnsi="Arial" w:cs="Arial"/>
          <w:sz w:val="16"/>
          <w:szCs w:val="16"/>
          <w:lang w:val="sr-Latn-RS"/>
        </w:rPr>
        <w:t xml:space="preserve">. </w:t>
      </w:r>
    </w:p>
  </w:footnote>
  <w:footnote w:id="82">
    <w:p w14:paraId="7325DCD0" w14:textId="77777777" w:rsidR="005B7D8D" w:rsidRPr="002C7204" w:rsidRDefault="005B7D8D" w:rsidP="00535161">
      <w:pPr>
        <w:pStyle w:val="FootnoteText"/>
        <w:rPr>
          <w:rFonts w:cs="Arial"/>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sidRPr="002C7204">
        <w:rPr>
          <w:rFonts w:cs="Arial"/>
          <w:color w:val="000000" w:themeColor="text1"/>
          <w:sz w:val="16"/>
          <w:szCs w:val="16"/>
        </w:rPr>
        <w:t>Zakon o socijalnoj i dečjoj zaštiti, član 66.</w:t>
      </w:r>
    </w:p>
  </w:footnote>
  <w:footnote w:id="83">
    <w:p w14:paraId="0E950244" w14:textId="77777777" w:rsidR="005B7D8D" w:rsidRDefault="005B7D8D" w:rsidP="008B2F62">
      <w:pPr>
        <w:pStyle w:val="FootnoteText"/>
        <w:rPr>
          <w:rFonts w:ascii="Cambria" w:hAnsi="Cambria" w:cstheme="minorHAnsi"/>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sidRPr="002C7204">
        <w:rPr>
          <w:rFonts w:cs="Arial"/>
          <w:color w:val="000000" w:themeColor="text1"/>
          <w:sz w:val="16"/>
          <w:szCs w:val="16"/>
          <w:lang w:val="hr-HR"/>
        </w:rPr>
        <w:t xml:space="preserve">Plan transformacije JU Zavod „Komanski most“, </w:t>
      </w:r>
      <w:hyperlink r:id="rId24" w:history="1">
        <w:r w:rsidRPr="002C7204">
          <w:rPr>
            <w:rStyle w:val="Hyperlink"/>
            <w:rFonts w:eastAsia="Calibri" w:cs="Arial"/>
            <w:sz w:val="16"/>
            <w:szCs w:val="16"/>
            <w:lang w:val="hr-HR"/>
          </w:rPr>
          <w:t>https://juzkomanskimost.me/sites/juzkomanskimost.me/files/2022-11/plan_transformacije-20.08.2020.pdf</w:t>
        </w:r>
      </w:hyperlink>
      <w:r>
        <w:rPr>
          <w:rFonts w:ascii="Cambria" w:hAnsi="Cambria" w:cstheme="minorHAnsi"/>
          <w:color w:val="000000" w:themeColor="text1"/>
          <w:sz w:val="16"/>
          <w:szCs w:val="16"/>
          <w:lang w:val="hr-HR"/>
        </w:rPr>
        <w:t xml:space="preserve"> </w:t>
      </w:r>
    </w:p>
  </w:footnote>
  <w:footnote w:id="84">
    <w:p w14:paraId="058490FF" w14:textId="77777777" w:rsidR="005B7D8D" w:rsidRPr="006E3A6B" w:rsidRDefault="005B7D8D" w:rsidP="00C44B1D">
      <w:pPr>
        <w:jc w:val="both"/>
        <w:rPr>
          <w:rFonts w:eastAsia="Cambria" w:cs="Arial"/>
          <w:color w:val="000000"/>
          <w:sz w:val="16"/>
          <w:szCs w:val="16"/>
        </w:rPr>
      </w:pPr>
      <w:r w:rsidRPr="002C7204">
        <w:rPr>
          <w:rStyle w:val="FootnoteReference"/>
          <w:rFonts w:cs="Arial"/>
          <w:sz w:val="16"/>
          <w:szCs w:val="16"/>
        </w:rPr>
        <w:footnoteRef/>
      </w:r>
      <w:r w:rsidRPr="002C7204">
        <w:rPr>
          <w:rFonts w:cs="Arial"/>
          <w:sz w:val="16"/>
          <w:szCs w:val="16"/>
        </w:rPr>
        <w:t xml:space="preserve"> </w:t>
      </w:r>
      <w:r w:rsidRPr="006E3A6B">
        <w:rPr>
          <w:rFonts w:eastAsia="Cambria" w:cs="Arial"/>
          <w:color w:val="000000"/>
          <w:sz w:val="16"/>
          <w:szCs w:val="16"/>
        </w:rPr>
        <w:t>Pravilnik o bližim uslovima za pružanje i korišćenje, normativima i minimalnim standardima usluge smještaja u prihvatilištu-skloništu ("Službeni list Crne Gore", br. 076/19 od 31.</w:t>
      </w:r>
      <w:r>
        <w:rPr>
          <w:rFonts w:eastAsia="Cambria" w:cs="Arial"/>
          <w:color w:val="000000"/>
          <w:sz w:val="16"/>
          <w:szCs w:val="16"/>
        </w:rPr>
        <w:t xml:space="preserve"> </w:t>
      </w:r>
      <w:r w:rsidRPr="006E3A6B">
        <w:rPr>
          <w:rFonts w:eastAsia="Cambria" w:cs="Arial"/>
          <w:color w:val="000000"/>
          <w:sz w:val="16"/>
          <w:szCs w:val="16"/>
        </w:rPr>
        <w:t>12.</w:t>
      </w:r>
      <w:r>
        <w:rPr>
          <w:rFonts w:eastAsia="Cambria" w:cs="Arial"/>
          <w:color w:val="000000"/>
          <w:sz w:val="16"/>
          <w:szCs w:val="16"/>
        </w:rPr>
        <w:t xml:space="preserve"> </w:t>
      </w:r>
      <w:r w:rsidRPr="006E3A6B">
        <w:rPr>
          <w:rFonts w:eastAsia="Cambria" w:cs="Arial"/>
          <w:color w:val="000000"/>
          <w:sz w:val="16"/>
          <w:szCs w:val="16"/>
        </w:rPr>
        <w:t>2019).</w:t>
      </w:r>
    </w:p>
  </w:footnote>
  <w:footnote w:id="85">
    <w:p w14:paraId="49BB3325" w14:textId="77777777" w:rsidR="005B7D8D" w:rsidRPr="006E3A6B" w:rsidRDefault="005B7D8D" w:rsidP="00294C23">
      <w:pPr>
        <w:pStyle w:val="FootnoteText"/>
        <w:rPr>
          <w:rFonts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eastAsiaTheme="minorEastAsia" w:cs="Arial"/>
          <w:color w:val="000000" w:themeColor="text1"/>
          <w:sz w:val="16"/>
          <w:szCs w:val="16"/>
          <w:lang w:val="sr-Latn-CS"/>
        </w:rPr>
        <w:t xml:space="preserve">Analiza primjene Zakona o socijalnoj i dječjoj zaštiti (2021); </w:t>
      </w:r>
      <w:r w:rsidRPr="006E3A6B">
        <w:rPr>
          <w:rFonts w:cs="Arial"/>
          <w:sz w:val="16"/>
          <w:szCs w:val="16"/>
          <w:lang w:eastAsia="en-GB"/>
        </w:rPr>
        <w:t>CEED consulting (2022b)</w:t>
      </w:r>
      <w:r>
        <w:rPr>
          <w:rFonts w:cs="Arial"/>
          <w:sz w:val="16"/>
          <w:szCs w:val="16"/>
          <w:lang w:eastAsia="en-GB"/>
        </w:rPr>
        <w:t>.</w:t>
      </w:r>
    </w:p>
  </w:footnote>
  <w:footnote w:id="86">
    <w:p w14:paraId="2DA5E83C" w14:textId="77777777" w:rsidR="005B7D8D" w:rsidRPr="006E3A6B" w:rsidRDefault="005B7D8D" w:rsidP="008B2F62">
      <w:pPr>
        <w:pStyle w:val="FootnoteText"/>
        <w:rPr>
          <w:rFonts w:cs="Arial"/>
          <w:sz w:val="16"/>
          <w:szCs w:val="16"/>
          <w:lang w:val="sr-Latn-BA"/>
        </w:rPr>
      </w:pPr>
      <w:r w:rsidRPr="006E3A6B">
        <w:rPr>
          <w:rStyle w:val="FootnoteReference"/>
          <w:rFonts w:cs="Arial"/>
          <w:sz w:val="16"/>
          <w:szCs w:val="16"/>
        </w:rPr>
        <w:footnoteRef/>
      </w:r>
      <w:r w:rsidRPr="006E3A6B">
        <w:rPr>
          <w:rFonts w:cs="Arial"/>
          <w:sz w:val="16"/>
          <w:szCs w:val="16"/>
        </w:rPr>
        <w:t xml:space="preserve"> </w:t>
      </w:r>
      <w:r w:rsidRPr="006E3A6B">
        <w:rPr>
          <w:rFonts w:cs="Arial"/>
          <w:sz w:val="16"/>
          <w:szCs w:val="16"/>
          <w:lang w:val="sr-Latn-CS"/>
        </w:rPr>
        <w:t>Analiza primjene Zakona o socijalnoj i dječjoj zaštiti (2021).</w:t>
      </w:r>
    </w:p>
  </w:footnote>
  <w:footnote w:id="87">
    <w:p w14:paraId="50CB1ED0" w14:textId="77777777" w:rsidR="005B7D8D" w:rsidRPr="009F0A1E" w:rsidRDefault="005B7D8D" w:rsidP="00DF2C6A">
      <w:pPr>
        <w:pStyle w:val="FootnoteText"/>
        <w:jc w:val="both"/>
        <w:rPr>
          <w:sz w:val="16"/>
          <w:szCs w:val="16"/>
          <w:lang w:val="sr-Latn-ME"/>
        </w:rPr>
      </w:pPr>
      <w:r>
        <w:rPr>
          <w:rStyle w:val="FootnoteReference"/>
        </w:rPr>
        <w:footnoteRef/>
      </w:r>
      <w:r>
        <w:t xml:space="preserve"> </w:t>
      </w:r>
      <w:r>
        <w:rPr>
          <w:sz w:val="16"/>
          <w:szCs w:val="16"/>
          <w:lang w:val="sr-Latn-ME"/>
        </w:rPr>
        <w:t xml:space="preserve">Pravilnik o visini sredstava za razvoj, odnosno finansiranje usluga socijalne i dječje zaštite i kriterijumi za njihovu raspodjelu </w:t>
      </w:r>
      <w:r w:rsidRPr="009F0A1E">
        <w:rPr>
          <w:sz w:val="16"/>
          <w:szCs w:val="16"/>
          <w:lang w:val="sr-Latn-ME"/>
        </w:rPr>
        <w:t xml:space="preserve">("Službeni list Crne Gore", br. </w:t>
      </w:r>
      <w:r>
        <w:rPr>
          <w:sz w:val="16"/>
          <w:szCs w:val="16"/>
          <w:lang w:val="sr-Latn-ME"/>
        </w:rPr>
        <w:t>027</w:t>
      </w:r>
      <w:r w:rsidRPr="009F0A1E">
        <w:rPr>
          <w:sz w:val="16"/>
          <w:szCs w:val="16"/>
          <w:lang w:val="sr-Latn-ME"/>
        </w:rPr>
        <w:t>/13</w:t>
      </w:r>
      <w:r>
        <w:rPr>
          <w:sz w:val="16"/>
          <w:szCs w:val="16"/>
          <w:lang w:val="sr-Latn-ME"/>
        </w:rPr>
        <w:t xml:space="preserve"> i 1/15).</w:t>
      </w:r>
    </w:p>
  </w:footnote>
  <w:footnote w:id="88">
    <w:p w14:paraId="1B69E350" w14:textId="77777777" w:rsidR="005B7D8D" w:rsidRPr="00FE626F" w:rsidRDefault="005B7D8D" w:rsidP="005B6C3C">
      <w:pPr>
        <w:pStyle w:val="FootnoteText"/>
        <w:rPr>
          <w:rFonts w:ascii="Cambria" w:hAnsi="Cambria"/>
          <w:sz w:val="16"/>
          <w:szCs w:val="16"/>
          <w:lang w:val="sr-Latn-RS"/>
        </w:rPr>
      </w:pPr>
      <w:r w:rsidRPr="00FE626F">
        <w:rPr>
          <w:rStyle w:val="FootnoteReference"/>
          <w:rFonts w:ascii="Cambria" w:hAnsi="Cambria"/>
          <w:sz w:val="16"/>
          <w:szCs w:val="16"/>
        </w:rPr>
        <w:footnoteRef/>
      </w:r>
      <w:r w:rsidRPr="00FE626F">
        <w:rPr>
          <w:rFonts w:ascii="Cambria" w:hAnsi="Cambria"/>
          <w:sz w:val="16"/>
          <w:szCs w:val="16"/>
        </w:rPr>
        <w:t xml:space="preserve"> </w:t>
      </w:r>
      <w:hyperlink r:id="rId25" w:history="1">
        <w:r w:rsidRPr="00B91E04">
          <w:rPr>
            <w:rStyle w:val="Hyperlink"/>
            <w:rFonts w:cs="Arial"/>
            <w:sz w:val="16"/>
            <w:szCs w:val="16"/>
            <w:lang w:val="sr-Latn-RS"/>
          </w:rPr>
          <w:t>http://eesp.me/wp-content/uploads/2021/12/Pravci-promjena-u-programima-SDZ-MNE-FINAL.doc</w:t>
        </w:r>
      </w:hyperlink>
      <w:r>
        <w:rPr>
          <w:rFonts w:cs="Arial"/>
          <w:sz w:val="16"/>
          <w:szCs w:val="16"/>
          <w:lang w:val="sr-Latn-RS"/>
        </w:rPr>
        <w:t xml:space="preserve"> </w:t>
      </w:r>
    </w:p>
  </w:footnote>
  <w:footnote w:id="89">
    <w:p w14:paraId="48422E0F" w14:textId="77777777" w:rsidR="005B7D8D" w:rsidRPr="00FE626F" w:rsidRDefault="005B7D8D" w:rsidP="005B6C3C">
      <w:pPr>
        <w:pStyle w:val="FootnoteText"/>
        <w:rPr>
          <w:rFonts w:cs="Arial"/>
          <w:sz w:val="16"/>
          <w:szCs w:val="16"/>
        </w:rPr>
      </w:pPr>
      <w:r w:rsidRPr="00FE626F">
        <w:rPr>
          <w:rStyle w:val="FootnoteReference"/>
          <w:rFonts w:cs="Arial"/>
          <w:sz w:val="16"/>
          <w:szCs w:val="16"/>
        </w:rPr>
        <w:footnoteRef/>
      </w:r>
      <w:r w:rsidRPr="00FE626F">
        <w:rPr>
          <w:rFonts w:cs="Arial"/>
          <w:sz w:val="16"/>
          <w:szCs w:val="16"/>
        </w:rPr>
        <w:t xml:space="preserve"> </w:t>
      </w:r>
      <w:r w:rsidRPr="00FE626F">
        <w:rPr>
          <w:rFonts w:cs="Arial"/>
          <w:color w:val="000000" w:themeColor="text1"/>
          <w:sz w:val="16"/>
          <w:szCs w:val="16"/>
          <w:lang w:eastAsia="en-GB"/>
        </w:rPr>
        <w:t>CEED Consulting (2021).</w:t>
      </w:r>
    </w:p>
  </w:footnote>
  <w:footnote w:id="90">
    <w:p w14:paraId="2DEDBF8E" w14:textId="77777777" w:rsidR="005B7D8D" w:rsidRPr="00FE626F" w:rsidRDefault="005B7D8D" w:rsidP="005B6C3C">
      <w:pPr>
        <w:widowControl w:val="0"/>
        <w:autoSpaceDE w:val="0"/>
        <w:autoSpaceDN w:val="0"/>
        <w:adjustRightInd w:val="0"/>
        <w:jc w:val="both"/>
        <w:rPr>
          <w:rFonts w:cs="Arial"/>
          <w:bCs/>
          <w:iCs/>
          <w:color w:val="000000" w:themeColor="text1"/>
          <w:sz w:val="16"/>
          <w:szCs w:val="16"/>
        </w:rPr>
      </w:pPr>
      <w:r w:rsidRPr="00FE626F">
        <w:rPr>
          <w:rStyle w:val="FootnoteReference"/>
          <w:rFonts w:cs="Arial"/>
          <w:sz w:val="16"/>
          <w:szCs w:val="16"/>
        </w:rPr>
        <w:footnoteRef/>
      </w:r>
      <w:r w:rsidRPr="00FE626F">
        <w:rPr>
          <w:rFonts w:cs="Arial"/>
          <w:sz w:val="16"/>
          <w:szCs w:val="16"/>
        </w:rPr>
        <w:t xml:space="preserve"> </w:t>
      </w:r>
      <w:r w:rsidRPr="00FE626F">
        <w:rPr>
          <w:rFonts w:cs="Arial"/>
          <w:color w:val="000000"/>
          <w:sz w:val="16"/>
          <w:szCs w:val="16"/>
        </w:rPr>
        <w:t>U slučaju</w:t>
      </w:r>
      <w:r>
        <w:rPr>
          <w:rFonts w:cs="Arial"/>
          <w:color w:val="000000"/>
          <w:sz w:val="16"/>
          <w:szCs w:val="16"/>
        </w:rPr>
        <w:t>,</w:t>
      </w:r>
      <w:r w:rsidRPr="00FE626F">
        <w:rPr>
          <w:rFonts w:cs="Arial"/>
          <w:color w:val="000000"/>
          <w:sz w:val="16"/>
          <w:szCs w:val="16"/>
        </w:rPr>
        <w:t xml:space="preserve"> na prim</w:t>
      </w:r>
      <w:r>
        <w:rPr>
          <w:rFonts w:cs="Arial"/>
          <w:color w:val="000000"/>
          <w:sz w:val="16"/>
          <w:szCs w:val="16"/>
        </w:rPr>
        <w:t>j</w:t>
      </w:r>
      <w:r w:rsidRPr="00FE626F">
        <w:rPr>
          <w:rFonts w:cs="Arial"/>
          <w:color w:val="000000"/>
          <w:sz w:val="16"/>
          <w:szCs w:val="16"/>
        </w:rPr>
        <w:t>er</w:t>
      </w:r>
      <w:r>
        <w:rPr>
          <w:rFonts w:cs="Arial"/>
          <w:color w:val="000000"/>
          <w:sz w:val="16"/>
          <w:szCs w:val="16"/>
        </w:rPr>
        <w:t>,</w:t>
      </w:r>
      <w:r w:rsidRPr="00FE626F">
        <w:rPr>
          <w:rFonts w:cs="Arial"/>
          <w:color w:val="000000"/>
          <w:sz w:val="16"/>
          <w:szCs w:val="16"/>
        </w:rPr>
        <w:t xml:space="preserve"> pomoći u kući za stare</w:t>
      </w:r>
      <w:r>
        <w:rPr>
          <w:rFonts w:cs="Arial"/>
          <w:color w:val="000000"/>
          <w:sz w:val="16"/>
          <w:szCs w:val="16"/>
        </w:rPr>
        <w:t>,</w:t>
      </w:r>
      <w:r w:rsidRPr="00FE626F">
        <w:rPr>
          <w:rFonts w:cs="Arial"/>
          <w:color w:val="000000"/>
          <w:sz w:val="16"/>
          <w:szCs w:val="16"/>
        </w:rPr>
        <w:t xml:space="preserve"> iz nacionalnog budžeta bi se tako izdvajala sredstva za starije od 70 ili 75 godina koji žive u staračkim domaćinstvima i za koje se proc</w:t>
      </w:r>
      <w:r>
        <w:rPr>
          <w:rFonts w:cs="Arial"/>
          <w:color w:val="000000"/>
          <w:sz w:val="16"/>
          <w:szCs w:val="16"/>
        </w:rPr>
        <w:t>ij</w:t>
      </w:r>
      <w:r w:rsidRPr="00FE626F">
        <w:rPr>
          <w:rFonts w:cs="Arial"/>
          <w:color w:val="000000"/>
          <w:sz w:val="16"/>
          <w:szCs w:val="16"/>
        </w:rPr>
        <w:t xml:space="preserve">eni da imaju potrebu za ovom vrstom podrške, a iz lokalnog za ostale korisnike </w:t>
      </w:r>
      <w:hyperlink r:id="rId26" w:history="1">
        <w:r w:rsidRPr="00B91E04">
          <w:rPr>
            <w:rStyle w:val="Hyperlink"/>
            <w:rFonts w:cs="Arial"/>
            <w:sz w:val="16"/>
            <w:szCs w:val="16"/>
          </w:rPr>
          <w:t>http://eesp.me/wp-content/uploads/2021/12/Pravci-promjena-u-programima-SDZ-MNE-FINAL.doc</w:t>
        </w:r>
      </w:hyperlink>
      <w:r>
        <w:rPr>
          <w:rFonts w:cs="Arial"/>
          <w:color w:val="000000"/>
          <w:sz w:val="16"/>
          <w:szCs w:val="16"/>
        </w:rPr>
        <w:t xml:space="preserve"> </w:t>
      </w:r>
    </w:p>
  </w:footnote>
  <w:footnote w:id="91">
    <w:p w14:paraId="14DA76B7" w14:textId="77777777" w:rsidR="005B7D8D" w:rsidRPr="002C7204" w:rsidRDefault="005B7D8D"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hyperlink r:id="rId27" w:history="1">
        <w:r w:rsidRPr="00B91E04">
          <w:rPr>
            <w:rStyle w:val="Hyperlink"/>
            <w:rFonts w:cs="Arial"/>
            <w:sz w:val="16"/>
            <w:szCs w:val="16"/>
          </w:rPr>
          <w:t>http://eesp.me/wp-content/uploads/2021/12/Pravci-promjena-u-programima-SDZ-MNE-FINAL.doc</w:t>
        </w:r>
      </w:hyperlink>
      <w:r>
        <w:rPr>
          <w:rFonts w:cs="Arial"/>
          <w:sz w:val="16"/>
          <w:szCs w:val="16"/>
        </w:rPr>
        <w:t xml:space="preserve"> </w:t>
      </w:r>
    </w:p>
  </w:footnote>
  <w:footnote w:id="92">
    <w:p w14:paraId="1C0912F0" w14:textId="77777777" w:rsidR="005B7D8D" w:rsidRPr="002C7204" w:rsidRDefault="005B7D8D"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eastAsia="en-GB"/>
        </w:rPr>
        <w:t>CEED Consulting (2021).</w:t>
      </w:r>
    </w:p>
  </w:footnote>
  <w:footnote w:id="93">
    <w:p w14:paraId="23284D77" w14:textId="77777777" w:rsidR="005B7D8D" w:rsidRPr="002C7204" w:rsidRDefault="005B7D8D"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eastAsia="en-GB"/>
        </w:rPr>
        <w:t>I</w:t>
      </w:r>
      <w:r w:rsidRPr="006E3A6B">
        <w:rPr>
          <w:rFonts w:cs="Arial"/>
          <w:color w:val="000000" w:themeColor="text1"/>
          <w:sz w:val="16"/>
          <w:szCs w:val="16"/>
          <w:lang w:eastAsia="en-GB"/>
        </w:rPr>
        <w:t>sto</w:t>
      </w:r>
      <w:r w:rsidRPr="002C7204">
        <w:rPr>
          <w:rFonts w:cs="Arial"/>
          <w:color w:val="000000" w:themeColor="text1"/>
          <w:sz w:val="16"/>
          <w:szCs w:val="16"/>
          <w:lang w:eastAsia="en-GB"/>
        </w:rPr>
        <w:t>.</w:t>
      </w:r>
    </w:p>
  </w:footnote>
  <w:footnote w:id="94">
    <w:p w14:paraId="5C30A49F" w14:textId="77777777" w:rsidR="005B7D8D" w:rsidRPr="002C7204" w:rsidRDefault="005B7D8D" w:rsidP="00623852">
      <w:pPr>
        <w:pStyle w:val="FootnoteText"/>
        <w:rPr>
          <w:rFonts w:cs="Arial"/>
          <w:sz w:val="16"/>
          <w:szCs w:val="16"/>
          <w:lang w:val="sr-Latn-RS"/>
        </w:rPr>
      </w:pPr>
      <w:r w:rsidRPr="00C23804">
        <w:rPr>
          <w:rStyle w:val="FootnoteReference"/>
          <w:rFonts w:ascii="Cambria" w:hAnsi="Cambria" w:cstheme="minorHAnsi"/>
          <w:sz w:val="16"/>
          <w:szCs w:val="16"/>
        </w:rPr>
        <w:footnoteRef/>
      </w:r>
      <w:r w:rsidRPr="00C23804">
        <w:rPr>
          <w:rFonts w:ascii="Cambria" w:hAnsi="Cambria" w:cstheme="minorHAnsi"/>
          <w:sz w:val="16"/>
          <w:szCs w:val="16"/>
        </w:rPr>
        <w:t xml:space="preserve"> </w:t>
      </w:r>
      <w:r w:rsidRPr="002C7204">
        <w:rPr>
          <w:rFonts w:cs="Arial"/>
          <w:color w:val="000000" w:themeColor="text1"/>
          <w:sz w:val="16"/>
          <w:szCs w:val="16"/>
          <w:lang w:val="sr-Latn-RS"/>
        </w:rPr>
        <w:t xml:space="preserve">Zakon o socijalnoj i dječjoj zaštiti članovi 113 i 114; </w:t>
      </w:r>
      <w:r w:rsidRPr="002C7204">
        <w:rPr>
          <w:rFonts w:cs="Arial"/>
          <w:color w:val="000000" w:themeColor="text1"/>
          <w:sz w:val="16"/>
          <w:szCs w:val="16"/>
          <w:lang w:val="sr-Latn-RS" w:eastAsia="uz-Cyrl-UZ"/>
        </w:rPr>
        <w:t>Porodični zakon (</w:t>
      </w:r>
      <w:r w:rsidRPr="002C7204">
        <w:rPr>
          <w:rFonts w:cs="Arial"/>
          <w:i/>
          <w:iCs/>
          <w:color w:val="000000" w:themeColor="text1"/>
          <w:sz w:val="16"/>
          <w:szCs w:val="16"/>
          <w:lang w:val="sr-Latn-RS" w:eastAsia="uz-Cyrl-UZ"/>
        </w:rPr>
        <w:t>Sl. list CG, br. 053/16,</w:t>
      </w:r>
      <w:r w:rsidRPr="002C7204">
        <w:rPr>
          <w:rFonts w:cs="Arial"/>
          <w:color w:val="000000" w:themeColor="text1"/>
          <w:sz w:val="16"/>
          <w:szCs w:val="16"/>
          <w:lang w:val="sr-Latn-RS"/>
        </w:rPr>
        <w:t xml:space="preserve"> </w:t>
      </w:r>
      <w:r w:rsidRPr="002C7204">
        <w:rPr>
          <w:rFonts w:cs="Arial"/>
          <w:i/>
          <w:iCs/>
          <w:color w:val="000000" w:themeColor="text1"/>
          <w:sz w:val="16"/>
          <w:szCs w:val="16"/>
          <w:lang w:val="sr-Latn-RS"/>
        </w:rPr>
        <w:t>076/20</w:t>
      </w:r>
      <w:r w:rsidRPr="002C7204">
        <w:rPr>
          <w:rFonts w:cs="Arial"/>
          <w:color w:val="000000" w:themeColor="text1"/>
          <w:sz w:val="16"/>
          <w:szCs w:val="16"/>
          <w:lang w:val="sr-Latn-RS"/>
        </w:rPr>
        <w:t>)</w:t>
      </w:r>
      <w:r w:rsidRPr="002C7204">
        <w:rPr>
          <w:rFonts w:cs="Arial"/>
          <w:color w:val="000000" w:themeColor="text1"/>
          <w:sz w:val="16"/>
          <w:szCs w:val="16"/>
          <w:lang w:val="sr-Latn-RS" w:eastAsia="uz-Cyrl-UZ"/>
        </w:rPr>
        <w:t>.</w:t>
      </w:r>
    </w:p>
  </w:footnote>
  <w:footnote w:id="95">
    <w:p w14:paraId="51285229" w14:textId="77777777" w:rsidR="005B7D8D" w:rsidRPr="002C7204" w:rsidRDefault="005B7D8D" w:rsidP="00623852">
      <w:pPr>
        <w:jc w:val="both"/>
        <w:rPr>
          <w:rFonts w:cs="Arial"/>
          <w:sz w:val="16"/>
          <w:szCs w:val="16"/>
        </w:rPr>
      </w:pPr>
      <w:r w:rsidRPr="002C7204">
        <w:rPr>
          <w:rStyle w:val="FootnoteReference"/>
          <w:rFonts w:cs="Arial"/>
          <w:sz w:val="16"/>
          <w:szCs w:val="16"/>
        </w:rPr>
        <w:footnoteRef/>
      </w:r>
      <w:r w:rsidRPr="002C7204">
        <w:rPr>
          <w:rFonts w:cs="Arial"/>
          <w:sz w:val="16"/>
          <w:szCs w:val="16"/>
        </w:rPr>
        <w:t xml:space="preserve"> Analiza primjene Zakona o socijalnoj i d</w:t>
      </w:r>
      <w:r>
        <w:rPr>
          <w:rFonts w:cs="Arial"/>
          <w:sz w:val="16"/>
          <w:szCs w:val="16"/>
        </w:rPr>
        <w:t>ječj</w:t>
      </w:r>
      <w:r w:rsidRPr="002C7204">
        <w:rPr>
          <w:rFonts w:cs="Arial"/>
          <w:sz w:val="16"/>
          <w:szCs w:val="16"/>
        </w:rPr>
        <w:t>oj zaštiti (2021).</w:t>
      </w:r>
    </w:p>
  </w:footnote>
  <w:footnote w:id="96">
    <w:p w14:paraId="12E4C60A" w14:textId="77777777" w:rsidR="005B7D8D" w:rsidRPr="002C7204" w:rsidRDefault="005B7D8D" w:rsidP="00623852">
      <w:pPr>
        <w:pBdr>
          <w:top w:val="nil"/>
          <w:left w:val="nil"/>
          <w:bottom w:val="nil"/>
          <w:right w:val="nil"/>
          <w:between w:val="nil"/>
        </w:pBdr>
        <w:jc w:val="both"/>
        <w:rPr>
          <w:rFonts w:eastAsia="Cambria" w:cs="Arial"/>
          <w:color w:val="000000"/>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eastAsia="Cambria" w:cs="Arial"/>
          <w:color w:val="000000"/>
          <w:sz w:val="16"/>
          <w:szCs w:val="16"/>
          <w:lang w:val="sr-Latn-RS"/>
        </w:rPr>
        <w:t>Pravilnik o organizaciji, normativima, standardima i načinu rada centra za socijalni rad ("Službeni list Crne Gore", br. 058/13 od 20.</w:t>
      </w:r>
      <w:r>
        <w:rPr>
          <w:rFonts w:eastAsia="Cambria" w:cs="Arial"/>
          <w:color w:val="000000"/>
          <w:sz w:val="16"/>
          <w:szCs w:val="16"/>
          <w:lang w:val="sr-Latn-RS"/>
        </w:rPr>
        <w:t xml:space="preserve"> </w:t>
      </w:r>
      <w:r w:rsidRPr="002C7204">
        <w:rPr>
          <w:rFonts w:eastAsia="Cambria" w:cs="Arial"/>
          <w:color w:val="000000"/>
          <w:sz w:val="16"/>
          <w:szCs w:val="16"/>
          <w:lang w:val="sr-Latn-RS"/>
        </w:rPr>
        <w:t>12.</w:t>
      </w:r>
      <w:r>
        <w:rPr>
          <w:rFonts w:eastAsia="Cambria" w:cs="Arial"/>
          <w:color w:val="000000"/>
          <w:sz w:val="16"/>
          <w:szCs w:val="16"/>
          <w:lang w:val="sr-Latn-RS"/>
        </w:rPr>
        <w:t xml:space="preserve"> </w:t>
      </w:r>
      <w:r w:rsidRPr="002C7204">
        <w:rPr>
          <w:rFonts w:eastAsia="Cambria" w:cs="Arial"/>
          <w:color w:val="000000"/>
          <w:sz w:val="16"/>
          <w:szCs w:val="16"/>
          <w:lang w:val="sr-Latn-RS"/>
        </w:rPr>
        <w:t>2013, 030/15 od 12.</w:t>
      </w:r>
      <w:r>
        <w:rPr>
          <w:rFonts w:eastAsia="Cambria" w:cs="Arial"/>
          <w:color w:val="000000"/>
          <w:sz w:val="16"/>
          <w:szCs w:val="16"/>
          <w:lang w:val="sr-Latn-RS"/>
        </w:rPr>
        <w:t xml:space="preserve"> </w:t>
      </w:r>
      <w:r w:rsidRPr="002C7204">
        <w:rPr>
          <w:rFonts w:eastAsia="Cambria" w:cs="Arial"/>
          <w:color w:val="000000"/>
          <w:sz w:val="16"/>
          <w:szCs w:val="16"/>
          <w:lang w:val="sr-Latn-RS"/>
        </w:rPr>
        <w:t>6.</w:t>
      </w:r>
      <w:r>
        <w:rPr>
          <w:rFonts w:eastAsia="Cambria" w:cs="Arial"/>
          <w:color w:val="000000"/>
          <w:sz w:val="16"/>
          <w:szCs w:val="16"/>
          <w:lang w:val="sr-Latn-RS"/>
        </w:rPr>
        <w:t xml:space="preserve"> </w:t>
      </w:r>
      <w:r w:rsidRPr="002C7204">
        <w:rPr>
          <w:rFonts w:eastAsia="Cambria" w:cs="Arial"/>
          <w:color w:val="000000"/>
          <w:sz w:val="16"/>
          <w:szCs w:val="16"/>
          <w:lang w:val="sr-Latn-RS"/>
        </w:rPr>
        <w:t>2015, 017/16 od 11.</w:t>
      </w:r>
      <w:r>
        <w:rPr>
          <w:rFonts w:eastAsia="Cambria" w:cs="Arial"/>
          <w:color w:val="000000"/>
          <w:sz w:val="16"/>
          <w:szCs w:val="16"/>
          <w:lang w:val="sr-Latn-RS"/>
        </w:rPr>
        <w:t xml:space="preserve"> </w:t>
      </w:r>
      <w:r w:rsidRPr="002C7204">
        <w:rPr>
          <w:rFonts w:eastAsia="Cambria" w:cs="Arial"/>
          <w:color w:val="000000"/>
          <w:sz w:val="16"/>
          <w:szCs w:val="16"/>
          <w:lang w:val="sr-Latn-RS"/>
        </w:rPr>
        <w:t>3.</w:t>
      </w:r>
      <w:r>
        <w:rPr>
          <w:rFonts w:eastAsia="Cambria" w:cs="Arial"/>
          <w:color w:val="000000"/>
          <w:sz w:val="16"/>
          <w:szCs w:val="16"/>
          <w:lang w:val="sr-Latn-RS"/>
        </w:rPr>
        <w:t xml:space="preserve"> </w:t>
      </w:r>
      <w:r w:rsidRPr="002C7204">
        <w:rPr>
          <w:rFonts w:eastAsia="Cambria" w:cs="Arial"/>
          <w:color w:val="000000"/>
          <w:sz w:val="16"/>
          <w:szCs w:val="16"/>
          <w:lang w:val="sr-Latn-RS"/>
        </w:rPr>
        <w:t>2016, 043/19 od 31.</w:t>
      </w:r>
      <w:r>
        <w:rPr>
          <w:rFonts w:eastAsia="Cambria" w:cs="Arial"/>
          <w:color w:val="000000"/>
          <w:sz w:val="16"/>
          <w:szCs w:val="16"/>
          <w:lang w:val="sr-Latn-RS"/>
        </w:rPr>
        <w:t xml:space="preserve"> </w:t>
      </w:r>
      <w:r w:rsidRPr="002C7204">
        <w:rPr>
          <w:rFonts w:eastAsia="Cambria" w:cs="Arial"/>
          <w:color w:val="000000"/>
          <w:sz w:val="16"/>
          <w:szCs w:val="16"/>
          <w:lang w:val="sr-Latn-RS"/>
        </w:rPr>
        <w:t>7.</w:t>
      </w:r>
      <w:r>
        <w:rPr>
          <w:rFonts w:eastAsia="Cambria" w:cs="Arial"/>
          <w:color w:val="000000"/>
          <w:sz w:val="16"/>
          <w:szCs w:val="16"/>
          <w:lang w:val="sr-Latn-RS"/>
        </w:rPr>
        <w:t xml:space="preserve"> </w:t>
      </w:r>
      <w:r w:rsidRPr="002C7204">
        <w:rPr>
          <w:rFonts w:eastAsia="Cambria" w:cs="Arial"/>
          <w:color w:val="000000"/>
          <w:sz w:val="16"/>
          <w:szCs w:val="16"/>
          <w:lang w:val="sr-Latn-RS"/>
        </w:rPr>
        <w:t>2019)</w:t>
      </w:r>
      <w:r>
        <w:rPr>
          <w:rFonts w:eastAsia="Cambria" w:cs="Arial"/>
          <w:color w:val="000000"/>
          <w:sz w:val="16"/>
          <w:szCs w:val="16"/>
          <w:lang w:val="sr-Latn-RS"/>
        </w:rPr>
        <w:t>.</w:t>
      </w:r>
    </w:p>
  </w:footnote>
  <w:footnote w:id="97">
    <w:p w14:paraId="6D8E2A9F"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IDEAS (2019). Analiza rada centara za socijalni rad.</w:t>
      </w:r>
    </w:p>
  </w:footnote>
  <w:footnote w:id="98">
    <w:p w14:paraId="0206106C"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513537">
        <w:rPr>
          <w:rFonts w:cs="Arial"/>
          <w:color w:val="000000" w:themeColor="text1"/>
          <w:sz w:val="16"/>
          <w:szCs w:val="16"/>
        </w:rPr>
        <w:t>Isto</w:t>
      </w:r>
      <w:r>
        <w:rPr>
          <w:rFonts w:cs="Arial"/>
          <w:color w:val="000000" w:themeColor="text1"/>
          <w:sz w:val="16"/>
          <w:szCs w:val="16"/>
        </w:rPr>
        <w:t>.</w:t>
      </w:r>
    </w:p>
  </w:footnote>
  <w:footnote w:id="99">
    <w:p w14:paraId="3DB0C00C"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IDEAS (2019)</w:t>
      </w:r>
      <w:r w:rsidRPr="002C7204">
        <w:rPr>
          <w:rFonts w:cs="Arial"/>
          <w:color w:val="000000" w:themeColor="text1"/>
          <w:sz w:val="16"/>
          <w:szCs w:val="16"/>
        </w:rPr>
        <w:t>.</w:t>
      </w:r>
      <w:r w:rsidRPr="002C7204">
        <w:rPr>
          <w:rFonts w:cs="Arial"/>
          <w:sz w:val="16"/>
          <w:szCs w:val="16"/>
          <w:lang w:val="sr-Latn-RS"/>
        </w:rPr>
        <w:t xml:space="preserve"> Šunderić, Ž. </w:t>
      </w:r>
      <w:r w:rsidRPr="004A5756">
        <w:rPr>
          <w:rFonts w:cs="Arial"/>
          <w:sz w:val="16"/>
          <w:szCs w:val="16"/>
          <w:lang w:val="sr-Latn-RS"/>
        </w:rPr>
        <w:t>Evaluacija sprovođenja Strategije razvoja socijalne i dječje zaštite u Crnoj Gori za perio</w:t>
      </w:r>
      <w:r>
        <w:rPr>
          <w:rFonts w:cs="Arial"/>
          <w:sz w:val="16"/>
          <w:szCs w:val="16"/>
          <w:lang w:val="sr-Latn-RS"/>
        </w:rPr>
        <w:t xml:space="preserve">d od 2018. do 2022. godine, </w:t>
      </w:r>
      <w:r w:rsidRPr="002C7204">
        <w:rPr>
          <w:rFonts w:cs="Arial"/>
          <w:sz w:val="16"/>
          <w:szCs w:val="16"/>
          <w:lang w:val="sr-Latn-RS"/>
        </w:rPr>
        <w:t>(2021)</w:t>
      </w:r>
      <w:r w:rsidRPr="002C7204">
        <w:rPr>
          <w:rFonts w:cs="Arial"/>
          <w:sz w:val="16"/>
          <w:szCs w:val="16"/>
        </w:rPr>
        <w:t>;</w:t>
      </w:r>
      <w:r w:rsidRPr="002C7204">
        <w:rPr>
          <w:rFonts w:cs="Arial"/>
          <w:sz w:val="16"/>
          <w:szCs w:val="16"/>
          <w:lang w:val="sr-Latn-RS"/>
        </w:rPr>
        <w:t xml:space="preserve"> </w:t>
      </w:r>
      <w:r w:rsidRPr="002C7204">
        <w:rPr>
          <w:rFonts w:eastAsiaTheme="minorEastAsia" w:cs="Arial"/>
          <w:color w:val="000000" w:themeColor="text1"/>
          <w:sz w:val="16"/>
          <w:szCs w:val="16"/>
          <w:lang w:val="sr-Latn-CS"/>
        </w:rPr>
        <w:t>Analiza primjene Zakona o socijalnoj i dječjoj zaštiti (2021).</w:t>
      </w:r>
    </w:p>
  </w:footnote>
  <w:footnote w:id="100">
    <w:p w14:paraId="40C46AC6"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sz w:val="16"/>
          <w:szCs w:val="16"/>
          <w:lang w:val="sr-Latn-RS"/>
        </w:rPr>
        <w:t>Šunderić, Ž.</w:t>
      </w:r>
      <w:r w:rsidRPr="004A5756">
        <w:t xml:space="preserve"> </w:t>
      </w:r>
      <w:r w:rsidRPr="004A5756">
        <w:rPr>
          <w:rFonts w:cs="Arial"/>
          <w:sz w:val="16"/>
          <w:szCs w:val="16"/>
          <w:lang w:val="sr-Latn-RS"/>
        </w:rPr>
        <w:t>Evaluacija sprovođenja Strategije razvoja socijalne i dječje zaštite u Crnoj Gori za perio</w:t>
      </w:r>
      <w:r>
        <w:rPr>
          <w:rFonts w:cs="Arial"/>
          <w:sz w:val="16"/>
          <w:szCs w:val="16"/>
          <w:lang w:val="sr-Latn-RS"/>
        </w:rPr>
        <w:t>d od 2018. do 2022. godine,</w:t>
      </w:r>
      <w:r w:rsidRPr="002C7204">
        <w:rPr>
          <w:rFonts w:cs="Arial"/>
          <w:sz w:val="16"/>
          <w:szCs w:val="16"/>
          <w:lang w:val="sr-Latn-RS"/>
        </w:rPr>
        <w:t xml:space="preserve"> (2021).</w:t>
      </w:r>
    </w:p>
  </w:footnote>
  <w:footnote w:id="101">
    <w:p w14:paraId="4A40F350"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IDEAS (2019)</w:t>
      </w:r>
      <w:r w:rsidRPr="002C7204">
        <w:rPr>
          <w:rFonts w:cs="Arial"/>
          <w:color w:val="000000" w:themeColor="text1"/>
          <w:sz w:val="16"/>
          <w:szCs w:val="16"/>
        </w:rPr>
        <w:t>.</w:t>
      </w:r>
      <w:r w:rsidRPr="006E3A6B">
        <w:rPr>
          <w:rFonts w:cs="Arial"/>
          <w:sz w:val="16"/>
          <w:szCs w:val="16"/>
          <w:lang w:val="sr-Latn-ME"/>
        </w:rPr>
        <w:t xml:space="preserve"> Analiza rada centara za socijalni rad, str. 78</w:t>
      </w:r>
      <w:r>
        <w:rPr>
          <w:rFonts w:cs="Arial"/>
          <w:sz w:val="16"/>
          <w:szCs w:val="16"/>
          <w:lang w:val="sr-Latn-ME"/>
        </w:rPr>
        <w:t>.</w:t>
      </w:r>
    </w:p>
  </w:footnote>
  <w:footnote w:id="102">
    <w:p w14:paraId="38C3258C"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I</w:t>
      </w:r>
      <w:r w:rsidRPr="006E3A6B">
        <w:rPr>
          <w:rFonts w:cs="Arial"/>
          <w:color w:val="000000" w:themeColor="text1"/>
          <w:sz w:val="16"/>
          <w:szCs w:val="16"/>
        </w:rPr>
        <w:t>sto</w:t>
      </w:r>
      <w:r w:rsidRPr="002C7204">
        <w:rPr>
          <w:rFonts w:cs="Arial"/>
          <w:color w:val="000000" w:themeColor="text1"/>
          <w:sz w:val="16"/>
          <w:szCs w:val="16"/>
        </w:rPr>
        <w:t>.</w:t>
      </w:r>
      <w:r w:rsidRPr="006E3A6B">
        <w:rPr>
          <w:rFonts w:cs="Arial"/>
          <w:color w:val="000000" w:themeColor="text1"/>
          <w:sz w:val="16"/>
          <w:szCs w:val="16"/>
        </w:rPr>
        <w:t xml:space="preserve"> str</w:t>
      </w:r>
      <w:r>
        <w:rPr>
          <w:rFonts w:cs="Arial"/>
          <w:color w:val="000000" w:themeColor="text1"/>
          <w:sz w:val="16"/>
          <w:szCs w:val="16"/>
        </w:rPr>
        <w:t>.</w:t>
      </w:r>
      <w:r w:rsidRPr="006E3A6B">
        <w:rPr>
          <w:rFonts w:cs="Arial"/>
          <w:color w:val="000000" w:themeColor="text1"/>
          <w:sz w:val="16"/>
          <w:szCs w:val="16"/>
        </w:rPr>
        <w:t xml:space="preserve"> 81</w:t>
      </w:r>
      <w:r>
        <w:rPr>
          <w:rFonts w:cs="Arial"/>
          <w:color w:val="000000" w:themeColor="text1"/>
          <w:sz w:val="16"/>
          <w:szCs w:val="16"/>
        </w:rPr>
        <w:t>.</w:t>
      </w:r>
    </w:p>
  </w:footnote>
  <w:footnote w:id="103">
    <w:p w14:paraId="31842B66"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eastAsia="en-GB"/>
        </w:rPr>
        <w:t>CEED Consulting (2022).</w:t>
      </w:r>
    </w:p>
  </w:footnote>
  <w:footnote w:id="104">
    <w:p w14:paraId="3681C318"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sz w:val="16"/>
          <w:szCs w:val="16"/>
          <w:lang w:val="sr-Latn-RS"/>
        </w:rPr>
        <w:t xml:space="preserve">Šunderić, Ž. </w:t>
      </w:r>
      <w:r w:rsidRPr="004A5756">
        <w:rPr>
          <w:rFonts w:cs="Arial"/>
          <w:sz w:val="16"/>
          <w:szCs w:val="16"/>
          <w:lang w:val="sr-Latn-RS"/>
        </w:rPr>
        <w:t>Evaluacija sprovođenja Strategije razvoja socijalne i dječje zaštite u Crnoj Gori za perio</w:t>
      </w:r>
      <w:r>
        <w:rPr>
          <w:rFonts w:cs="Arial"/>
          <w:sz w:val="16"/>
          <w:szCs w:val="16"/>
          <w:lang w:val="sr-Latn-RS"/>
        </w:rPr>
        <w:t xml:space="preserve">d od 2018. do 2022. godine, </w:t>
      </w:r>
      <w:r w:rsidRPr="002C7204">
        <w:rPr>
          <w:rFonts w:cs="Arial"/>
          <w:sz w:val="16"/>
          <w:szCs w:val="16"/>
          <w:lang w:val="sr-Latn-RS"/>
        </w:rPr>
        <w:t>(2021).</w:t>
      </w:r>
    </w:p>
  </w:footnote>
  <w:footnote w:id="105">
    <w:p w14:paraId="2B263DCC" w14:textId="77777777" w:rsidR="005B7D8D" w:rsidRPr="002C7204" w:rsidRDefault="005B7D8D" w:rsidP="00623852">
      <w:pPr>
        <w:pStyle w:val="FootnoteText"/>
        <w:rPr>
          <w:rFonts w:cs="Arial"/>
          <w:sz w:val="16"/>
          <w:szCs w:val="16"/>
          <w:lang w:val="sr-Latn-RS"/>
        </w:rPr>
      </w:pPr>
      <w:r w:rsidRPr="00C23804">
        <w:rPr>
          <w:rStyle w:val="FootnoteReference"/>
          <w:rFonts w:ascii="Cambria" w:hAnsi="Cambria"/>
          <w:sz w:val="16"/>
          <w:szCs w:val="16"/>
        </w:rPr>
        <w:footnoteRef/>
      </w:r>
      <w:r w:rsidRPr="00C23804">
        <w:rPr>
          <w:rFonts w:ascii="Cambria" w:hAnsi="Cambria"/>
          <w:sz w:val="16"/>
          <w:szCs w:val="16"/>
        </w:rPr>
        <w:t xml:space="preserve"> </w:t>
      </w:r>
      <w:r w:rsidRPr="002C7204">
        <w:rPr>
          <w:rFonts w:cs="Arial"/>
          <w:sz w:val="16"/>
          <w:szCs w:val="16"/>
        </w:rPr>
        <w:t>Sv</w:t>
      </w:r>
      <w:r>
        <w:rPr>
          <w:rFonts w:cs="Arial"/>
          <w:sz w:val="16"/>
          <w:szCs w:val="16"/>
        </w:rPr>
        <w:t>j</w:t>
      </w:r>
      <w:r w:rsidRPr="002C7204">
        <w:rPr>
          <w:rFonts w:cs="Arial"/>
          <w:sz w:val="16"/>
          <w:szCs w:val="16"/>
        </w:rPr>
        <w:t>etska banka i UNICEF (2022).</w:t>
      </w:r>
    </w:p>
  </w:footnote>
  <w:footnote w:id="106">
    <w:p w14:paraId="751D78EC"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IDEAS (2019).</w:t>
      </w:r>
      <w:r w:rsidRPr="006E3A6B">
        <w:rPr>
          <w:rFonts w:cs="Arial"/>
          <w:sz w:val="16"/>
          <w:szCs w:val="16"/>
          <w:lang w:val="sr-Latn-ME"/>
        </w:rPr>
        <w:t xml:space="preserve"> Analiza rada centara za socijalni rad, </w:t>
      </w:r>
    </w:p>
  </w:footnote>
  <w:footnote w:id="107">
    <w:p w14:paraId="06B4F052"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w:t>
      </w:r>
      <w:r w:rsidRPr="006E3A6B">
        <w:rPr>
          <w:rFonts w:cs="Arial"/>
          <w:sz w:val="16"/>
          <w:szCs w:val="16"/>
        </w:rPr>
        <w:t>sto</w:t>
      </w:r>
      <w:r w:rsidRPr="002C7204">
        <w:rPr>
          <w:rFonts w:cs="Arial"/>
          <w:sz w:val="16"/>
          <w:szCs w:val="16"/>
        </w:rPr>
        <w:t>.</w:t>
      </w:r>
    </w:p>
  </w:footnote>
  <w:footnote w:id="108">
    <w:p w14:paraId="6674338F"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eastAsiaTheme="minorEastAsia" w:cs="Arial"/>
          <w:color w:val="000000" w:themeColor="text1"/>
          <w:sz w:val="16"/>
          <w:szCs w:val="16"/>
          <w:lang w:val="sr-Latn-CS"/>
        </w:rPr>
        <w:t>Analiza primjene Zakona o socijalnoj i dječjoj zaštiti (2021).</w:t>
      </w:r>
    </w:p>
  </w:footnote>
  <w:footnote w:id="109">
    <w:p w14:paraId="12EAD084" w14:textId="77777777" w:rsidR="005B7D8D" w:rsidRPr="002C7204" w:rsidRDefault="005B7D8D" w:rsidP="00ED2C03">
      <w:pPr>
        <w:jc w:val="both"/>
        <w:rPr>
          <w:rFonts w:cs="Arial"/>
          <w:color w:val="000000" w:themeColor="text1"/>
          <w:sz w:val="16"/>
          <w:szCs w:val="16"/>
        </w:rPr>
      </w:pPr>
      <w:r w:rsidRPr="002C7204">
        <w:rPr>
          <w:rStyle w:val="FootnoteReference"/>
          <w:rFonts w:cs="Arial"/>
          <w:color w:val="000000" w:themeColor="text1"/>
          <w:sz w:val="16"/>
          <w:szCs w:val="16"/>
        </w:rPr>
        <w:footnoteRef/>
      </w:r>
      <w:r w:rsidRPr="002C7204">
        <w:rPr>
          <w:rFonts w:cs="Arial"/>
          <w:color w:val="000000" w:themeColor="text1"/>
          <w:sz w:val="16"/>
          <w:szCs w:val="16"/>
        </w:rPr>
        <w:t xml:space="preserve"> </w:t>
      </w:r>
      <w:r w:rsidRPr="002C7204">
        <w:rPr>
          <w:rFonts w:cs="Arial"/>
          <w:sz w:val="16"/>
          <w:szCs w:val="16"/>
        </w:rPr>
        <w:t>Sv</w:t>
      </w:r>
      <w:r>
        <w:rPr>
          <w:rFonts w:cs="Arial"/>
          <w:sz w:val="16"/>
          <w:szCs w:val="16"/>
        </w:rPr>
        <w:t>j</w:t>
      </w:r>
      <w:r w:rsidRPr="002C7204">
        <w:rPr>
          <w:rFonts w:cs="Arial"/>
          <w:sz w:val="16"/>
          <w:szCs w:val="16"/>
        </w:rPr>
        <w:t xml:space="preserve">etska banka i UNICEF (2022); </w:t>
      </w:r>
      <w:r w:rsidRPr="002C7204">
        <w:rPr>
          <w:rFonts w:cs="Arial"/>
          <w:color w:val="000000" w:themeColor="text1"/>
          <w:sz w:val="16"/>
          <w:szCs w:val="16"/>
        </w:rPr>
        <w:t xml:space="preserve">IDEAS (2019); </w:t>
      </w:r>
      <w:r w:rsidRPr="002C7204">
        <w:rPr>
          <w:rFonts w:cs="Arial"/>
          <w:sz w:val="16"/>
          <w:szCs w:val="16"/>
        </w:rPr>
        <w:t xml:space="preserve">Šunderić, Ž. </w:t>
      </w:r>
      <w:r w:rsidRPr="004A5756">
        <w:rPr>
          <w:rFonts w:cs="Arial"/>
          <w:sz w:val="16"/>
          <w:szCs w:val="16"/>
        </w:rPr>
        <w:t>Evaluacija sprovođenja Strategije razvoja socijalne i dječje zaštite u Crnoj Gori za perio</w:t>
      </w:r>
      <w:r>
        <w:rPr>
          <w:rFonts w:cs="Arial"/>
          <w:sz w:val="16"/>
          <w:szCs w:val="16"/>
        </w:rPr>
        <w:t xml:space="preserve">d od 2018. do 2022. godine, </w:t>
      </w:r>
      <w:r w:rsidRPr="002C7204">
        <w:rPr>
          <w:rFonts w:cs="Arial"/>
          <w:sz w:val="16"/>
          <w:szCs w:val="16"/>
        </w:rPr>
        <w:t xml:space="preserve">(2021); </w:t>
      </w:r>
      <w:r w:rsidRPr="002C7204">
        <w:rPr>
          <w:rFonts w:cs="Arial"/>
          <w:color w:val="000000" w:themeColor="text1"/>
          <w:sz w:val="16"/>
          <w:szCs w:val="16"/>
        </w:rPr>
        <w:t>Analiza potreba i mogućnosti za uspostavljanje podrške porodici i usluga koje se pružaju na nivou zajednice za biološke porodice (2021), str.</w:t>
      </w:r>
      <w:r>
        <w:rPr>
          <w:rFonts w:cs="Arial"/>
          <w:color w:val="000000" w:themeColor="text1"/>
          <w:sz w:val="16"/>
          <w:szCs w:val="16"/>
        </w:rPr>
        <w:t xml:space="preserve"> </w:t>
      </w:r>
      <w:r w:rsidRPr="002C7204">
        <w:rPr>
          <w:rFonts w:cs="Arial"/>
          <w:color w:val="000000" w:themeColor="text1"/>
          <w:sz w:val="16"/>
          <w:szCs w:val="16"/>
        </w:rPr>
        <w:t>25.</w:t>
      </w:r>
      <w:r w:rsidRPr="002C7204" w:rsidDel="0040711D">
        <w:rPr>
          <w:rFonts w:cs="Arial"/>
          <w:color w:val="000000" w:themeColor="text1"/>
          <w:sz w:val="16"/>
          <w:szCs w:val="16"/>
        </w:rPr>
        <w:t xml:space="preserve"> </w:t>
      </w:r>
    </w:p>
  </w:footnote>
  <w:footnote w:id="110">
    <w:p w14:paraId="554E0A14"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 xml:space="preserve">IDEAS (2019); </w:t>
      </w:r>
      <w:r w:rsidRPr="002C7204">
        <w:rPr>
          <w:rFonts w:eastAsiaTheme="minorEastAsia" w:cs="Arial"/>
          <w:color w:val="000000" w:themeColor="text1"/>
          <w:sz w:val="16"/>
          <w:szCs w:val="16"/>
          <w:lang w:val="sr-Latn-CS"/>
        </w:rPr>
        <w:t xml:space="preserve">Analiza primjene Zakona o socijalnoj i dječjoj zaštiti (2021). Nacrt </w:t>
      </w:r>
      <w:r w:rsidRPr="002C7204">
        <w:rPr>
          <w:rFonts w:cs="Arial"/>
          <w:color w:val="000000" w:themeColor="text1"/>
          <w:sz w:val="16"/>
          <w:szCs w:val="16"/>
          <w:lang w:val="sr-Latn-RS"/>
        </w:rPr>
        <w:t>Strategije deinstitucionalizacije (2023)</w:t>
      </w:r>
      <w:r>
        <w:rPr>
          <w:rFonts w:cs="Arial"/>
          <w:color w:val="000000" w:themeColor="text1"/>
          <w:sz w:val="16"/>
          <w:szCs w:val="16"/>
          <w:lang w:val="sr-Latn-RS"/>
        </w:rPr>
        <w:t>.</w:t>
      </w:r>
    </w:p>
  </w:footnote>
  <w:footnote w:id="111">
    <w:p w14:paraId="2DE58EF6"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Šunderić Ž. </w:t>
      </w:r>
      <w:r w:rsidRPr="004A5756">
        <w:rPr>
          <w:rFonts w:cs="Arial"/>
          <w:sz w:val="16"/>
          <w:szCs w:val="16"/>
        </w:rPr>
        <w:t>Evaluacija sprovođenja Strategije razvoja socijalne i dječje zaštite u Crnoj Gori za perio</w:t>
      </w:r>
      <w:r>
        <w:rPr>
          <w:rFonts w:cs="Arial"/>
          <w:sz w:val="16"/>
          <w:szCs w:val="16"/>
        </w:rPr>
        <w:t xml:space="preserve">d od 2018. do 2022. godine, </w:t>
      </w:r>
      <w:r w:rsidRPr="002C7204">
        <w:rPr>
          <w:rFonts w:cs="Arial"/>
          <w:sz w:val="16"/>
          <w:szCs w:val="16"/>
        </w:rPr>
        <w:t xml:space="preserve">(2021). </w:t>
      </w:r>
    </w:p>
  </w:footnote>
  <w:footnote w:id="112">
    <w:p w14:paraId="5AAA4A35" w14:textId="77777777" w:rsidR="005B7D8D" w:rsidRPr="002C7204" w:rsidRDefault="005B7D8D" w:rsidP="00623852">
      <w:pPr>
        <w:rPr>
          <w:rFonts w:cs="Arial"/>
          <w:sz w:val="16"/>
          <w:szCs w:val="16"/>
        </w:rPr>
      </w:pPr>
      <w:r w:rsidRPr="002C7204">
        <w:rPr>
          <w:rStyle w:val="FootnoteReference"/>
          <w:rFonts w:cs="Arial"/>
          <w:sz w:val="16"/>
          <w:szCs w:val="16"/>
        </w:rPr>
        <w:footnoteRef/>
      </w:r>
      <w:r w:rsidRPr="002C7204">
        <w:rPr>
          <w:rFonts w:cs="Arial"/>
          <w:sz w:val="16"/>
          <w:szCs w:val="16"/>
        </w:rPr>
        <w:t xml:space="preserve"> Raketić D., Višnjić A., (2022).</w:t>
      </w:r>
    </w:p>
  </w:footnote>
  <w:footnote w:id="113">
    <w:p w14:paraId="51EDC119"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IDEAS (2019).</w:t>
      </w:r>
      <w:r w:rsidRPr="006E3A6B">
        <w:rPr>
          <w:rFonts w:cs="Arial"/>
          <w:sz w:val="16"/>
          <w:szCs w:val="16"/>
          <w:lang w:val="sr-Latn-ME"/>
        </w:rPr>
        <w:t xml:space="preserve"> Analiza rada centara za socijalni rad, str. 11</w:t>
      </w:r>
      <w:r>
        <w:rPr>
          <w:rFonts w:cs="Arial"/>
          <w:sz w:val="16"/>
          <w:szCs w:val="16"/>
          <w:lang w:val="sr-Latn-ME"/>
        </w:rPr>
        <w:t>.</w:t>
      </w:r>
    </w:p>
  </w:footnote>
  <w:footnote w:id="114">
    <w:p w14:paraId="2915C0DD"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Sv</w:t>
      </w:r>
      <w:r>
        <w:rPr>
          <w:rFonts w:cs="Arial"/>
          <w:sz w:val="16"/>
          <w:szCs w:val="16"/>
        </w:rPr>
        <w:t>j</w:t>
      </w:r>
      <w:r w:rsidRPr="002C7204">
        <w:rPr>
          <w:rFonts w:cs="Arial"/>
          <w:sz w:val="16"/>
          <w:szCs w:val="16"/>
        </w:rPr>
        <w:t>etska banka i UNICEF (2022).</w:t>
      </w:r>
    </w:p>
  </w:footnote>
  <w:footnote w:id="115">
    <w:p w14:paraId="42949D86" w14:textId="77777777" w:rsidR="005B7D8D" w:rsidRPr="002C7204" w:rsidRDefault="005B7D8D" w:rsidP="00623852">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IDEAS (2019)</w:t>
      </w:r>
      <w:r w:rsidRPr="002C7204">
        <w:rPr>
          <w:rFonts w:cs="Arial"/>
          <w:sz w:val="16"/>
          <w:szCs w:val="16"/>
          <w:lang w:val="sr-Latn-RS"/>
        </w:rPr>
        <w:t>.</w:t>
      </w:r>
      <w:r w:rsidRPr="006E3A6B">
        <w:rPr>
          <w:rFonts w:cs="Arial"/>
          <w:sz w:val="16"/>
          <w:szCs w:val="16"/>
          <w:lang w:val="sr-Latn-ME"/>
        </w:rPr>
        <w:t xml:space="preserve"> Analiza rada centara za socijalni rad, str. 87</w:t>
      </w:r>
      <w:r>
        <w:rPr>
          <w:rFonts w:cs="Arial"/>
          <w:sz w:val="16"/>
          <w:szCs w:val="16"/>
          <w:lang w:val="sr-Latn-ME"/>
        </w:rPr>
        <w:t>.</w:t>
      </w:r>
    </w:p>
  </w:footnote>
  <w:footnote w:id="116">
    <w:p w14:paraId="5A6C0335" w14:textId="77777777" w:rsidR="005B7D8D" w:rsidRPr="002C7204" w:rsidRDefault="005B7D8D"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IDEAS (2019);</w:t>
      </w:r>
      <w:r w:rsidRPr="002C7204">
        <w:rPr>
          <w:rFonts w:cs="Arial"/>
          <w:sz w:val="16"/>
          <w:szCs w:val="16"/>
          <w:lang w:val="sr-Latn-RS"/>
        </w:rPr>
        <w:t xml:space="preserve"> Šunderić, Ž. </w:t>
      </w:r>
      <w:r w:rsidRPr="004A5756">
        <w:rPr>
          <w:rFonts w:cs="Arial"/>
          <w:sz w:val="16"/>
          <w:szCs w:val="16"/>
          <w:lang w:val="sr-Latn-RS"/>
        </w:rPr>
        <w:t>Evaluacija sprovođenja Strategije razvoja socijalne i dječje zaštite u Crnoj Gori za period od 20</w:t>
      </w:r>
      <w:r>
        <w:rPr>
          <w:rFonts w:cs="Arial"/>
          <w:sz w:val="16"/>
          <w:szCs w:val="16"/>
          <w:lang w:val="sr-Latn-RS"/>
        </w:rPr>
        <w:t xml:space="preserve">18. do 2022. godine, </w:t>
      </w:r>
      <w:r w:rsidRPr="002C7204">
        <w:rPr>
          <w:rFonts w:cs="Arial"/>
          <w:sz w:val="16"/>
          <w:szCs w:val="16"/>
          <w:lang w:val="sr-Latn-RS"/>
        </w:rPr>
        <w:t xml:space="preserve">(2021); </w:t>
      </w:r>
      <w:r w:rsidRPr="002C7204">
        <w:rPr>
          <w:rFonts w:eastAsiaTheme="minorEastAsia" w:cs="Arial"/>
          <w:color w:val="000000" w:themeColor="text1"/>
          <w:sz w:val="16"/>
          <w:szCs w:val="16"/>
          <w:lang w:val="sr-Latn-CS"/>
        </w:rPr>
        <w:t>Analiza primjene Zakona o socijalnoj i dječjoj zaštiti (2021).</w:t>
      </w:r>
    </w:p>
  </w:footnote>
  <w:footnote w:id="117">
    <w:p w14:paraId="7CC3E6CF" w14:textId="77777777" w:rsidR="005B7D8D" w:rsidRPr="002C7204" w:rsidRDefault="005B7D8D" w:rsidP="00555742">
      <w:pPr>
        <w:pStyle w:val="FootnoteText"/>
        <w:rPr>
          <w:rFonts w:cs="Arial"/>
          <w:sz w:val="16"/>
          <w:szCs w:val="16"/>
        </w:rPr>
      </w:pPr>
      <w:r w:rsidRPr="00C23804">
        <w:rPr>
          <w:rStyle w:val="FootnoteReference"/>
          <w:rFonts w:ascii="Cambria" w:hAnsi="Cambria" w:cstheme="minorHAnsi"/>
          <w:sz w:val="16"/>
          <w:szCs w:val="16"/>
        </w:rPr>
        <w:footnoteRef/>
      </w:r>
      <w:r w:rsidRPr="00C23804">
        <w:rPr>
          <w:rFonts w:ascii="Cambria" w:hAnsi="Cambria" w:cstheme="minorHAnsi"/>
          <w:sz w:val="16"/>
          <w:szCs w:val="16"/>
        </w:rPr>
        <w:t xml:space="preserve"> </w:t>
      </w:r>
      <w:r w:rsidRPr="002C7204">
        <w:rPr>
          <w:rFonts w:eastAsiaTheme="minorEastAsia" w:cs="Arial"/>
          <w:color w:val="000000" w:themeColor="text1"/>
          <w:sz w:val="16"/>
          <w:szCs w:val="16"/>
          <w:lang w:val="sr-Latn-CS"/>
        </w:rPr>
        <w:t>Analiza primjene Zakona o socijalnoj i dječjoj zaštiti (2021).</w:t>
      </w:r>
    </w:p>
  </w:footnote>
  <w:footnote w:id="118">
    <w:p w14:paraId="027A9C3F" w14:textId="77777777" w:rsidR="005B7D8D" w:rsidRPr="002C7204" w:rsidRDefault="005B7D8D" w:rsidP="00555742">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 xml:space="preserve">Zavod za socijalnu i dječju zaštitu (2020). </w:t>
      </w:r>
      <w:r w:rsidRPr="002C7204">
        <w:rPr>
          <w:rFonts w:cs="Arial"/>
          <w:sz w:val="16"/>
          <w:szCs w:val="16"/>
        </w:rPr>
        <w:t>Analiza minimalnih standarda usluga u sistemu socijalne i dječje zaštite Crne Gore;</w:t>
      </w:r>
      <w:r w:rsidRPr="002C7204">
        <w:rPr>
          <w:rFonts w:eastAsiaTheme="minorEastAsia" w:cs="Arial"/>
          <w:color w:val="000000" w:themeColor="text1"/>
          <w:sz w:val="16"/>
          <w:szCs w:val="16"/>
          <w:lang w:val="sr-Latn-CS"/>
        </w:rPr>
        <w:t xml:space="preserve"> Analiza primjene Zakona o socijalnoj i dječjoj zaštiti (2021).</w:t>
      </w:r>
      <w:r w:rsidRPr="002C7204">
        <w:rPr>
          <w:rFonts w:cs="Arial"/>
          <w:color w:val="000000" w:themeColor="text1"/>
          <w:sz w:val="16"/>
          <w:szCs w:val="16"/>
        </w:rPr>
        <w:t xml:space="preserve"> Zavod za socijalnu i dječju zaštitu (2022b). Analiza licenciranih pružalaca usluga u oblasti socijalne i dječje zaštite u Crnoj Gori.</w:t>
      </w:r>
    </w:p>
  </w:footnote>
  <w:footnote w:id="119">
    <w:p w14:paraId="34C8D8E8" w14:textId="77777777" w:rsidR="005B7D8D" w:rsidRPr="002C7204" w:rsidRDefault="005B7D8D" w:rsidP="00555742">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Svjetska banka i UNICEF (2022)</w:t>
      </w:r>
    </w:p>
  </w:footnote>
  <w:footnote w:id="120">
    <w:p w14:paraId="183602B8" w14:textId="77777777" w:rsidR="005B7D8D" w:rsidRPr="00C23804" w:rsidRDefault="005B7D8D" w:rsidP="00555742">
      <w:pPr>
        <w:pStyle w:val="FootnoteText"/>
        <w:rPr>
          <w:rFonts w:ascii="Cambria" w:hAnsi="Cambria"/>
          <w:sz w:val="16"/>
          <w:szCs w:val="16"/>
        </w:rPr>
      </w:pPr>
      <w:r w:rsidRPr="002C7204">
        <w:rPr>
          <w:rStyle w:val="FootnoteReference"/>
          <w:rFonts w:cs="Arial"/>
          <w:sz w:val="16"/>
          <w:szCs w:val="16"/>
        </w:rPr>
        <w:footnoteRef/>
      </w:r>
      <w:r w:rsidRPr="002C7204">
        <w:rPr>
          <w:rFonts w:cs="Arial"/>
          <w:sz w:val="16"/>
          <w:szCs w:val="16"/>
        </w:rPr>
        <w:t xml:space="preserve"> Svjetska banka i UNICEF (2022); </w:t>
      </w:r>
      <w:r w:rsidRPr="002C7204">
        <w:rPr>
          <w:rFonts w:cs="Arial"/>
          <w:color w:val="000000" w:themeColor="text1"/>
          <w:sz w:val="16"/>
          <w:szCs w:val="16"/>
          <w:lang w:eastAsia="en-GB"/>
        </w:rPr>
        <w:t>CEED Consulting (2021)</w:t>
      </w:r>
      <w:r>
        <w:rPr>
          <w:rFonts w:cs="Arial"/>
          <w:color w:val="000000" w:themeColor="text1"/>
          <w:sz w:val="16"/>
          <w:szCs w:val="16"/>
          <w:lang w:eastAsia="en-GB"/>
        </w:rPr>
        <w:t>rilikom iyrade</w:t>
      </w:r>
    </w:p>
  </w:footnote>
  <w:footnote w:id="121">
    <w:p w14:paraId="65134C77" w14:textId="0E5D45D2" w:rsidR="005B7D8D" w:rsidRDefault="005B7D8D">
      <w:pPr>
        <w:pStyle w:val="FootnoteText"/>
      </w:pPr>
      <w:r>
        <w:rPr>
          <w:rStyle w:val="FootnoteReference"/>
        </w:rPr>
        <w:footnoteRef/>
      </w:r>
      <w:r>
        <w:t xml:space="preserve"> Dio od 720.000,00 eura predviđen za održavanje </w:t>
      </w:r>
      <w:r w:rsidRPr="007139E4">
        <w:t>Informacionog sistema socijalnog staranja (e-socijala</w:t>
      </w:r>
      <w:r>
        <w:t>) planiran je za 4 godine u period od 2025-2028.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721"/>
    <w:multiLevelType w:val="multilevel"/>
    <w:tmpl w:val="C9BE0AC8"/>
    <w:lvl w:ilvl="0">
      <w:start w:val="1"/>
      <w:numFmt w:val="decimal"/>
      <w:lvlText w:val="%1."/>
      <w:lvlJc w:val="left"/>
      <w:pPr>
        <w:ind w:left="450" w:hanging="360"/>
      </w:pPr>
      <w:rPr>
        <w:rFonts w:ascii="Arial" w:hAnsi="Arial" w:cs="Arial" w:hint="default"/>
        <w:b/>
        <w:color w:val="000000" w:themeColor="text1"/>
      </w:rPr>
    </w:lvl>
    <w:lvl w:ilvl="1">
      <w:start w:val="1"/>
      <w:numFmt w:val="decimal"/>
      <w:pStyle w:val="Heading2"/>
      <w:isLgl/>
      <w:lvlText w:val="%1.%2."/>
      <w:lvlJc w:val="left"/>
      <w:pPr>
        <w:ind w:left="1080" w:hanging="720"/>
      </w:pPr>
      <w:rPr>
        <w:rFonts w:hint="default"/>
        <w:color w:val="auto"/>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4E7E33"/>
    <w:multiLevelType w:val="hybridMultilevel"/>
    <w:tmpl w:val="EF46D07E"/>
    <w:lvl w:ilvl="0" w:tplc="1AC6652E">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5C024C4"/>
    <w:multiLevelType w:val="hybridMultilevel"/>
    <w:tmpl w:val="64F8F5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DB31C36"/>
    <w:multiLevelType w:val="hybridMultilevel"/>
    <w:tmpl w:val="DB609742"/>
    <w:lvl w:ilvl="0" w:tplc="1E727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544A9"/>
    <w:multiLevelType w:val="hybridMultilevel"/>
    <w:tmpl w:val="848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12CE6"/>
    <w:multiLevelType w:val="hybridMultilevel"/>
    <w:tmpl w:val="59E88354"/>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C73A40"/>
    <w:multiLevelType w:val="multilevel"/>
    <w:tmpl w:val="F7A642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AD2C90"/>
    <w:multiLevelType w:val="hybridMultilevel"/>
    <w:tmpl w:val="0F0A4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1F526F9"/>
    <w:multiLevelType w:val="hybridMultilevel"/>
    <w:tmpl w:val="8BC6956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01D32"/>
    <w:multiLevelType w:val="hybridMultilevel"/>
    <w:tmpl w:val="9656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21FF2"/>
    <w:multiLevelType w:val="hybridMultilevel"/>
    <w:tmpl w:val="6B5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E3C26"/>
    <w:multiLevelType w:val="hybridMultilevel"/>
    <w:tmpl w:val="2CA2A9A2"/>
    <w:lvl w:ilvl="0" w:tplc="1E727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1229D"/>
    <w:multiLevelType w:val="hybridMultilevel"/>
    <w:tmpl w:val="3B8861A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3" w15:restartNumberingAfterBreak="0">
    <w:nsid w:val="6653575D"/>
    <w:multiLevelType w:val="hybridMultilevel"/>
    <w:tmpl w:val="9880C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A62B5"/>
    <w:multiLevelType w:val="hybridMultilevel"/>
    <w:tmpl w:val="F21A6F3E"/>
    <w:lvl w:ilvl="0" w:tplc="2C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A56150"/>
    <w:multiLevelType w:val="hybridMultilevel"/>
    <w:tmpl w:val="4F76FAAC"/>
    <w:lvl w:ilvl="0" w:tplc="1E727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F24AC"/>
    <w:multiLevelType w:val="hybridMultilevel"/>
    <w:tmpl w:val="027A4052"/>
    <w:lvl w:ilvl="0" w:tplc="1310C678">
      <w:start w:val="2017"/>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78A64240"/>
    <w:multiLevelType w:val="hybridMultilevel"/>
    <w:tmpl w:val="5E5421DE"/>
    <w:lvl w:ilvl="0" w:tplc="1E727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6746D"/>
    <w:multiLevelType w:val="multilevel"/>
    <w:tmpl w:val="EB6AD5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0"/>
  </w:num>
  <w:num w:numId="6">
    <w:abstractNumId w:val="3"/>
  </w:num>
  <w:num w:numId="7">
    <w:abstractNumId w:val="12"/>
  </w:num>
  <w:num w:numId="8">
    <w:abstractNumId w:val="4"/>
  </w:num>
  <w:num w:numId="9">
    <w:abstractNumId w:val="10"/>
  </w:num>
  <w:num w:numId="10">
    <w:abstractNumId w:val="9"/>
  </w:num>
  <w:num w:numId="11">
    <w:abstractNumId w:val="2"/>
  </w:num>
  <w:num w:numId="12">
    <w:abstractNumId w:val="13"/>
  </w:num>
  <w:num w:numId="13">
    <w:abstractNumId w:val="17"/>
  </w:num>
  <w:num w:numId="14">
    <w:abstractNumId w:val="11"/>
  </w:num>
  <w:num w:numId="15">
    <w:abstractNumId w:val="16"/>
  </w:num>
  <w:num w:numId="16">
    <w:abstractNumId w:val="8"/>
  </w:num>
  <w:num w:numId="17">
    <w:abstractNumId w:val="5"/>
  </w:num>
  <w:num w:numId="18">
    <w:abstractNumId w:val="18"/>
  </w:num>
  <w:num w:numId="19">
    <w:abstractNumId w:val="14"/>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D1"/>
    <w:rsid w:val="00001CEC"/>
    <w:rsid w:val="00002CE3"/>
    <w:rsid w:val="00002CEE"/>
    <w:rsid w:val="00004BE6"/>
    <w:rsid w:val="000065B6"/>
    <w:rsid w:val="0001122F"/>
    <w:rsid w:val="00011906"/>
    <w:rsid w:val="00011B39"/>
    <w:rsid w:val="00013BB2"/>
    <w:rsid w:val="00015894"/>
    <w:rsid w:val="00015D16"/>
    <w:rsid w:val="00016EB7"/>
    <w:rsid w:val="00017463"/>
    <w:rsid w:val="00017587"/>
    <w:rsid w:val="000204CF"/>
    <w:rsid w:val="0002067C"/>
    <w:rsid w:val="00022316"/>
    <w:rsid w:val="000237EE"/>
    <w:rsid w:val="000244D8"/>
    <w:rsid w:val="00024F76"/>
    <w:rsid w:val="0002781B"/>
    <w:rsid w:val="00027948"/>
    <w:rsid w:val="0003103E"/>
    <w:rsid w:val="0003105B"/>
    <w:rsid w:val="00031181"/>
    <w:rsid w:val="00031692"/>
    <w:rsid w:val="000329CA"/>
    <w:rsid w:val="00032BB4"/>
    <w:rsid w:val="0003444B"/>
    <w:rsid w:val="000352DA"/>
    <w:rsid w:val="00036CBF"/>
    <w:rsid w:val="00037387"/>
    <w:rsid w:val="00040FB2"/>
    <w:rsid w:val="00041442"/>
    <w:rsid w:val="00042853"/>
    <w:rsid w:val="000434F6"/>
    <w:rsid w:val="00045D32"/>
    <w:rsid w:val="00046270"/>
    <w:rsid w:val="00046D44"/>
    <w:rsid w:val="0005175B"/>
    <w:rsid w:val="00051777"/>
    <w:rsid w:val="000525CE"/>
    <w:rsid w:val="000540A5"/>
    <w:rsid w:val="00056818"/>
    <w:rsid w:val="00057604"/>
    <w:rsid w:val="00060D27"/>
    <w:rsid w:val="00061650"/>
    <w:rsid w:val="00066657"/>
    <w:rsid w:val="00070A38"/>
    <w:rsid w:val="00072964"/>
    <w:rsid w:val="0007683F"/>
    <w:rsid w:val="00081EF4"/>
    <w:rsid w:val="0008323B"/>
    <w:rsid w:val="00083439"/>
    <w:rsid w:val="000840C3"/>
    <w:rsid w:val="000945A3"/>
    <w:rsid w:val="00095D65"/>
    <w:rsid w:val="00095D81"/>
    <w:rsid w:val="00097300"/>
    <w:rsid w:val="000973D8"/>
    <w:rsid w:val="000A2038"/>
    <w:rsid w:val="000A26B1"/>
    <w:rsid w:val="000A2EAB"/>
    <w:rsid w:val="000A53E4"/>
    <w:rsid w:val="000A61FF"/>
    <w:rsid w:val="000B19BA"/>
    <w:rsid w:val="000B26DA"/>
    <w:rsid w:val="000B2A93"/>
    <w:rsid w:val="000B59F6"/>
    <w:rsid w:val="000B7A0C"/>
    <w:rsid w:val="000C1112"/>
    <w:rsid w:val="000C163B"/>
    <w:rsid w:val="000C2717"/>
    <w:rsid w:val="000C2F0F"/>
    <w:rsid w:val="000C2FCE"/>
    <w:rsid w:val="000C32B6"/>
    <w:rsid w:val="000C544B"/>
    <w:rsid w:val="000C776D"/>
    <w:rsid w:val="000C7E8A"/>
    <w:rsid w:val="000D0035"/>
    <w:rsid w:val="000D1E6B"/>
    <w:rsid w:val="000D4875"/>
    <w:rsid w:val="000D4D29"/>
    <w:rsid w:val="000D6A4A"/>
    <w:rsid w:val="000E1817"/>
    <w:rsid w:val="000E29C7"/>
    <w:rsid w:val="000E3427"/>
    <w:rsid w:val="000E5032"/>
    <w:rsid w:val="000E59BE"/>
    <w:rsid w:val="000E6197"/>
    <w:rsid w:val="000E6A7B"/>
    <w:rsid w:val="000E6E15"/>
    <w:rsid w:val="000F1F58"/>
    <w:rsid w:val="000F1FA9"/>
    <w:rsid w:val="000F2BB3"/>
    <w:rsid w:val="000F418C"/>
    <w:rsid w:val="000F43FA"/>
    <w:rsid w:val="00101731"/>
    <w:rsid w:val="00103A82"/>
    <w:rsid w:val="00105ABF"/>
    <w:rsid w:val="00107541"/>
    <w:rsid w:val="00110234"/>
    <w:rsid w:val="00111554"/>
    <w:rsid w:val="00112DC0"/>
    <w:rsid w:val="001136FA"/>
    <w:rsid w:val="00114C59"/>
    <w:rsid w:val="00114F70"/>
    <w:rsid w:val="00116019"/>
    <w:rsid w:val="001208A3"/>
    <w:rsid w:val="00122A90"/>
    <w:rsid w:val="00127BD3"/>
    <w:rsid w:val="00127FF2"/>
    <w:rsid w:val="00130594"/>
    <w:rsid w:val="00133DF8"/>
    <w:rsid w:val="00133FDC"/>
    <w:rsid w:val="001347D0"/>
    <w:rsid w:val="00142786"/>
    <w:rsid w:val="00147014"/>
    <w:rsid w:val="00151C9D"/>
    <w:rsid w:val="00152259"/>
    <w:rsid w:val="001536BC"/>
    <w:rsid w:val="00154B0B"/>
    <w:rsid w:val="00157358"/>
    <w:rsid w:val="00157587"/>
    <w:rsid w:val="00160EAE"/>
    <w:rsid w:val="00172EA3"/>
    <w:rsid w:val="00176E2A"/>
    <w:rsid w:val="001771F1"/>
    <w:rsid w:val="00177B27"/>
    <w:rsid w:val="00181443"/>
    <w:rsid w:val="0018190A"/>
    <w:rsid w:val="00182877"/>
    <w:rsid w:val="00183312"/>
    <w:rsid w:val="00183655"/>
    <w:rsid w:val="0018497C"/>
    <w:rsid w:val="001854B5"/>
    <w:rsid w:val="00190C58"/>
    <w:rsid w:val="00190FBD"/>
    <w:rsid w:val="00193A38"/>
    <w:rsid w:val="00196379"/>
    <w:rsid w:val="00196A0E"/>
    <w:rsid w:val="00197787"/>
    <w:rsid w:val="001A059B"/>
    <w:rsid w:val="001A1671"/>
    <w:rsid w:val="001A2341"/>
    <w:rsid w:val="001A2457"/>
    <w:rsid w:val="001A5D6E"/>
    <w:rsid w:val="001A6740"/>
    <w:rsid w:val="001B1F1C"/>
    <w:rsid w:val="001B23C1"/>
    <w:rsid w:val="001B31D2"/>
    <w:rsid w:val="001B37FF"/>
    <w:rsid w:val="001B381E"/>
    <w:rsid w:val="001B5095"/>
    <w:rsid w:val="001B532B"/>
    <w:rsid w:val="001C0EE9"/>
    <w:rsid w:val="001C11CF"/>
    <w:rsid w:val="001C2B75"/>
    <w:rsid w:val="001C63C5"/>
    <w:rsid w:val="001D070A"/>
    <w:rsid w:val="001D1A7C"/>
    <w:rsid w:val="001D4665"/>
    <w:rsid w:val="001D7113"/>
    <w:rsid w:val="001E0069"/>
    <w:rsid w:val="001E1B00"/>
    <w:rsid w:val="001E2DB6"/>
    <w:rsid w:val="001E4702"/>
    <w:rsid w:val="001E4D4A"/>
    <w:rsid w:val="001E652C"/>
    <w:rsid w:val="001F0566"/>
    <w:rsid w:val="001F0601"/>
    <w:rsid w:val="001F42E7"/>
    <w:rsid w:val="00201B49"/>
    <w:rsid w:val="002051CE"/>
    <w:rsid w:val="00206736"/>
    <w:rsid w:val="002125F4"/>
    <w:rsid w:val="00215486"/>
    <w:rsid w:val="00215AF3"/>
    <w:rsid w:val="00220217"/>
    <w:rsid w:val="00220341"/>
    <w:rsid w:val="00222196"/>
    <w:rsid w:val="002264BB"/>
    <w:rsid w:val="00227123"/>
    <w:rsid w:val="002303EF"/>
    <w:rsid w:val="00232930"/>
    <w:rsid w:val="002337DA"/>
    <w:rsid w:val="00233B07"/>
    <w:rsid w:val="002358A4"/>
    <w:rsid w:val="0023604B"/>
    <w:rsid w:val="00241AE1"/>
    <w:rsid w:val="0024408B"/>
    <w:rsid w:val="00245F96"/>
    <w:rsid w:val="00250122"/>
    <w:rsid w:val="002518A8"/>
    <w:rsid w:val="00252337"/>
    <w:rsid w:val="00252B94"/>
    <w:rsid w:val="002542E0"/>
    <w:rsid w:val="00254CEE"/>
    <w:rsid w:val="00254D12"/>
    <w:rsid w:val="00255729"/>
    <w:rsid w:val="002611E2"/>
    <w:rsid w:val="00262D6A"/>
    <w:rsid w:val="002656FF"/>
    <w:rsid w:val="00271CE6"/>
    <w:rsid w:val="002726C0"/>
    <w:rsid w:val="00274E72"/>
    <w:rsid w:val="0027550A"/>
    <w:rsid w:val="002807FB"/>
    <w:rsid w:val="00280B23"/>
    <w:rsid w:val="00281218"/>
    <w:rsid w:val="0028142A"/>
    <w:rsid w:val="0028178C"/>
    <w:rsid w:val="002833FF"/>
    <w:rsid w:val="002858A8"/>
    <w:rsid w:val="002871F3"/>
    <w:rsid w:val="00290414"/>
    <w:rsid w:val="002927B1"/>
    <w:rsid w:val="00294C23"/>
    <w:rsid w:val="00296FDF"/>
    <w:rsid w:val="002A3631"/>
    <w:rsid w:val="002A3B2C"/>
    <w:rsid w:val="002A3F3D"/>
    <w:rsid w:val="002A551F"/>
    <w:rsid w:val="002A6706"/>
    <w:rsid w:val="002B050D"/>
    <w:rsid w:val="002B0FEA"/>
    <w:rsid w:val="002B1DDF"/>
    <w:rsid w:val="002B3A93"/>
    <w:rsid w:val="002B3DA2"/>
    <w:rsid w:val="002B4243"/>
    <w:rsid w:val="002B4EFF"/>
    <w:rsid w:val="002B7382"/>
    <w:rsid w:val="002B7446"/>
    <w:rsid w:val="002B7653"/>
    <w:rsid w:val="002C0F26"/>
    <w:rsid w:val="002C324D"/>
    <w:rsid w:val="002C4845"/>
    <w:rsid w:val="002C55EA"/>
    <w:rsid w:val="002C56F9"/>
    <w:rsid w:val="002C7204"/>
    <w:rsid w:val="002C7714"/>
    <w:rsid w:val="002C7D71"/>
    <w:rsid w:val="002D1F02"/>
    <w:rsid w:val="002D4874"/>
    <w:rsid w:val="002D552F"/>
    <w:rsid w:val="002D5F2D"/>
    <w:rsid w:val="002D686A"/>
    <w:rsid w:val="002D7226"/>
    <w:rsid w:val="002D7E7F"/>
    <w:rsid w:val="002E05AC"/>
    <w:rsid w:val="002E2638"/>
    <w:rsid w:val="002E316E"/>
    <w:rsid w:val="002E3BF7"/>
    <w:rsid w:val="002E3D8B"/>
    <w:rsid w:val="002F1D60"/>
    <w:rsid w:val="002F229D"/>
    <w:rsid w:val="002F481C"/>
    <w:rsid w:val="002F5B7A"/>
    <w:rsid w:val="002F5BF8"/>
    <w:rsid w:val="002F6FA2"/>
    <w:rsid w:val="002F70BD"/>
    <w:rsid w:val="002F7B16"/>
    <w:rsid w:val="003017E7"/>
    <w:rsid w:val="00301DD5"/>
    <w:rsid w:val="003031E7"/>
    <w:rsid w:val="0030330C"/>
    <w:rsid w:val="003036F4"/>
    <w:rsid w:val="003057C3"/>
    <w:rsid w:val="00305DA3"/>
    <w:rsid w:val="00306C6D"/>
    <w:rsid w:val="00310086"/>
    <w:rsid w:val="003108F3"/>
    <w:rsid w:val="00311840"/>
    <w:rsid w:val="00312180"/>
    <w:rsid w:val="00323326"/>
    <w:rsid w:val="00324BFC"/>
    <w:rsid w:val="00324E0E"/>
    <w:rsid w:val="00325B37"/>
    <w:rsid w:val="00325F89"/>
    <w:rsid w:val="0032665F"/>
    <w:rsid w:val="00326DEA"/>
    <w:rsid w:val="00327848"/>
    <w:rsid w:val="00330582"/>
    <w:rsid w:val="00331C1F"/>
    <w:rsid w:val="00331DD5"/>
    <w:rsid w:val="003328D8"/>
    <w:rsid w:val="00334382"/>
    <w:rsid w:val="00340DA6"/>
    <w:rsid w:val="0034131F"/>
    <w:rsid w:val="00341F98"/>
    <w:rsid w:val="0034541F"/>
    <w:rsid w:val="003455FC"/>
    <w:rsid w:val="00347216"/>
    <w:rsid w:val="003502A7"/>
    <w:rsid w:val="00352703"/>
    <w:rsid w:val="0035325B"/>
    <w:rsid w:val="00353883"/>
    <w:rsid w:val="0035584F"/>
    <w:rsid w:val="0036587E"/>
    <w:rsid w:val="003658EC"/>
    <w:rsid w:val="00365FB2"/>
    <w:rsid w:val="0036631A"/>
    <w:rsid w:val="00366925"/>
    <w:rsid w:val="003678F7"/>
    <w:rsid w:val="00370453"/>
    <w:rsid w:val="00371227"/>
    <w:rsid w:val="00373D84"/>
    <w:rsid w:val="003754F7"/>
    <w:rsid w:val="00375BDD"/>
    <w:rsid w:val="003760BE"/>
    <w:rsid w:val="0037705E"/>
    <w:rsid w:val="00377961"/>
    <w:rsid w:val="00381A1C"/>
    <w:rsid w:val="003849DB"/>
    <w:rsid w:val="00385A8E"/>
    <w:rsid w:val="0039167E"/>
    <w:rsid w:val="00391E7E"/>
    <w:rsid w:val="0039344F"/>
    <w:rsid w:val="00397DA0"/>
    <w:rsid w:val="003A2723"/>
    <w:rsid w:val="003A3C03"/>
    <w:rsid w:val="003A5A45"/>
    <w:rsid w:val="003A65CC"/>
    <w:rsid w:val="003A6C66"/>
    <w:rsid w:val="003A7D58"/>
    <w:rsid w:val="003B09F8"/>
    <w:rsid w:val="003B1D77"/>
    <w:rsid w:val="003B58D8"/>
    <w:rsid w:val="003C0120"/>
    <w:rsid w:val="003C2535"/>
    <w:rsid w:val="003C25A8"/>
    <w:rsid w:val="003C5CED"/>
    <w:rsid w:val="003C5DC6"/>
    <w:rsid w:val="003C6BE7"/>
    <w:rsid w:val="003C7434"/>
    <w:rsid w:val="003D2BB9"/>
    <w:rsid w:val="003D45B4"/>
    <w:rsid w:val="003D6500"/>
    <w:rsid w:val="003D6D7B"/>
    <w:rsid w:val="003E0DA5"/>
    <w:rsid w:val="003E350A"/>
    <w:rsid w:val="003E548A"/>
    <w:rsid w:val="003E69C5"/>
    <w:rsid w:val="003F2738"/>
    <w:rsid w:val="003F30D1"/>
    <w:rsid w:val="003F5329"/>
    <w:rsid w:val="003F5E28"/>
    <w:rsid w:val="003F6293"/>
    <w:rsid w:val="003F69F7"/>
    <w:rsid w:val="003F70A6"/>
    <w:rsid w:val="003F7976"/>
    <w:rsid w:val="00400090"/>
    <w:rsid w:val="004037F5"/>
    <w:rsid w:val="00404DF7"/>
    <w:rsid w:val="004057E6"/>
    <w:rsid w:val="00405B99"/>
    <w:rsid w:val="00405F46"/>
    <w:rsid w:val="0041262D"/>
    <w:rsid w:val="00414CFC"/>
    <w:rsid w:val="004151A8"/>
    <w:rsid w:val="00415809"/>
    <w:rsid w:val="004158DE"/>
    <w:rsid w:val="00416199"/>
    <w:rsid w:val="00420D1F"/>
    <w:rsid w:val="00422BC1"/>
    <w:rsid w:val="00422DE3"/>
    <w:rsid w:val="00422F16"/>
    <w:rsid w:val="0042405D"/>
    <w:rsid w:val="004248A4"/>
    <w:rsid w:val="00424F66"/>
    <w:rsid w:val="00427B5E"/>
    <w:rsid w:val="00434CEE"/>
    <w:rsid w:val="00436062"/>
    <w:rsid w:val="00440944"/>
    <w:rsid w:val="00443752"/>
    <w:rsid w:val="00444269"/>
    <w:rsid w:val="00444F5C"/>
    <w:rsid w:val="00451A1F"/>
    <w:rsid w:val="00454125"/>
    <w:rsid w:val="0045527C"/>
    <w:rsid w:val="0045762B"/>
    <w:rsid w:val="004626E0"/>
    <w:rsid w:val="00462AC9"/>
    <w:rsid w:val="004644CE"/>
    <w:rsid w:val="004676E0"/>
    <w:rsid w:val="00472DF3"/>
    <w:rsid w:val="004740E5"/>
    <w:rsid w:val="00482A5E"/>
    <w:rsid w:val="00483C97"/>
    <w:rsid w:val="00484BAB"/>
    <w:rsid w:val="004906A1"/>
    <w:rsid w:val="00491352"/>
    <w:rsid w:val="00491F73"/>
    <w:rsid w:val="00493DE4"/>
    <w:rsid w:val="0049462B"/>
    <w:rsid w:val="00494BDD"/>
    <w:rsid w:val="00496B04"/>
    <w:rsid w:val="00497078"/>
    <w:rsid w:val="004A01D8"/>
    <w:rsid w:val="004A0573"/>
    <w:rsid w:val="004A172B"/>
    <w:rsid w:val="004A1ACC"/>
    <w:rsid w:val="004A20DA"/>
    <w:rsid w:val="004A3D9F"/>
    <w:rsid w:val="004A4DB0"/>
    <w:rsid w:val="004A5265"/>
    <w:rsid w:val="004A5756"/>
    <w:rsid w:val="004A6F4E"/>
    <w:rsid w:val="004A788B"/>
    <w:rsid w:val="004B1C2E"/>
    <w:rsid w:val="004B28C3"/>
    <w:rsid w:val="004B39F1"/>
    <w:rsid w:val="004B694B"/>
    <w:rsid w:val="004B770D"/>
    <w:rsid w:val="004C23E8"/>
    <w:rsid w:val="004C5D23"/>
    <w:rsid w:val="004C60C6"/>
    <w:rsid w:val="004D0E65"/>
    <w:rsid w:val="004D1E09"/>
    <w:rsid w:val="004D3D4A"/>
    <w:rsid w:val="004D5AD5"/>
    <w:rsid w:val="004E0C5D"/>
    <w:rsid w:val="004E3522"/>
    <w:rsid w:val="004E38C3"/>
    <w:rsid w:val="004E70F9"/>
    <w:rsid w:val="004E712F"/>
    <w:rsid w:val="004F15F9"/>
    <w:rsid w:val="004F2A69"/>
    <w:rsid w:val="004F3A3A"/>
    <w:rsid w:val="004F5D48"/>
    <w:rsid w:val="004F7A0D"/>
    <w:rsid w:val="00504069"/>
    <w:rsid w:val="005056CD"/>
    <w:rsid w:val="00506563"/>
    <w:rsid w:val="00507418"/>
    <w:rsid w:val="005074FE"/>
    <w:rsid w:val="005114FD"/>
    <w:rsid w:val="00513537"/>
    <w:rsid w:val="005135B3"/>
    <w:rsid w:val="005164DD"/>
    <w:rsid w:val="00516521"/>
    <w:rsid w:val="005172D6"/>
    <w:rsid w:val="00517CFF"/>
    <w:rsid w:val="00520488"/>
    <w:rsid w:val="0052090F"/>
    <w:rsid w:val="0052767B"/>
    <w:rsid w:val="00535161"/>
    <w:rsid w:val="005360B3"/>
    <w:rsid w:val="00536AB2"/>
    <w:rsid w:val="00540EEF"/>
    <w:rsid w:val="00541769"/>
    <w:rsid w:val="00541DAC"/>
    <w:rsid w:val="00543AC1"/>
    <w:rsid w:val="00546810"/>
    <w:rsid w:val="0055026A"/>
    <w:rsid w:val="005504FB"/>
    <w:rsid w:val="005539C8"/>
    <w:rsid w:val="00554CD2"/>
    <w:rsid w:val="005552AC"/>
    <w:rsid w:val="00555742"/>
    <w:rsid w:val="00556403"/>
    <w:rsid w:val="005572AD"/>
    <w:rsid w:val="0056090D"/>
    <w:rsid w:val="00560C30"/>
    <w:rsid w:val="00561E44"/>
    <w:rsid w:val="0056298C"/>
    <w:rsid w:val="00562B23"/>
    <w:rsid w:val="00564B38"/>
    <w:rsid w:val="00564B53"/>
    <w:rsid w:val="005655E5"/>
    <w:rsid w:val="00565A1E"/>
    <w:rsid w:val="00565C10"/>
    <w:rsid w:val="00566215"/>
    <w:rsid w:val="00566722"/>
    <w:rsid w:val="005669F6"/>
    <w:rsid w:val="00571198"/>
    <w:rsid w:val="00574845"/>
    <w:rsid w:val="00577E38"/>
    <w:rsid w:val="00580974"/>
    <w:rsid w:val="00581529"/>
    <w:rsid w:val="00582DC0"/>
    <w:rsid w:val="00583DB4"/>
    <w:rsid w:val="00584A54"/>
    <w:rsid w:val="00584FD3"/>
    <w:rsid w:val="005861F9"/>
    <w:rsid w:val="0058727B"/>
    <w:rsid w:val="00590570"/>
    <w:rsid w:val="005908F3"/>
    <w:rsid w:val="0059162F"/>
    <w:rsid w:val="0059172F"/>
    <w:rsid w:val="00594544"/>
    <w:rsid w:val="00594EFD"/>
    <w:rsid w:val="00595CEB"/>
    <w:rsid w:val="00597367"/>
    <w:rsid w:val="00597694"/>
    <w:rsid w:val="005A06D0"/>
    <w:rsid w:val="005A0AFB"/>
    <w:rsid w:val="005A53DD"/>
    <w:rsid w:val="005A74EF"/>
    <w:rsid w:val="005B09F0"/>
    <w:rsid w:val="005B0C62"/>
    <w:rsid w:val="005B1815"/>
    <w:rsid w:val="005B183D"/>
    <w:rsid w:val="005B396F"/>
    <w:rsid w:val="005B43BE"/>
    <w:rsid w:val="005B6C3C"/>
    <w:rsid w:val="005B71A4"/>
    <w:rsid w:val="005B7D8D"/>
    <w:rsid w:val="005C0C00"/>
    <w:rsid w:val="005C3B23"/>
    <w:rsid w:val="005C4181"/>
    <w:rsid w:val="005C6165"/>
    <w:rsid w:val="005D21B1"/>
    <w:rsid w:val="005D228C"/>
    <w:rsid w:val="005D23AB"/>
    <w:rsid w:val="005D2AF4"/>
    <w:rsid w:val="005D475D"/>
    <w:rsid w:val="005D478F"/>
    <w:rsid w:val="005E0050"/>
    <w:rsid w:val="005E228B"/>
    <w:rsid w:val="005E3122"/>
    <w:rsid w:val="005E3856"/>
    <w:rsid w:val="005E4316"/>
    <w:rsid w:val="005E4A7F"/>
    <w:rsid w:val="005E4E7F"/>
    <w:rsid w:val="005E50DB"/>
    <w:rsid w:val="005E5223"/>
    <w:rsid w:val="005E598B"/>
    <w:rsid w:val="005E6BFA"/>
    <w:rsid w:val="005E7282"/>
    <w:rsid w:val="005E739A"/>
    <w:rsid w:val="005E7C13"/>
    <w:rsid w:val="005F0445"/>
    <w:rsid w:val="005F1519"/>
    <w:rsid w:val="005F18A5"/>
    <w:rsid w:val="005F2274"/>
    <w:rsid w:val="005F2B01"/>
    <w:rsid w:val="005F3256"/>
    <w:rsid w:val="005F4D43"/>
    <w:rsid w:val="005F6693"/>
    <w:rsid w:val="005F69A9"/>
    <w:rsid w:val="00600787"/>
    <w:rsid w:val="006039CF"/>
    <w:rsid w:val="0060504C"/>
    <w:rsid w:val="00606808"/>
    <w:rsid w:val="00607BF1"/>
    <w:rsid w:val="00610E8D"/>
    <w:rsid w:val="00615086"/>
    <w:rsid w:val="006177AC"/>
    <w:rsid w:val="00621B38"/>
    <w:rsid w:val="00623852"/>
    <w:rsid w:val="00623924"/>
    <w:rsid w:val="0062401C"/>
    <w:rsid w:val="00627D91"/>
    <w:rsid w:val="00627D95"/>
    <w:rsid w:val="006310CF"/>
    <w:rsid w:val="0063199C"/>
    <w:rsid w:val="00631C4F"/>
    <w:rsid w:val="00633CE1"/>
    <w:rsid w:val="00635EE5"/>
    <w:rsid w:val="006369F5"/>
    <w:rsid w:val="00637575"/>
    <w:rsid w:val="00637866"/>
    <w:rsid w:val="00637A04"/>
    <w:rsid w:val="00640833"/>
    <w:rsid w:val="006413D3"/>
    <w:rsid w:val="00641A20"/>
    <w:rsid w:val="006430F0"/>
    <w:rsid w:val="00647BCB"/>
    <w:rsid w:val="0065132C"/>
    <w:rsid w:val="0065216B"/>
    <w:rsid w:val="00655412"/>
    <w:rsid w:val="0065553D"/>
    <w:rsid w:val="006563FC"/>
    <w:rsid w:val="00660160"/>
    <w:rsid w:val="006604E5"/>
    <w:rsid w:val="00660A35"/>
    <w:rsid w:val="006615E2"/>
    <w:rsid w:val="006619C4"/>
    <w:rsid w:val="00665BE1"/>
    <w:rsid w:val="006673E8"/>
    <w:rsid w:val="006707A3"/>
    <w:rsid w:val="00670AF2"/>
    <w:rsid w:val="00671412"/>
    <w:rsid w:val="00673911"/>
    <w:rsid w:val="00673A39"/>
    <w:rsid w:val="00674942"/>
    <w:rsid w:val="00676E25"/>
    <w:rsid w:val="00680327"/>
    <w:rsid w:val="00680784"/>
    <w:rsid w:val="0068329C"/>
    <w:rsid w:val="00684233"/>
    <w:rsid w:val="00685D62"/>
    <w:rsid w:val="006869B3"/>
    <w:rsid w:val="006872AD"/>
    <w:rsid w:val="00690782"/>
    <w:rsid w:val="00690869"/>
    <w:rsid w:val="006915C6"/>
    <w:rsid w:val="0069580A"/>
    <w:rsid w:val="00696AC8"/>
    <w:rsid w:val="006A1F3B"/>
    <w:rsid w:val="006A23FA"/>
    <w:rsid w:val="006A4D21"/>
    <w:rsid w:val="006A52E4"/>
    <w:rsid w:val="006A6F29"/>
    <w:rsid w:val="006B1180"/>
    <w:rsid w:val="006B5E34"/>
    <w:rsid w:val="006B7AD6"/>
    <w:rsid w:val="006B7C54"/>
    <w:rsid w:val="006C1156"/>
    <w:rsid w:val="006C199E"/>
    <w:rsid w:val="006C1A95"/>
    <w:rsid w:val="006C4AD5"/>
    <w:rsid w:val="006C4C0F"/>
    <w:rsid w:val="006C57EF"/>
    <w:rsid w:val="006C5F15"/>
    <w:rsid w:val="006C66C3"/>
    <w:rsid w:val="006C66CD"/>
    <w:rsid w:val="006D0369"/>
    <w:rsid w:val="006D114E"/>
    <w:rsid w:val="006D4537"/>
    <w:rsid w:val="006D5FFA"/>
    <w:rsid w:val="006D634E"/>
    <w:rsid w:val="006D7B0D"/>
    <w:rsid w:val="006E1428"/>
    <w:rsid w:val="006E22D7"/>
    <w:rsid w:val="006E2B7C"/>
    <w:rsid w:val="006E3A6B"/>
    <w:rsid w:val="006E685A"/>
    <w:rsid w:val="006F35A9"/>
    <w:rsid w:val="006F36E4"/>
    <w:rsid w:val="006F42ED"/>
    <w:rsid w:val="006F4F13"/>
    <w:rsid w:val="006F56C3"/>
    <w:rsid w:val="006F5E77"/>
    <w:rsid w:val="006F6C49"/>
    <w:rsid w:val="006F76B0"/>
    <w:rsid w:val="00701664"/>
    <w:rsid w:val="00701D1E"/>
    <w:rsid w:val="00701EF5"/>
    <w:rsid w:val="0070673D"/>
    <w:rsid w:val="0071381A"/>
    <w:rsid w:val="007139E4"/>
    <w:rsid w:val="0071470E"/>
    <w:rsid w:val="007149AC"/>
    <w:rsid w:val="00721BDD"/>
    <w:rsid w:val="007248EE"/>
    <w:rsid w:val="00726690"/>
    <w:rsid w:val="00730EA5"/>
    <w:rsid w:val="0073450C"/>
    <w:rsid w:val="00734C99"/>
    <w:rsid w:val="00734F4F"/>
    <w:rsid w:val="00735198"/>
    <w:rsid w:val="00736811"/>
    <w:rsid w:val="00740302"/>
    <w:rsid w:val="007408EB"/>
    <w:rsid w:val="00743600"/>
    <w:rsid w:val="00743A38"/>
    <w:rsid w:val="00743AC9"/>
    <w:rsid w:val="007445D8"/>
    <w:rsid w:val="007452D1"/>
    <w:rsid w:val="00745CDC"/>
    <w:rsid w:val="0075207F"/>
    <w:rsid w:val="00752D5B"/>
    <w:rsid w:val="007537BF"/>
    <w:rsid w:val="007612D9"/>
    <w:rsid w:val="00762262"/>
    <w:rsid w:val="00765A3E"/>
    <w:rsid w:val="00767ED7"/>
    <w:rsid w:val="0077274C"/>
    <w:rsid w:val="00773225"/>
    <w:rsid w:val="00776C41"/>
    <w:rsid w:val="00780738"/>
    <w:rsid w:val="00783755"/>
    <w:rsid w:val="00785DF7"/>
    <w:rsid w:val="0078748C"/>
    <w:rsid w:val="0078784A"/>
    <w:rsid w:val="00787A6F"/>
    <w:rsid w:val="00790CBE"/>
    <w:rsid w:val="00795035"/>
    <w:rsid w:val="00795C52"/>
    <w:rsid w:val="007966B6"/>
    <w:rsid w:val="00796EB2"/>
    <w:rsid w:val="007976AF"/>
    <w:rsid w:val="00797B2C"/>
    <w:rsid w:val="007A0419"/>
    <w:rsid w:val="007A2338"/>
    <w:rsid w:val="007A2B2C"/>
    <w:rsid w:val="007A6730"/>
    <w:rsid w:val="007B10DD"/>
    <w:rsid w:val="007B472A"/>
    <w:rsid w:val="007C5942"/>
    <w:rsid w:val="007C706E"/>
    <w:rsid w:val="007D0FE7"/>
    <w:rsid w:val="007D2D21"/>
    <w:rsid w:val="007D4552"/>
    <w:rsid w:val="007D46FA"/>
    <w:rsid w:val="007D47B3"/>
    <w:rsid w:val="007D4DA3"/>
    <w:rsid w:val="007D7050"/>
    <w:rsid w:val="007E105B"/>
    <w:rsid w:val="007E2B93"/>
    <w:rsid w:val="007E363A"/>
    <w:rsid w:val="007E4DCE"/>
    <w:rsid w:val="007E74F2"/>
    <w:rsid w:val="007F43C0"/>
    <w:rsid w:val="007F6B0F"/>
    <w:rsid w:val="007F6F6C"/>
    <w:rsid w:val="00800BE0"/>
    <w:rsid w:val="00801309"/>
    <w:rsid w:val="00801AD6"/>
    <w:rsid w:val="008046B8"/>
    <w:rsid w:val="008074E3"/>
    <w:rsid w:val="008110F6"/>
    <w:rsid w:val="008132EB"/>
    <w:rsid w:val="00813E66"/>
    <w:rsid w:val="00815308"/>
    <w:rsid w:val="00815861"/>
    <w:rsid w:val="00815FAF"/>
    <w:rsid w:val="00815FF6"/>
    <w:rsid w:val="00821712"/>
    <w:rsid w:val="0082171B"/>
    <w:rsid w:val="008250A7"/>
    <w:rsid w:val="0083127B"/>
    <w:rsid w:val="00833127"/>
    <w:rsid w:val="00833BF8"/>
    <w:rsid w:val="00836ABD"/>
    <w:rsid w:val="00837F8F"/>
    <w:rsid w:val="0084108E"/>
    <w:rsid w:val="00842430"/>
    <w:rsid w:val="0084459E"/>
    <w:rsid w:val="008465C1"/>
    <w:rsid w:val="0085018A"/>
    <w:rsid w:val="008508AC"/>
    <w:rsid w:val="008533DD"/>
    <w:rsid w:val="00855039"/>
    <w:rsid w:val="008553BD"/>
    <w:rsid w:val="0085567A"/>
    <w:rsid w:val="00857437"/>
    <w:rsid w:val="00863E86"/>
    <w:rsid w:val="00864848"/>
    <w:rsid w:val="008650D8"/>
    <w:rsid w:val="00865C11"/>
    <w:rsid w:val="008672F7"/>
    <w:rsid w:val="00867803"/>
    <w:rsid w:val="008736F3"/>
    <w:rsid w:val="00874034"/>
    <w:rsid w:val="00874982"/>
    <w:rsid w:val="00874AB6"/>
    <w:rsid w:val="00877A7F"/>
    <w:rsid w:val="00881D98"/>
    <w:rsid w:val="0088338F"/>
    <w:rsid w:val="00885083"/>
    <w:rsid w:val="00890582"/>
    <w:rsid w:val="008952D4"/>
    <w:rsid w:val="00895CED"/>
    <w:rsid w:val="00896F2A"/>
    <w:rsid w:val="00897BC0"/>
    <w:rsid w:val="008A1294"/>
    <w:rsid w:val="008A1FEE"/>
    <w:rsid w:val="008A36C8"/>
    <w:rsid w:val="008A44B9"/>
    <w:rsid w:val="008A4C92"/>
    <w:rsid w:val="008A5602"/>
    <w:rsid w:val="008A5618"/>
    <w:rsid w:val="008B0686"/>
    <w:rsid w:val="008B0FC5"/>
    <w:rsid w:val="008B24AD"/>
    <w:rsid w:val="008B2569"/>
    <w:rsid w:val="008B2F62"/>
    <w:rsid w:val="008B3548"/>
    <w:rsid w:val="008B432B"/>
    <w:rsid w:val="008B4368"/>
    <w:rsid w:val="008B6197"/>
    <w:rsid w:val="008B6EEC"/>
    <w:rsid w:val="008B70FF"/>
    <w:rsid w:val="008C0F7F"/>
    <w:rsid w:val="008C29AE"/>
    <w:rsid w:val="008C3555"/>
    <w:rsid w:val="008C4DEF"/>
    <w:rsid w:val="008C54C3"/>
    <w:rsid w:val="008C6F72"/>
    <w:rsid w:val="008C7B3D"/>
    <w:rsid w:val="008C7F85"/>
    <w:rsid w:val="008D0596"/>
    <w:rsid w:val="008D264F"/>
    <w:rsid w:val="008D4187"/>
    <w:rsid w:val="008D50CD"/>
    <w:rsid w:val="008D50EF"/>
    <w:rsid w:val="008D5187"/>
    <w:rsid w:val="008D760B"/>
    <w:rsid w:val="008E0C08"/>
    <w:rsid w:val="008E1855"/>
    <w:rsid w:val="008F0240"/>
    <w:rsid w:val="008F06B3"/>
    <w:rsid w:val="008F1D5C"/>
    <w:rsid w:val="009000A1"/>
    <w:rsid w:val="00900FC6"/>
    <w:rsid w:val="00901599"/>
    <w:rsid w:val="00903C0F"/>
    <w:rsid w:val="00906799"/>
    <w:rsid w:val="009073CB"/>
    <w:rsid w:val="0090799C"/>
    <w:rsid w:val="009079A9"/>
    <w:rsid w:val="00911C36"/>
    <w:rsid w:val="009129EC"/>
    <w:rsid w:val="00912AE4"/>
    <w:rsid w:val="00913A1F"/>
    <w:rsid w:val="00914FFB"/>
    <w:rsid w:val="00917F9A"/>
    <w:rsid w:val="00920D54"/>
    <w:rsid w:val="009215E1"/>
    <w:rsid w:val="00922535"/>
    <w:rsid w:val="00922B61"/>
    <w:rsid w:val="00923405"/>
    <w:rsid w:val="00927714"/>
    <w:rsid w:val="00927B91"/>
    <w:rsid w:val="00927C19"/>
    <w:rsid w:val="00930BD0"/>
    <w:rsid w:val="009337B5"/>
    <w:rsid w:val="009351C6"/>
    <w:rsid w:val="009358A1"/>
    <w:rsid w:val="00940897"/>
    <w:rsid w:val="00941039"/>
    <w:rsid w:val="00941D12"/>
    <w:rsid w:val="00944E29"/>
    <w:rsid w:val="00946BA5"/>
    <w:rsid w:val="009476E2"/>
    <w:rsid w:val="00947D63"/>
    <w:rsid w:val="00950DC7"/>
    <w:rsid w:val="00954195"/>
    <w:rsid w:val="00956732"/>
    <w:rsid w:val="009606DB"/>
    <w:rsid w:val="00961BEA"/>
    <w:rsid w:val="00963C13"/>
    <w:rsid w:val="00965579"/>
    <w:rsid w:val="00965BCA"/>
    <w:rsid w:val="00971856"/>
    <w:rsid w:val="00971F62"/>
    <w:rsid w:val="0097384A"/>
    <w:rsid w:val="00975F7D"/>
    <w:rsid w:val="00976FEC"/>
    <w:rsid w:val="009800C8"/>
    <w:rsid w:val="00981951"/>
    <w:rsid w:val="00983236"/>
    <w:rsid w:val="00983CF3"/>
    <w:rsid w:val="00985261"/>
    <w:rsid w:val="009870DE"/>
    <w:rsid w:val="00993AE1"/>
    <w:rsid w:val="00993F30"/>
    <w:rsid w:val="0099729B"/>
    <w:rsid w:val="0099755C"/>
    <w:rsid w:val="00997BC3"/>
    <w:rsid w:val="009A160F"/>
    <w:rsid w:val="009A37C5"/>
    <w:rsid w:val="009A3CDC"/>
    <w:rsid w:val="009A5A32"/>
    <w:rsid w:val="009A6373"/>
    <w:rsid w:val="009A6E36"/>
    <w:rsid w:val="009A75E3"/>
    <w:rsid w:val="009B0F75"/>
    <w:rsid w:val="009B0FCE"/>
    <w:rsid w:val="009B1345"/>
    <w:rsid w:val="009B1547"/>
    <w:rsid w:val="009B2429"/>
    <w:rsid w:val="009B35DA"/>
    <w:rsid w:val="009B5AAF"/>
    <w:rsid w:val="009B70C1"/>
    <w:rsid w:val="009B7422"/>
    <w:rsid w:val="009B787C"/>
    <w:rsid w:val="009C0D1D"/>
    <w:rsid w:val="009C2769"/>
    <w:rsid w:val="009C75F3"/>
    <w:rsid w:val="009D0797"/>
    <w:rsid w:val="009D0AE5"/>
    <w:rsid w:val="009D4F61"/>
    <w:rsid w:val="009D5164"/>
    <w:rsid w:val="009D755A"/>
    <w:rsid w:val="009D7E60"/>
    <w:rsid w:val="009E0114"/>
    <w:rsid w:val="009E40C0"/>
    <w:rsid w:val="009E46C9"/>
    <w:rsid w:val="009E4EC0"/>
    <w:rsid w:val="009E5F3B"/>
    <w:rsid w:val="009E6122"/>
    <w:rsid w:val="009E6E08"/>
    <w:rsid w:val="009E798B"/>
    <w:rsid w:val="009F04AA"/>
    <w:rsid w:val="009F0887"/>
    <w:rsid w:val="009F0A1E"/>
    <w:rsid w:val="009F285A"/>
    <w:rsid w:val="009F2BD1"/>
    <w:rsid w:val="009F6601"/>
    <w:rsid w:val="009F661D"/>
    <w:rsid w:val="00A02921"/>
    <w:rsid w:val="00A03AB7"/>
    <w:rsid w:val="00A05032"/>
    <w:rsid w:val="00A12BC7"/>
    <w:rsid w:val="00A12E3E"/>
    <w:rsid w:val="00A13F98"/>
    <w:rsid w:val="00A165D7"/>
    <w:rsid w:val="00A16C99"/>
    <w:rsid w:val="00A20B59"/>
    <w:rsid w:val="00A21214"/>
    <w:rsid w:val="00A21FA4"/>
    <w:rsid w:val="00A2526F"/>
    <w:rsid w:val="00A257C7"/>
    <w:rsid w:val="00A275F0"/>
    <w:rsid w:val="00A30CD4"/>
    <w:rsid w:val="00A339B0"/>
    <w:rsid w:val="00A33E79"/>
    <w:rsid w:val="00A3419D"/>
    <w:rsid w:val="00A36D6B"/>
    <w:rsid w:val="00A37A26"/>
    <w:rsid w:val="00A403E9"/>
    <w:rsid w:val="00A50080"/>
    <w:rsid w:val="00A5013D"/>
    <w:rsid w:val="00A55D6D"/>
    <w:rsid w:val="00A55F5C"/>
    <w:rsid w:val="00A57547"/>
    <w:rsid w:val="00A60E31"/>
    <w:rsid w:val="00A613FB"/>
    <w:rsid w:val="00A619F2"/>
    <w:rsid w:val="00A647CC"/>
    <w:rsid w:val="00A64A0A"/>
    <w:rsid w:val="00A65BDA"/>
    <w:rsid w:val="00A67C14"/>
    <w:rsid w:val="00A705F8"/>
    <w:rsid w:val="00A71C11"/>
    <w:rsid w:val="00A741FC"/>
    <w:rsid w:val="00A74A21"/>
    <w:rsid w:val="00A80CD1"/>
    <w:rsid w:val="00A83237"/>
    <w:rsid w:val="00A837C3"/>
    <w:rsid w:val="00A84E38"/>
    <w:rsid w:val="00A86E73"/>
    <w:rsid w:val="00A870FA"/>
    <w:rsid w:val="00A900F0"/>
    <w:rsid w:val="00A90717"/>
    <w:rsid w:val="00AA235E"/>
    <w:rsid w:val="00AA2437"/>
    <w:rsid w:val="00AA2822"/>
    <w:rsid w:val="00AA3BE8"/>
    <w:rsid w:val="00AA4672"/>
    <w:rsid w:val="00AA578F"/>
    <w:rsid w:val="00AB0982"/>
    <w:rsid w:val="00AB0DEB"/>
    <w:rsid w:val="00AB1353"/>
    <w:rsid w:val="00AB2901"/>
    <w:rsid w:val="00AB34D6"/>
    <w:rsid w:val="00AB5314"/>
    <w:rsid w:val="00AB56AB"/>
    <w:rsid w:val="00AB6427"/>
    <w:rsid w:val="00AB7465"/>
    <w:rsid w:val="00AC2CFF"/>
    <w:rsid w:val="00AC31D8"/>
    <w:rsid w:val="00AC33BC"/>
    <w:rsid w:val="00AC45AA"/>
    <w:rsid w:val="00AC54AC"/>
    <w:rsid w:val="00AC7ED5"/>
    <w:rsid w:val="00AD06FC"/>
    <w:rsid w:val="00AD1B9C"/>
    <w:rsid w:val="00AD4CCE"/>
    <w:rsid w:val="00AD5D6F"/>
    <w:rsid w:val="00AD6078"/>
    <w:rsid w:val="00AD7395"/>
    <w:rsid w:val="00AE1FF7"/>
    <w:rsid w:val="00AE440B"/>
    <w:rsid w:val="00AE5BCF"/>
    <w:rsid w:val="00AE5E6A"/>
    <w:rsid w:val="00AE681C"/>
    <w:rsid w:val="00AE7707"/>
    <w:rsid w:val="00AF2BCB"/>
    <w:rsid w:val="00AF486E"/>
    <w:rsid w:val="00AF517F"/>
    <w:rsid w:val="00AF7B3E"/>
    <w:rsid w:val="00B004BD"/>
    <w:rsid w:val="00B011FA"/>
    <w:rsid w:val="00B01799"/>
    <w:rsid w:val="00B07314"/>
    <w:rsid w:val="00B07604"/>
    <w:rsid w:val="00B109D4"/>
    <w:rsid w:val="00B127B7"/>
    <w:rsid w:val="00B12846"/>
    <w:rsid w:val="00B13033"/>
    <w:rsid w:val="00B142AA"/>
    <w:rsid w:val="00B173CE"/>
    <w:rsid w:val="00B17F9D"/>
    <w:rsid w:val="00B21123"/>
    <w:rsid w:val="00B21B53"/>
    <w:rsid w:val="00B21B57"/>
    <w:rsid w:val="00B22108"/>
    <w:rsid w:val="00B22736"/>
    <w:rsid w:val="00B2335C"/>
    <w:rsid w:val="00B23CC1"/>
    <w:rsid w:val="00B242F8"/>
    <w:rsid w:val="00B25682"/>
    <w:rsid w:val="00B2712A"/>
    <w:rsid w:val="00B325D3"/>
    <w:rsid w:val="00B329C3"/>
    <w:rsid w:val="00B33911"/>
    <w:rsid w:val="00B34C33"/>
    <w:rsid w:val="00B37C87"/>
    <w:rsid w:val="00B4085F"/>
    <w:rsid w:val="00B41477"/>
    <w:rsid w:val="00B421DD"/>
    <w:rsid w:val="00B43634"/>
    <w:rsid w:val="00B4398E"/>
    <w:rsid w:val="00B43CA6"/>
    <w:rsid w:val="00B44EA0"/>
    <w:rsid w:val="00B5029F"/>
    <w:rsid w:val="00B50B03"/>
    <w:rsid w:val="00B53760"/>
    <w:rsid w:val="00B53B8D"/>
    <w:rsid w:val="00B5423F"/>
    <w:rsid w:val="00B54FCF"/>
    <w:rsid w:val="00B627E1"/>
    <w:rsid w:val="00B628C4"/>
    <w:rsid w:val="00B6355D"/>
    <w:rsid w:val="00B6364D"/>
    <w:rsid w:val="00B64098"/>
    <w:rsid w:val="00B65586"/>
    <w:rsid w:val="00B65B41"/>
    <w:rsid w:val="00B71C4C"/>
    <w:rsid w:val="00B71C67"/>
    <w:rsid w:val="00B74D34"/>
    <w:rsid w:val="00B75AAE"/>
    <w:rsid w:val="00B77D10"/>
    <w:rsid w:val="00B815C1"/>
    <w:rsid w:val="00B81BC3"/>
    <w:rsid w:val="00B84A71"/>
    <w:rsid w:val="00B856B8"/>
    <w:rsid w:val="00B90C40"/>
    <w:rsid w:val="00B90EC0"/>
    <w:rsid w:val="00B92F83"/>
    <w:rsid w:val="00B94BF4"/>
    <w:rsid w:val="00BA0CF5"/>
    <w:rsid w:val="00BA11FF"/>
    <w:rsid w:val="00BA15B5"/>
    <w:rsid w:val="00BA6135"/>
    <w:rsid w:val="00BB335A"/>
    <w:rsid w:val="00BB5C92"/>
    <w:rsid w:val="00BC2A76"/>
    <w:rsid w:val="00BC34AD"/>
    <w:rsid w:val="00BC5CFE"/>
    <w:rsid w:val="00BC75A6"/>
    <w:rsid w:val="00BD0E86"/>
    <w:rsid w:val="00BD1CF3"/>
    <w:rsid w:val="00BD3EE9"/>
    <w:rsid w:val="00BD4C8A"/>
    <w:rsid w:val="00BD4E0D"/>
    <w:rsid w:val="00BD4E88"/>
    <w:rsid w:val="00BD5CD2"/>
    <w:rsid w:val="00BD7C8A"/>
    <w:rsid w:val="00BE2171"/>
    <w:rsid w:val="00BE3D08"/>
    <w:rsid w:val="00BE56FD"/>
    <w:rsid w:val="00BE5F7A"/>
    <w:rsid w:val="00BE7DA6"/>
    <w:rsid w:val="00BF476B"/>
    <w:rsid w:val="00BF5320"/>
    <w:rsid w:val="00BF55D5"/>
    <w:rsid w:val="00BF5665"/>
    <w:rsid w:val="00BF7324"/>
    <w:rsid w:val="00C03534"/>
    <w:rsid w:val="00C03F0E"/>
    <w:rsid w:val="00C05446"/>
    <w:rsid w:val="00C05D67"/>
    <w:rsid w:val="00C10C16"/>
    <w:rsid w:val="00C1111E"/>
    <w:rsid w:val="00C142C5"/>
    <w:rsid w:val="00C15EC8"/>
    <w:rsid w:val="00C15FC4"/>
    <w:rsid w:val="00C16548"/>
    <w:rsid w:val="00C17008"/>
    <w:rsid w:val="00C17498"/>
    <w:rsid w:val="00C176E3"/>
    <w:rsid w:val="00C178B6"/>
    <w:rsid w:val="00C2343D"/>
    <w:rsid w:val="00C23440"/>
    <w:rsid w:val="00C23DD7"/>
    <w:rsid w:val="00C241B1"/>
    <w:rsid w:val="00C25318"/>
    <w:rsid w:val="00C25715"/>
    <w:rsid w:val="00C258BA"/>
    <w:rsid w:val="00C2676F"/>
    <w:rsid w:val="00C31364"/>
    <w:rsid w:val="00C31DB0"/>
    <w:rsid w:val="00C362FB"/>
    <w:rsid w:val="00C364A7"/>
    <w:rsid w:val="00C3701E"/>
    <w:rsid w:val="00C44508"/>
    <w:rsid w:val="00C44B1D"/>
    <w:rsid w:val="00C4610B"/>
    <w:rsid w:val="00C470E6"/>
    <w:rsid w:val="00C504BA"/>
    <w:rsid w:val="00C523C9"/>
    <w:rsid w:val="00C5246C"/>
    <w:rsid w:val="00C56854"/>
    <w:rsid w:val="00C56CB4"/>
    <w:rsid w:val="00C56F08"/>
    <w:rsid w:val="00C61880"/>
    <w:rsid w:val="00C639D7"/>
    <w:rsid w:val="00C71EB9"/>
    <w:rsid w:val="00C7344C"/>
    <w:rsid w:val="00C82F39"/>
    <w:rsid w:val="00C84151"/>
    <w:rsid w:val="00C858F5"/>
    <w:rsid w:val="00C86CBE"/>
    <w:rsid w:val="00C90588"/>
    <w:rsid w:val="00C91334"/>
    <w:rsid w:val="00C9487A"/>
    <w:rsid w:val="00C9512E"/>
    <w:rsid w:val="00C97EF1"/>
    <w:rsid w:val="00CA0E87"/>
    <w:rsid w:val="00CA10E8"/>
    <w:rsid w:val="00CA1758"/>
    <w:rsid w:val="00CA36C9"/>
    <w:rsid w:val="00CA7AF9"/>
    <w:rsid w:val="00CB1371"/>
    <w:rsid w:val="00CB2880"/>
    <w:rsid w:val="00CB3BB5"/>
    <w:rsid w:val="00CB4C25"/>
    <w:rsid w:val="00CB5CB0"/>
    <w:rsid w:val="00CB7455"/>
    <w:rsid w:val="00CC3B32"/>
    <w:rsid w:val="00CC3C54"/>
    <w:rsid w:val="00CC512A"/>
    <w:rsid w:val="00CC6137"/>
    <w:rsid w:val="00CC6B34"/>
    <w:rsid w:val="00CD0994"/>
    <w:rsid w:val="00CD126A"/>
    <w:rsid w:val="00CD3F9F"/>
    <w:rsid w:val="00CD6B77"/>
    <w:rsid w:val="00CE1CD2"/>
    <w:rsid w:val="00CE3581"/>
    <w:rsid w:val="00CE3945"/>
    <w:rsid w:val="00CE4DC0"/>
    <w:rsid w:val="00CE4E72"/>
    <w:rsid w:val="00CE6110"/>
    <w:rsid w:val="00CF241E"/>
    <w:rsid w:val="00CF3FCE"/>
    <w:rsid w:val="00CF4A82"/>
    <w:rsid w:val="00CF6C6C"/>
    <w:rsid w:val="00CF7000"/>
    <w:rsid w:val="00D00BE0"/>
    <w:rsid w:val="00D026F8"/>
    <w:rsid w:val="00D0278A"/>
    <w:rsid w:val="00D02C3F"/>
    <w:rsid w:val="00D05C59"/>
    <w:rsid w:val="00D065DF"/>
    <w:rsid w:val="00D069CF"/>
    <w:rsid w:val="00D0767C"/>
    <w:rsid w:val="00D07E1F"/>
    <w:rsid w:val="00D11D4F"/>
    <w:rsid w:val="00D142D1"/>
    <w:rsid w:val="00D14334"/>
    <w:rsid w:val="00D14808"/>
    <w:rsid w:val="00D15B61"/>
    <w:rsid w:val="00D162AC"/>
    <w:rsid w:val="00D20439"/>
    <w:rsid w:val="00D213BC"/>
    <w:rsid w:val="00D227C1"/>
    <w:rsid w:val="00D22D0E"/>
    <w:rsid w:val="00D25226"/>
    <w:rsid w:val="00D263F8"/>
    <w:rsid w:val="00D267FE"/>
    <w:rsid w:val="00D26A81"/>
    <w:rsid w:val="00D31486"/>
    <w:rsid w:val="00D37827"/>
    <w:rsid w:val="00D416D5"/>
    <w:rsid w:val="00D42D95"/>
    <w:rsid w:val="00D440A9"/>
    <w:rsid w:val="00D443FE"/>
    <w:rsid w:val="00D50481"/>
    <w:rsid w:val="00D53409"/>
    <w:rsid w:val="00D53C18"/>
    <w:rsid w:val="00D545C6"/>
    <w:rsid w:val="00D56792"/>
    <w:rsid w:val="00D56CAA"/>
    <w:rsid w:val="00D57711"/>
    <w:rsid w:val="00D57A2A"/>
    <w:rsid w:val="00D6064E"/>
    <w:rsid w:val="00D614D1"/>
    <w:rsid w:val="00D658A5"/>
    <w:rsid w:val="00D71EF2"/>
    <w:rsid w:val="00D725AC"/>
    <w:rsid w:val="00D757C8"/>
    <w:rsid w:val="00D76741"/>
    <w:rsid w:val="00D801A6"/>
    <w:rsid w:val="00D855AC"/>
    <w:rsid w:val="00D85B56"/>
    <w:rsid w:val="00D86905"/>
    <w:rsid w:val="00D86AEC"/>
    <w:rsid w:val="00D9050F"/>
    <w:rsid w:val="00D91747"/>
    <w:rsid w:val="00D93D54"/>
    <w:rsid w:val="00D95AEB"/>
    <w:rsid w:val="00DA071E"/>
    <w:rsid w:val="00DA3F76"/>
    <w:rsid w:val="00DA418B"/>
    <w:rsid w:val="00DA4550"/>
    <w:rsid w:val="00DA4FEE"/>
    <w:rsid w:val="00DA5868"/>
    <w:rsid w:val="00DB14B1"/>
    <w:rsid w:val="00DB1E64"/>
    <w:rsid w:val="00DB3436"/>
    <w:rsid w:val="00DB39F8"/>
    <w:rsid w:val="00DB59E6"/>
    <w:rsid w:val="00DB73C7"/>
    <w:rsid w:val="00DC280E"/>
    <w:rsid w:val="00DC2B4F"/>
    <w:rsid w:val="00DC43F0"/>
    <w:rsid w:val="00DC4C21"/>
    <w:rsid w:val="00DC74CA"/>
    <w:rsid w:val="00DC76EC"/>
    <w:rsid w:val="00DD252F"/>
    <w:rsid w:val="00DD4815"/>
    <w:rsid w:val="00DD4AEA"/>
    <w:rsid w:val="00DD6311"/>
    <w:rsid w:val="00DD69A7"/>
    <w:rsid w:val="00DD706A"/>
    <w:rsid w:val="00DD771B"/>
    <w:rsid w:val="00DE1960"/>
    <w:rsid w:val="00DE1AD4"/>
    <w:rsid w:val="00DE1B68"/>
    <w:rsid w:val="00DE20CE"/>
    <w:rsid w:val="00DE69E4"/>
    <w:rsid w:val="00DE6E6F"/>
    <w:rsid w:val="00DF25F0"/>
    <w:rsid w:val="00DF2C6A"/>
    <w:rsid w:val="00DF37F9"/>
    <w:rsid w:val="00DF3C87"/>
    <w:rsid w:val="00DF6A4C"/>
    <w:rsid w:val="00E00327"/>
    <w:rsid w:val="00E00C9B"/>
    <w:rsid w:val="00E0273E"/>
    <w:rsid w:val="00E03D3E"/>
    <w:rsid w:val="00E03D82"/>
    <w:rsid w:val="00E0495E"/>
    <w:rsid w:val="00E05BFF"/>
    <w:rsid w:val="00E07EEC"/>
    <w:rsid w:val="00E1235C"/>
    <w:rsid w:val="00E14BD8"/>
    <w:rsid w:val="00E16213"/>
    <w:rsid w:val="00E20115"/>
    <w:rsid w:val="00E24F6F"/>
    <w:rsid w:val="00E25B9C"/>
    <w:rsid w:val="00E34C78"/>
    <w:rsid w:val="00E34DF6"/>
    <w:rsid w:val="00E35D8F"/>
    <w:rsid w:val="00E361DF"/>
    <w:rsid w:val="00E42B99"/>
    <w:rsid w:val="00E44AA7"/>
    <w:rsid w:val="00E500CB"/>
    <w:rsid w:val="00E53258"/>
    <w:rsid w:val="00E57B49"/>
    <w:rsid w:val="00E60078"/>
    <w:rsid w:val="00E62A9A"/>
    <w:rsid w:val="00E63BB2"/>
    <w:rsid w:val="00E63FC2"/>
    <w:rsid w:val="00E64290"/>
    <w:rsid w:val="00E64342"/>
    <w:rsid w:val="00E64B32"/>
    <w:rsid w:val="00E64FA4"/>
    <w:rsid w:val="00E672BC"/>
    <w:rsid w:val="00E7151A"/>
    <w:rsid w:val="00E724C8"/>
    <w:rsid w:val="00E7348B"/>
    <w:rsid w:val="00E75345"/>
    <w:rsid w:val="00E75D17"/>
    <w:rsid w:val="00E90C91"/>
    <w:rsid w:val="00E91851"/>
    <w:rsid w:val="00E9286D"/>
    <w:rsid w:val="00E92CF8"/>
    <w:rsid w:val="00E93977"/>
    <w:rsid w:val="00E9462A"/>
    <w:rsid w:val="00E947BC"/>
    <w:rsid w:val="00E94870"/>
    <w:rsid w:val="00E95766"/>
    <w:rsid w:val="00E972EC"/>
    <w:rsid w:val="00EA0E39"/>
    <w:rsid w:val="00EA104D"/>
    <w:rsid w:val="00EA142A"/>
    <w:rsid w:val="00EA19F2"/>
    <w:rsid w:val="00EA1D01"/>
    <w:rsid w:val="00EA20F2"/>
    <w:rsid w:val="00EA25E3"/>
    <w:rsid w:val="00EA3055"/>
    <w:rsid w:val="00EA320B"/>
    <w:rsid w:val="00EA34A3"/>
    <w:rsid w:val="00EA56E8"/>
    <w:rsid w:val="00EB22FD"/>
    <w:rsid w:val="00EB2A2B"/>
    <w:rsid w:val="00EB2F1D"/>
    <w:rsid w:val="00EB3517"/>
    <w:rsid w:val="00EB4299"/>
    <w:rsid w:val="00EC2B77"/>
    <w:rsid w:val="00EC437D"/>
    <w:rsid w:val="00EC57EB"/>
    <w:rsid w:val="00EC584E"/>
    <w:rsid w:val="00EC68D9"/>
    <w:rsid w:val="00ED0A1B"/>
    <w:rsid w:val="00ED11FC"/>
    <w:rsid w:val="00ED1677"/>
    <w:rsid w:val="00ED2275"/>
    <w:rsid w:val="00ED248B"/>
    <w:rsid w:val="00ED2BCF"/>
    <w:rsid w:val="00ED2C03"/>
    <w:rsid w:val="00ED67B5"/>
    <w:rsid w:val="00ED6DA3"/>
    <w:rsid w:val="00ED7AB7"/>
    <w:rsid w:val="00EE1A9E"/>
    <w:rsid w:val="00EE262E"/>
    <w:rsid w:val="00EE4A23"/>
    <w:rsid w:val="00EE71E9"/>
    <w:rsid w:val="00EF20F6"/>
    <w:rsid w:val="00EF2360"/>
    <w:rsid w:val="00EF3903"/>
    <w:rsid w:val="00EF5729"/>
    <w:rsid w:val="00EF75C0"/>
    <w:rsid w:val="00F00325"/>
    <w:rsid w:val="00F01C02"/>
    <w:rsid w:val="00F021DA"/>
    <w:rsid w:val="00F027F7"/>
    <w:rsid w:val="00F043F7"/>
    <w:rsid w:val="00F0440F"/>
    <w:rsid w:val="00F04A5A"/>
    <w:rsid w:val="00F04B53"/>
    <w:rsid w:val="00F04F78"/>
    <w:rsid w:val="00F10D46"/>
    <w:rsid w:val="00F113DB"/>
    <w:rsid w:val="00F11669"/>
    <w:rsid w:val="00F13059"/>
    <w:rsid w:val="00F13713"/>
    <w:rsid w:val="00F149DC"/>
    <w:rsid w:val="00F16340"/>
    <w:rsid w:val="00F2120D"/>
    <w:rsid w:val="00F23AC4"/>
    <w:rsid w:val="00F23D11"/>
    <w:rsid w:val="00F23F92"/>
    <w:rsid w:val="00F24A14"/>
    <w:rsid w:val="00F26EBD"/>
    <w:rsid w:val="00F3474D"/>
    <w:rsid w:val="00F37F20"/>
    <w:rsid w:val="00F41368"/>
    <w:rsid w:val="00F41EFB"/>
    <w:rsid w:val="00F42308"/>
    <w:rsid w:val="00F4252C"/>
    <w:rsid w:val="00F43EDB"/>
    <w:rsid w:val="00F445C2"/>
    <w:rsid w:val="00F44666"/>
    <w:rsid w:val="00F45DE0"/>
    <w:rsid w:val="00F4673F"/>
    <w:rsid w:val="00F509B6"/>
    <w:rsid w:val="00F51080"/>
    <w:rsid w:val="00F514BB"/>
    <w:rsid w:val="00F51670"/>
    <w:rsid w:val="00F522D6"/>
    <w:rsid w:val="00F55C3F"/>
    <w:rsid w:val="00F5700C"/>
    <w:rsid w:val="00F62936"/>
    <w:rsid w:val="00F62B1D"/>
    <w:rsid w:val="00F64E22"/>
    <w:rsid w:val="00F65F86"/>
    <w:rsid w:val="00F67D50"/>
    <w:rsid w:val="00F67DEE"/>
    <w:rsid w:val="00F72A8F"/>
    <w:rsid w:val="00F74583"/>
    <w:rsid w:val="00F755BE"/>
    <w:rsid w:val="00F76435"/>
    <w:rsid w:val="00F77397"/>
    <w:rsid w:val="00F81F9D"/>
    <w:rsid w:val="00F824A1"/>
    <w:rsid w:val="00F85094"/>
    <w:rsid w:val="00F86EBD"/>
    <w:rsid w:val="00F87030"/>
    <w:rsid w:val="00F87CEB"/>
    <w:rsid w:val="00F87ECD"/>
    <w:rsid w:val="00F90530"/>
    <w:rsid w:val="00F94829"/>
    <w:rsid w:val="00F958BE"/>
    <w:rsid w:val="00F961C4"/>
    <w:rsid w:val="00F96844"/>
    <w:rsid w:val="00F97C5A"/>
    <w:rsid w:val="00FA4B97"/>
    <w:rsid w:val="00FA7753"/>
    <w:rsid w:val="00FA79CE"/>
    <w:rsid w:val="00FA7E9D"/>
    <w:rsid w:val="00FB1DEA"/>
    <w:rsid w:val="00FB20B3"/>
    <w:rsid w:val="00FB300E"/>
    <w:rsid w:val="00FB78DE"/>
    <w:rsid w:val="00FC19F1"/>
    <w:rsid w:val="00FC3B81"/>
    <w:rsid w:val="00FC537E"/>
    <w:rsid w:val="00FC555E"/>
    <w:rsid w:val="00FC6E96"/>
    <w:rsid w:val="00FD155C"/>
    <w:rsid w:val="00FD163F"/>
    <w:rsid w:val="00FD1A3D"/>
    <w:rsid w:val="00FD1BC8"/>
    <w:rsid w:val="00FD1ECD"/>
    <w:rsid w:val="00FD2280"/>
    <w:rsid w:val="00FD5566"/>
    <w:rsid w:val="00FD64B4"/>
    <w:rsid w:val="00FD6668"/>
    <w:rsid w:val="00FD7ACA"/>
    <w:rsid w:val="00FE10F0"/>
    <w:rsid w:val="00FE2153"/>
    <w:rsid w:val="00FE3606"/>
    <w:rsid w:val="00FE626F"/>
    <w:rsid w:val="00FF1339"/>
    <w:rsid w:val="00FF1BB6"/>
    <w:rsid w:val="00FF4736"/>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2596A"/>
  <w15:chartTrackingRefBased/>
  <w15:docId w15:val="{28CF964F-B8E4-40F8-BB8B-0D12EA67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C0"/>
    <w:pPr>
      <w:spacing w:after="0" w:line="240" w:lineRule="auto"/>
    </w:pPr>
    <w:rPr>
      <w:rFonts w:ascii="Arial" w:hAnsi="Arial"/>
    </w:rPr>
  </w:style>
  <w:style w:type="paragraph" w:styleId="Heading1">
    <w:name w:val="heading 1"/>
    <w:basedOn w:val="Normal"/>
    <w:next w:val="Normal"/>
    <w:link w:val="Heading1Char"/>
    <w:uiPriority w:val="9"/>
    <w:qFormat/>
    <w:rsid w:val="00F00325"/>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9215E1"/>
    <w:pPr>
      <w:keepNext/>
      <w:keepLines/>
      <w:numPr>
        <w:ilvl w:val="1"/>
        <w:numId w:val="5"/>
      </w:numPr>
      <w:spacing w:before="40"/>
      <w:jc w:val="both"/>
      <w:outlineLvl w:val="1"/>
    </w:pPr>
    <w:rPr>
      <w:rFonts w:eastAsiaTheme="majorEastAsia" w:cstheme="majorBidi"/>
      <w:b/>
      <w:sz w:val="24"/>
      <w:szCs w:val="26"/>
    </w:rPr>
  </w:style>
  <w:style w:type="paragraph" w:styleId="Heading3">
    <w:name w:val="heading 3"/>
    <w:basedOn w:val="Normal"/>
    <w:next w:val="Normal"/>
    <w:link w:val="Heading3Char"/>
    <w:autoRedefine/>
    <w:uiPriority w:val="9"/>
    <w:unhideWhenUsed/>
    <w:qFormat/>
    <w:rsid w:val="00E53258"/>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614D1"/>
    <w:rPr>
      <w:sz w:val="20"/>
      <w:szCs w:val="20"/>
    </w:rPr>
  </w:style>
  <w:style w:type="character" w:customStyle="1" w:styleId="CommentTextChar">
    <w:name w:val="Comment Text Char"/>
    <w:basedOn w:val="DefaultParagraphFont"/>
    <w:link w:val="CommentText"/>
    <w:uiPriority w:val="99"/>
    <w:rsid w:val="00D614D1"/>
    <w:rPr>
      <w:sz w:val="20"/>
      <w:szCs w:val="20"/>
    </w:rPr>
  </w:style>
  <w:style w:type="character" w:styleId="CommentReference">
    <w:name w:val="annotation reference"/>
    <w:uiPriority w:val="99"/>
    <w:unhideWhenUsed/>
    <w:rsid w:val="00D614D1"/>
    <w:rPr>
      <w:sz w:val="18"/>
      <w:szCs w:val="18"/>
    </w:rPr>
  </w:style>
  <w:style w:type="paragraph" w:styleId="BalloonText">
    <w:name w:val="Balloon Text"/>
    <w:basedOn w:val="Normal"/>
    <w:link w:val="BalloonTextChar"/>
    <w:uiPriority w:val="99"/>
    <w:semiHidden/>
    <w:unhideWhenUsed/>
    <w:rsid w:val="00D61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4D1"/>
    <w:rPr>
      <w:rFonts w:ascii="Segoe UI" w:hAnsi="Segoe UI" w:cs="Segoe UI"/>
      <w:sz w:val="18"/>
      <w:szCs w:val="18"/>
    </w:rPr>
  </w:style>
  <w:style w:type="paragraph" w:styleId="ListParagraph">
    <w:name w:val="List Paragraph"/>
    <w:basedOn w:val="Normal"/>
    <w:uiPriority w:val="34"/>
    <w:qFormat/>
    <w:rsid w:val="00D614D1"/>
    <w:pPr>
      <w:ind w:left="720"/>
      <w:contextualSpacing/>
    </w:pPr>
  </w:style>
  <w:style w:type="table" w:styleId="TableGrid">
    <w:name w:val="Table Grid"/>
    <w:basedOn w:val="TableNormal"/>
    <w:uiPriority w:val="39"/>
    <w:rsid w:val="00D614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15E1"/>
    <w:rPr>
      <w:rFonts w:ascii="Arial" w:eastAsiaTheme="majorEastAsia" w:hAnsi="Arial" w:cstheme="majorBidi"/>
      <w:b/>
      <w:sz w:val="24"/>
      <w:szCs w:val="26"/>
    </w:rPr>
  </w:style>
  <w:style w:type="paragraph" w:styleId="FootnoteText">
    <w:name w:val="footnote text"/>
    <w:basedOn w:val="Normal"/>
    <w:link w:val="FootnoteTextChar"/>
    <w:uiPriority w:val="99"/>
    <w:semiHidden/>
    <w:unhideWhenUsed/>
    <w:rsid w:val="00D614D1"/>
    <w:rPr>
      <w:sz w:val="20"/>
      <w:szCs w:val="20"/>
    </w:rPr>
  </w:style>
  <w:style w:type="character" w:customStyle="1" w:styleId="FootnoteTextChar">
    <w:name w:val="Footnote Text Char"/>
    <w:basedOn w:val="DefaultParagraphFont"/>
    <w:link w:val="FootnoteText"/>
    <w:uiPriority w:val="99"/>
    <w:semiHidden/>
    <w:rsid w:val="00D614D1"/>
    <w:rPr>
      <w:sz w:val="20"/>
      <w:szCs w:val="20"/>
    </w:rPr>
  </w:style>
  <w:style w:type="paragraph" w:styleId="NormalWeb">
    <w:name w:val="Normal (Web)"/>
    <w:basedOn w:val="Normal"/>
    <w:uiPriority w:val="99"/>
    <w:unhideWhenUsed/>
    <w:rsid w:val="00D614D1"/>
    <w:rPr>
      <w:rFonts w:ascii="Times New Roman" w:hAnsi="Times New Roman" w:cs="Times New Roman"/>
      <w:sz w:val="24"/>
      <w:szCs w:val="24"/>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link w:val="BVIfnrChar"/>
    <w:uiPriority w:val="99"/>
    <w:unhideWhenUsed/>
    <w:qFormat/>
    <w:rsid w:val="00D614D1"/>
    <w:rPr>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D614D1"/>
    <w:pPr>
      <w:spacing w:line="240" w:lineRule="exact"/>
    </w:pPr>
    <w:rPr>
      <w:vertAlign w:val="superscript"/>
    </w:rPr>
  </w:style>
  <w:style w:type="character" w:styleId="Hyperlink">
    <w:name w:val="Hyperlink"/>
    <w:uiPriority w:val="99"/>
    <w:unhideWhenUsed/>
    <w:rsid w:val="00D614D1"/>
    <w:rPr>
      <w:color w:val="0000FF"/>
      <w:u w:val="single"/>
    </w:rPr>
  </w:style>
  <w:style w:type="paragraph" w:customStyle="1" w:styleId="N05Y">
    <w:name w:val="N05Y"/>
    <w:basedOn w:val="Normal"/>
    <w:uiPriority w:val="99"/>
    <w:rsid w:val="00D614D1"/>
    <w:pPr>
      <w:autoSpaceDE w:val="0"/>
      <w:autoSpaceDN w:val="0"/>
      <w:adjustRightInd w:val="0"/>
      <w:spacing w:before="60" w:after="200"/>
      <w:jc w:val="center"/>
    </w:pPr>
    <w:rPr>
      <w:rFonts w:ascii="Times New Roman" w:eastAsia="Times New Roman" w:hAnsi="Times New Roman" w:cs="Times New Roman"/>
      <w:b/>
      <w:bCs/>
      <w:color w:val="000000"/>
      <w:sz w:val="24"/>
      <w:szCs w:val="24"/>
    </w:rPr>
  </w:style>
  <w:style w:type="paragraph" w:customStyle="1" w:styleId="T30X">
    <w:name w:val="T30X"/>
    <w:basedOn w:val="Normal"/>
    <w:uiPriority w:val="99"/>
    <w:rsid w:val="00D614D1"/>
    <w:pPr>
      <w:autoSpaceDE w:val="0"/>
      <w:autoSpaceDN w:val="0"/>
      <w:adjustRightInd w:val="0"/>
      <w:spacing w:before="60" w:after="60"/>
      <w:ind w:firstLine="283"/>
      <w:jc w:val="both"/>
    </w:pPr>
    <w:rPr>
      <w:rFonts w:ascii="Times New Roman" w:eastAsia="Times New Roman" w:hAnsi="Times New Roman" w:cs="Times New Roman"/>
      <w:color w:val="000000"/>
    </w:rPr>
  </w:style>
  <w:style w:type="paragraph" w:customStyle="1" w:styleId="MediumGrid1-Accent21">
    <w:name w:val="Medium Grid 1 - Accent 21"/>
    <w:basedOn w:val="Normal"/>
    <w:uiPriority w:val="34"/>
    <w:qFormat/>
    <w:rsid w:val="00D614D1"/>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C34AD"/>
    <w:rPr>
      <w:b/>
      <w:bCs/>
    </w:rPr>
  </w:style>
  <w:style w:type="character" w:customStyle="1" w:styleId="CommentSubjectChar">
    <w:name w:val="Comment Subject Char"/>
    <w:basedOn w:val="CommentTextChar"/>
    <w:link w:val="CommentSubject"/>
    <w:uiPriority w:val="99"/>
    <w:semiHidden/>
    <w:rsid w:val="00BC34AD"/>
    <w:rPr>
      <w:b/>
      <w:bCs/>
      <w:sz w:val="20"/>
      <w:szCs w:val="20"/>
    </w:rPr>
  </w:style>
  <w:style w:type="table" w:customStyle="1" w:styleId="TableGrid1">
    <w:name w:val="Table Grid1"/>
    <w:basedOn w:val="TableNormal"/>
    <w:next w:val="TableGrid"/>
    <w:uiPriority w:val="39"/>
    <w:rsid w:val="00BC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6792"/>
    <w:pPr>
      <w:widowControl w:val="0"/>
      <w:autoSpaceDE w:val="0"/>
      <w:autoSpaceDN w:val="0"/>
    </w:pPr>
    <w:rPr>
      <w:rFonts w:ascii="Times New Roman" w:eastAsia="Times New Roman" w:hAnsi="Times New Roman" w:cs="Times New Roman"/>
      <w:lang w:val="hr-HR"/>
    </w:rPr>
  </w:style>
  <w:style w:type="character" w:customStyle="1" w:styleId="Heading1Char">
    <w:name w:val="Heading 1 Char"/>
    <w:basedOn w:val="DefaultParagraphFont"/>
    <w:link w:val="Heading1"/>
    <w:uiPriority w:val="9"/>
    <w:rsid w:val="00F0032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E53258"/>
    <w:rPr>
      <w:rFonts w:ascii="Arial" w:eastAsiaTheme="majorEastAsia" w:hAnsi="Arial" w:cstheme="majorBidi"/>
      <w:b/>
      <w:szCs w:val="24"/>
    </w:rPr>
  </w:style>
  <w:style w:type="character" w:styleId="FollowedHyperlink">
    <w:name w:val="FollowedHyperlink"/>
    <w:basedOn w:val="DefaultParagraphFont"/>
    <w:uiPriority w:val="99"/>
    <w:semiHidden/>
    <w:unhideWhenUsed/>
    <w:rsid w:val="00110234"/>
    <w:rPr>
      <w:color w:val="954F72" w:themeColor="followedHyperlink"/>
      <w:u w:val="single"/>
    </w:rPr>
  </w:style>
  <w:style w:type="paragraph" w:styleId="Revision">
    <w:name w:val="Revision"/>
    <w:hidden/>
    <w:uiPriority w:val="99"/>
    <w:semiHidden/>
    <w:rsid w:val="00F65F86"/>
    <w:pPr>
      <w:spacing w:after="0" w:line="240" w:lineRule="auto"/>
    </w:pPr>
  </w:style>
  <w:style w:type="table" w:customStyle="1" w:styleId="Koordinatnamreatabele1">
    <w:name w:val="Koordinatna mreža tabele1"/>
    <w:basedOn w:val="TableNormal"/>
    <w:next w:val="TableGrid"/>
    <w:uiPriority w:val="39"/>
    <w:rsid w:val="004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97DA0"/>
    <w:rPr>
      <w:color w:val="605E5C"/>
      <w:shd w:val="clear" w:color="auto" w:fill="E1DFDD"/>
    </w:rPr>
  </w:style>
  <w:style w:type="paragraph" w:customStyle="1" w:styleId="gmail-msolistparagraph">
    <w:name w:val="gmail-msolistparagraph"/>
    <w:basedOn w:val="Normal"/>
    <w:rsid w:val="00F94829"/>
    <w:pPr>
      <w:spacing w:before="100" w:beforeAutospacing="1" w:after="100" w:afterAutospacing="1"/>
    </w:pPr>
    <w:rPr>
      <w:rFonts w:ascii="Calibri" w:hAnsi="Calibri" w:cs="Calibri"/>
    </w:rPr>
  </w:style>
  <w:style w:type="paragraph" w:customStyle="1" w:styleId="gmail-msofootnotetext">
    <w:name w:val="gmail-msofootnotetext"/>
    <w:basedOn w:val="Normal"/>
    <w:rsid w:val="00A57547"/>
    <w:pPr>
      <w:spacing w:before="100" w:beforeAutospacing="1" w:after="100" w:afterAutospacing="1"/>
    </w:pPr>
    <w:rPr>
      <w:rFonts w:ascii="Calibri" w:hAnsi="Calibri" w:cs="Calibri"/>
    </w:rPr>
  </w:style>
  <w:style w:type="character" w:customStyle="1" w:styleId="gmail-msofootnotereference">
    <w:name w:val="gmail-msofootnotereference"/>
    <w:basedOn w:val="DefaultParagraphFont"/>
    <w:rsid w:val="00A57547"/>
  </w:style>
  <w:style w:type="paragraph" w:styleId="EndnoteText">
    <w:name w:val="endnote text"/>
    <w:basedOn w:val="Normal"/>
    <w:link w:val="EndnoteTextChar"/>
    <w:uiPriority w:val="99"/>
    <w:semiHidden/>
    <w:unhideWhenUsed/>
    <w:rsid w:val="009B2429"/>
    <w:rPr>
      <w:sz w:val="20"/>
      <w:szCs w:val="20"/>
    </w:rPr>
  </w:style>
  <w:style w:type="character" w:customStyle="1" w:styleId="EndnoteTextChar">
    <w:name w:val="Endnote Text Char"/>
    <w:basedOn w:val="DefaultParagraphFont"/>
    <w:link w:val="EndnoteText"/>
    <w:uiPriority w:val="99"/>
    <w:semiHidden/>
    <w:rsid w:val="009B2429"/>
    <w:rPr>
      <w:sz w:val="20"/>
      <w:szCs w:val="20"/>
    </w:rPr>
  </w:style>
  <w:style w:type="character" w:styleId="EndnoteReference">
    <w:name w:val="endnote reference"/>
    <w:basedOn w:val="DefaultParagraphFont"/>
    <w:uiPriority w:val="99"/>
    <w:semiHidden/>
    <w:unhideWhenUsed/>
    <w:rsid w:val="009B2429"/>
    <w:rPr>
      <w:vertAlign w:val="superscript"/>
    </w:rPr>
  </w:style>
  <w:style w:type="table" w:styleId="GridTable4-Accent1">
    <w:name w:val="Grid Table 4 Accent 1"/>
    <w:basedOn w:val="TableNormal"/>
    <w:uiPriority w:val="49"/>
    <w:rsid w:val="000E29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DD631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DD63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DD63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DD63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DD63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D46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9E4EC0"/>
    <w:pPr>
      <w:spacing w:after="0" w:line="240" w:lineRule="auto"/>
    </w:pPr>
  </w:style>
  <w:style w:type="paragraph" w:styleId="TOCHeading">
    <w:name w:val="TOC Heading"/>
    <w:basedOn w:val="Heading1"/>
    <w:next w:val="Normal"/>
    <w:uiPriority w:val="39"/>
    <w:unhideWhenUsed/>
    <w:qFormat/>
    <w:rsid w:val="00E75345"/>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D1E6B"/>
    <w:pPr>
      <w:tabs>
        <w:tab w:val="left" w:pos="440"/>
        <w:tab w:val="right" w:leader="dot" w:pos="9350"/>
      </w:tabs>
      <w:spacing w:after="100"/>
    </w:pPr>
  </w:style>
  <w:style w:type="paragraph" w:styleId="TOC2">
    <w:name w:val="toc 2"/>
    <w:basedOn w:val="Normal"/>
    <w:next w:val="Normal"/>
    <w:autoRedefine/>
    <w:uiPriority w:val="39"/>
    <w:unhideWhenUsed/>
    <w:rsid w:val="002C7204"/>
    <w:pPr>
      <w:tabs>
        <w:tab w:val="left" w:pos="880"/>
        <w:tab w:val="right" w:leader="dot" w:pos="9350"/>
      </w:tabs>
      <w:spacing w:after="100"/>
      <w:ind w:left="220"/>
      <w:jc w:val="both"/>
    </w:pPr>
  </w:style>
  <w:style w:type="paragraph" w:styleId="TOC3">
    <w:name w:val="toc 3"/>
    <w:basedOn w:val="Normal"/>
    <w:next w:val="Normal"/>
    <w:autoRedefine/>
    <w:uiPriority w:val="39"/>
    <w:unhideWhenUsed/>
    <w:rsid w:val="00E75345"/>
    <w:pPr>
      <w:spacing w:after="100"/>
      <w:ind w:left="440"/>
    </w:pPr>
  </w:style>
  <w:style w:type="character" w:styleId="Strong">
    <w:name w:val="Strong"/>
    <w:basedOn w:val="DefaultParagraphFont"/>
    <w:uiPriority w:val="22"/>
    <w:qFormat/>
    <w:rsid w:val="00B81BC3"/>
    <w:rPr>
      <w:b/>
      <w:bCs/>
    </w:rPr>
  </w:style>
  <w:style w:type="character" w:customStyle="1" w:styleId="Nerazreenopominjanje1">
    <w:name w:val="Nerazrešeno pominjanje1"/>
    <w:basedOn w:val="DefaultParagraphFont"/>
    <w:uiPriority w:val="99"/>
    <w:semiHidden/>
    <w:unhideWhenUsed/>
    <w:rsid w:val="00A74A21"/>
    <w:rPr>
      <w:color w:val="605E5C"/>
      <w:shd w:val="clear" w:color="auto" w:fill="E1DFDD"/>
    </w:rPr>
  </w:style>
  <w:style w:type="table" w:styleId="PlainTable2">
    <w:name w:val="Plain Table 2"/>
    <w:basedOn w:val="TableNormal"/>
    <w:uiPriority w:val="42"/>
    <w:rsid w:val="00424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2">
    <w:name w:val="Grid Table 3 Accent 2"/>
    <w:basedOn w:val="TableNormal"/>
    <w:uiPriority w:val="48"/>
    <w:rsid w:val="00424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Koordinatnamreatabele2">
    <w:name w:val="Koordinatna mreža tabele2"/>
    <w:basedOn w:val="TableNormal"/>
    <w:next w:val="TableGrid"/>
    <w:uiPriority w:val="39"/>
    <w:rsid w:val="004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
    <w:name w:val="Koordinatna mreža tabele3"/>
    <w:basedOn w:val="TableNormal"/>
    <w:next w:val="TableGrid"/>
    <w:uiPriority w:val="39"/>
    <w:rsid w:val="00C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TableNormal"/>
    <w:next w:val="TableGrid"/>
    <w:uiPriority w:val="39"/>
    <w:rsid w:val="00C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655"/>
    <w:pPr>
      <w:tabs>
        <w:tab w:val="center" w:pos="4680"/>
        <w:tab w:val="right" w:pos="9360"/>
      </w:tabs>
    </w:pPr>
  </w:style>
  <w:style w:type="character" w:customStyle="1" w:styleId="HeaderChar">
    <w:name w:val="Header Char"/>
    <w:basedOn w:val="DefaultParagraphFont"/>
    <w:link w:val="Header"/>
    <w:uiPriority w:val="99"/>
    <w:rsid w:val="00183655"/>
    <w:rPr>
      <w:rFonts w:ascii="Arial" w:hAnsi="Arial"/>
    </w:rPr>
  </w:style>
  <w:style w:type="paragraph" w:styleId="Footer">
    <w:name w:val="footer"/>
    <w:basedOn w:val="Normal"/>
    <w:link w:val="FooterChar"/>
    <w:uiPriority w:val="99"/>
    <w:unhideWhenUsed/>
    <w:rsid w:val="00183655"/>
    <w:pPr>
      <w:tabs>
        <w:tab w:val="center" w:pos="4680"/>
        <w:tab w:val="right" w:pos="9360"/>
      </w:tabs>
    </w:pPr>
  </w:style>
  <w:style w:type="character" w:customStyle="1" w:styleId="FooterChar">
    <w:name w:val="Footer Char"/>
    <w:basedOn w:val="DefaultParagraphFont"/>
    <w:link w:val="Footer"/>
    <w:uiPriority w:val="99"/>
    <w:rsid w:val="00183655"/>
    <w:rPr>
      <w:rFonts w:ascii="Arial" w:hAnsi="Arial"/>
    </w:rPr>
  </w:style>
  <w:style w:type="table" w:customStyle="1" w:styleId="TableGrid2">
    <w:name w:val="Table Grid2"/>
    <w:basedOn w:val="TableNormal"/>
    <w:next w:val="TableGrid"/>
    <w:uiPriority w:val="39"/>
    <w:rsid w:val="0055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B37FF"/>
    <w:rPr>
      <w:color w:val="605E5C"/>
      <w:shd w:val="clear" w:color="auto" w:fill="E1DFDD"/>
    </w:rPr>
  </w:style>
  <w:style w:type="paragraph" w:styleId="BodyText">
    <w:name w:val="Body Text"/>
    <w:basedOn w:val="Normal"/>
    <w:link w:val="BodyTextChar"/>
    <w:uiPriority w:val="1"/>
    <w:semiHidden/>
    <w:unhideWhenUsed/>
    <w:qFormat/>
    <w:rsid w:val="003C0120"/>
    <w:pPr>
      <w:widowControl w:val="0"/>
      <w:autoSpaceDE w:val="0"/>
      <w:autoSpaceDN w:val="0"/>
    </w:pPr>
    <w:rPr>
      <w:rFonts w:ascii="Times New Roman" w:eastAsia="Times New Roman" w:hAnsi="Times New Roman" w:cs="Times New Roman"/>
      <w:sz w:val="24"/>
      <w:szCs w:val="24"/>
      <w:lang w:val="hr-HR"/>
    </w:rPr>
  </w:style>
  <w:style w:type="character" w:customStyle="1" w:styleId="BodyTextChar">
    <w:name w:val="Body Text Char"/>
    <w:basedOn w:val="DefaultParagraphFont"/>
    <w:link w:val="BodyText"/>
    <w:uiPriority w:val="1"/>
    <w:semiHidden/>
    <w:rsid w:val="003C0120"/>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84">
      <w:bodyDiv w:val="1"/>
      <w:marLeft w:val="0"/>
      <w:marRight w:val="0"/>
      <w:marTop w:val="0"/>
      <w:marBottom w:val="0"/>
      <w:divBdr>
        <w:top w:val="none" w:sz="0" w:space="0" w:color="auto"/>
        <w:left w:val="none" w:sz="0" w:space="0" w:color="auto"/>
        <w:bottom w:val="none" w:sz="0" w:space="0" w:color="auto"/>
        <w:right w:val="none" w:sz="0" w:space="0" w:color="auto"/>
      </w:divBdr>
    </w:div>
    <w:div w:id="36439855">
      <w:bodyDiv w:val="1"/>
      <w:marLeft w:val="0"/>
      <w:marRight w:val="0"/>
      <w:marTop w:val="0"/>
      <w:marBottom w:val="0"/>
      <w:divBdr>
        <w:top w:val="none" w:sz="0" w:space="0" w:color="auto"/>
        <w:left w:val="none" w:sz="0" w:space="0" w:color="auto"/>
        <w:bottom w:val="none" w:sz="0" w:space="0" w:color="auto"/>
        <w:right w:val="none" w:sz="0" w:space="0" w:color="auto"/>
      </w:divBdr>
    </w:div>
    <w:div w:id="44106628">
      <w:bodyDiv w:val="1"/>
      <w:marLeft w:val="0"/>
      <w:marRight w:val="0"/>
      <w:marTop w:val="0"/>
      <w:marBottom w:val="0"/>
      <w:divBdr>
        <w:top w:val="none" w:sz="0" w:space="0" w:color="auto"/>
        <w:left w:val="none" w:sz="0" w:space="0" w:color="auto"/>
        <w:bottom w:val="none" w:sz="0" w:space="0" w:color="auto"/>
        <w:right w:val="none" w:sz="0" w:space="0" w:color="auto"/>
      </w:divBdr>
    </w:div>
    <w:div w:id="95906404">
      <w:bodyDiv w:val="1"/>
      <w:marLeft w:val="0"/>
      <w:marRight w:val="0"/>
      <w:marTop w:val="0"/>
      <w:marBottom w:val="0"/>
      <w:divBdr>
        <w:top w:val="none" w:sz="0" w:space="0" w:color="auto"/>
        <w:left w:val="none" w:sz="0" w:space="0" w:color="auto"/>
        <w:bottom w:val="none" w:sz="0" w:space="0" w:color="auto"/>
        <w:right w:val="none" w:sz="0" w:space="0" w:color="auto"/>
      </w:divBdr>
    </w:div>
    <w:div w:id="144473359">
      <w:bodyDiv w:val="1"/>
      <w:marLeft w:val="0"/>
      <w:marRight w:val="0"/>
      <w:marTop w:val="0"/>
      <w:marBottom w:val="0"/>
      <w:divBdr>
        <w:top w:val="none" w:sz="0" w:space="0" w:color="auto"/>
        <w:left w:val="none" w:sz="0" w:space="0" w:color="auto"/>
        <w:bottom w:val="none" w:sz="0" w:space="0" w:color="auto"/>
        <w:right w:val="none" w:sz="0" w:space="0" w:color="auto"/>
      </w:divBdr>
    </w:div>
    <w:div w:id="151605215">
      <w:bodyDiv w:val="1"/>
      <w:marLeft w:val="0"/>
      <w:marRight w:val="0"/>
      <w:marTop w:val="0"/>
      <w:marBottom w:val="0"/>
      <w:divBdr>
        <w:top w:val="none" w:sz="0" w:space="0" w:color="auto"/>
        <w:left w:val="none" w:sz="0" w:space="0" w:color="auto"/>
        <w:bottom w:val="none" w:sz="0" w:space="0" w:color="auto"/>
        <w:right w:val="none" w:sz="0" w:space="0" w:color="auto"/>
      </w:divBdr>
    </w:div>
    <w:div w:id="204567509">
      <w:bodyDiv w:val="1"/>
      <w:marLeft w:val="0"/>
      <w:marRight w:val="0"/>
      <w:marTop w:val="0"/>
      <w:marBottom w:val="0"/>
      <w:divBdr>
        <w:top w:val="none" w:sz="0" w:space="0" w:color="auto"/>
        <w:left w:val="none" w:sz="0" w:space="0" w:color="auto"/>
        <w:bottom w:val="none" w:sz="0" w:space="0" w:color="auto"/>
        <w:right w:val="none" w:sz="0" w:space="0" w:color="auto"/>
      </w:divBdr>
    </w:div>
    <w:div w:id="207574166">
      <w:bodyDiv w:val="1"/>
      <w:marLeft w:val="0"/>
      <w:marRight w:val="0"/>
      <w:marTop w:val="0"/>
      <w:marBottom w:val="0"/>
      <w:divBdr>
        <w:top w:val="none" w:sz="0" w:space="0" w:color="auto"/>
        <w:left w:val="none" w:sz="0" w:space="0" w:color="auto"/>
        <w:bottom w:val="none" w:sz="0" w:space="0" w:color="auto"/>
        <w:right w:val="none" w:sz="0" w:space="0" w:color="auto"/>
      </w:divBdr>
    </w:div>
    <w:div w:id="309555637">
      <w:bodyDiv w:val="1"/>
      <w:marLeft w:val="0"/>
      <w:marRight w:val="0"/>
      <w:marTop w:val="0"/>
      <w:marBottom w:val="0"/>
      <w:divBdr>
        <w:top w:val="none" w:sz="0" w:space="0" w:color="auto"/>
        <w:left w:val="none" w:sz="0" w:space="0" w:color="auto"/>
        <w:bottom w:val="none" w:sz="0" w:space="0" w:color="auto"/>
        <w:right w:val="none" w:sz="0" w:space="0" w:color="auto"/>
      </w:divBdr>
    </w:div>
    <w:div w:id="387388834">
      <w:bodyDiv w:val="1"/>
      <w:marLeft w:val="0"/>
      <w:marRight w:val="0"/>
      <w:marTop w:val="0"/>
      <w:marBottom w:val="0"/>
      <w:divBdr>
        <w:top w:val="none" w:sz="0" w:space="0" w:color="auto"/>
        <w:left w:val="none" w:sz="0" w:space="0" w:color="auto"/>
        <w:bottom w:val="none" w:sz="0" w:space="0" w:color="auto"/>
        <w:right w:val="none" w:sz="0" w:space="0" w:color="auto"/>
      </w:divBdr>
    </w:div>
    <w:div w:id="399985498">
      <w:bodyDiv w:val="1"/>
      <w:marLeft w:val="0"/>
      <w:marRight w:val="0"/>
      <w:marTop w:val="0"/>
      <w:marBottom w:val="0"/>
      <w:divBdr>
        <w:top w:val="none" w:sz="0" w:space="0" w:color="auto"/>
        <w:left w:val="none" w:sz="0" w:space="0" w:color="auto"/>
        <w:bottom w:val="none" w:sz="0" w:space="0" w:color="auto"/>
        <w:right w:val="none" w:sz="0" w:space="0" w:color="auto"/>
      </w:divBdr>
    </w:div>
    <w:div w:id="505750350">
      <w:bodyDiv w:val="1"/>
      <w:marLeft w:val="0"/>
      <w:marRight w:val="0"/>
      <w:marTop w:val="0"/>
      <w:marBottom w:val="0"/>
      <w:divBdr>
        <w:top w:val="none" w:sz="0" w:space="0" w:color="auto"/>
        <w:left w:val="none" w:sz="0" w:space="0" w:color="auto"/>
        <w:bottom w:val="none" w:sz="0" w:space="0" w:color="auto"/>
        <w:right w:val="none" w:sz="0" w:space="0" w:color="auto"/>
      </w:divBdr>
    </w:div>
    <w:div w:id="568460746">
      <w:bodyDiv w:val="1"/>
      <w:marLeft w:val="0"/>
      <w:marRight w:val="0"/>
      <w:marTop w:val="0"/>
      <w:marBottom w:val="0"/>
      <w:divBdr>
        <w:top w:val="none" w:sz="0" w:space="0" w:color="auto"/>
        <w:left w:val="none" w:sz="0" w:space="0" w:color="auto"/>
        <w:bottom w:val="none" w:sz="0" w:space="0" w:color="auto"/>
        <w:right w:val="none" w:sz="0" w:space="0" w:color="auto"/>
      </w:divBdr>
    </w:div>
    <w:div w:id="572200354">
      <w:bodyDiv w:val="1"/>
      <w:marLeft w:val="0"/>
      <w:marRight w:val="0"/>
      <w:marTop w:val="0"/>
      <w:marBottom w:val="0"/>
      <w:divBdr>
        <w:top w:val="none" w:sz="0" w:space="0" w:color="auto"/>
        <w:left w:val="none" w:sz="0" w:space="0" w:color="auto"/>
        <w:bottom w:val="none" w:sz="0" w:space="0" w:color="auto"/>
        <w:right w:val="none" w:sz="0" w:space="0" w:color="auto"/>
      </w:divBdr>
    </w:div>
    <w:div w:id="624584193">
      <w:bodyDiv w:val="1"/>
      <w:marLeft w:val="0"/>
      <w:marRight w:val="0"/>
      <w:marTop w:val="0"/>
      <w:marBottom w:val="0"/>
      <w:divBdr>
        <w:top w:val="none" w:sz="0" w:space="0" w:color="auto"/>
        <w:left w:val="none" w:sz="0" w:space="0" w:color="auto"/>
        <w:bottom w:val="none" w:sz="0" w:space="0" w:color="auto"/>
        <w:right w:val="none" w:sz="0" w:space="0" w:color="auto"/>
      </w:divBdr>
    </w:div>
    <w:div w:id="664865643">
      <w:bodyDiv w:val="1"/>
      <w:marLeft w:val="0"/>
      <w:marRight w:val="0"/>
      <w:marTop w:val="0"/>
      <w:marBottom w:val="0"/>
      <w:divBdr>
        <w:top w:val="none" w:sz="0" w:space="0" w:color="auto"/>
        <w:left w:val="none" w:sz="0" w:space="0" w:color="auto"/>
        <w:bottom w:val="none" w:sz="0" w:space="0" w:color="auto"/>
        <w:right w:val="none" w:sz="0" w:space="0" w:color="auto"/>
      </w:divBdr>
    </w:div>
    <w:div w:id="685249338">
      <w:bodyDiv w:val="1"/>
      <w:marLeft w:val="0"/>
      <w:marRight w:val="0"/>
      <w:marTop w:val="0"/>
      <w:marBottom w:val="0"/>
      <w:divBdr>
        <w:top w:val="none" w:sz="0" w:space="0" w:color="auto"/>
        <w:left w:val="none" w:sz="0" w:space="0" w:color="auto"/>
        <w:bottom w:val="none" w:sz="0" w:space="0" w:color="auto"/>
        <w:right w:val="none" w:sz="0" w:space="0" w:color="auto"/>
      </w:divBdr>
    </w:div>
    <w:div w:id="713040890">
      <w:bodyDiv w:val="1"/>
      <w:marLeft w:val="0"/>
      <w:marRight w:val="0"/>
      <w:marTop w:val="0"/>
      <w:marBottom w:val="0"/>
      <w:divBdr>
        <w:top w:val="none" w:sz="0" w:space="0" w:color="auto"/>
        <w:left w:val="none" w:sz="0" w:space="0" w:color="auto"/>
        <w:bottom w:val="none" w:sz="0" w:space="0" w:color="auto"/>
        <w:right w:val="none" w:sz="0" w:space="0" w:color="auto"/>
      </w:divBdr>
    </w:div>
    <w:div w:id="755394817">
      <w:bodyDiv w:val="1"/>
      <w:marLeft w:val="0"/>
      <w:marRight w:val="0"/>
      <w:marTop w:val="0"/>
      <w:marBottom w:val="0"/>
      <w:divBdr>
        <w:top w:val="none" w:sz="0" w:space="0" w:color="auto"/>
        <w:left w:val="none" w:sz="0" w:space="0" w:color="auto"/>
        <w:bottom w:val="none" w:sz="0" w:space="0" w:color="auto"/>
        <w:right w:val="none" w:sz="0" w:space="0" w:color="auto"/>
      </w:divBdr>
    </w:div>
    <w:div w:id="775564818">
      <w:bodyDiv w:val="1"/>
      <w:marLeft w:val="0"/>
      <w:marRight w:val="0"/>
      <w:marTop w:val="0"/>
      <w:marBottom w:val="0"/>
      <w:divBdr>
        <w:top w:val="none" w:sz="0" w:space="0" w:color="auto"/>
        <w:left w:val="none" w:sz="0" w:space="0" w:color="auto"/>
        <w:bottom w:val="none" w:sz="0" w:space="0" w:color="auto"/>
        <w:right w:val="none" w:sz="0" w:space="0" w:color="auto"/>
      </w:divBdr>
    </w:div>
    <w:div w:id="778840896">
      <w:bodyDiv w:val="1"/>
      <w:marLeft w:val="0"/>
      <w:marRight w:val="0"/>
      <w:marTop w:val="0"/>
      <w:marBottom w:val="0"/>
      <w:divBdr>
        <w:top w:val="none" w:sz="0" w:space="0" w:color="auto"/>
        <w:left w:val="none" w:sz="0" w:space="0" w:color="auto"/>
        <w:bottom w:val="none" w:sz="0" w:space="0" w:color="auto"/>
        <w:right w:val="none" w:sz="0" w:space="0" w:color="auto"/>
      </w:divBdr>
      <w:divsChild>
        <w:div w:id="1876427255">
          <w:marLeft w:val="547"/>
          <w:marRight w:val="0"/>
          <w:marTop w:val="0"/>
          <w:marBottom w:val="0"/>
          <w:divBdr>
            <w:top w:val="none" w:sz="0" w:space="0" w:color="auto"/>
            <w:left w:val="none" w:sz="0" w:space="0" w:color="auto"/>
            <w:bottom w:val="none" w:sz="0" w:space="0" w:color="auto"/>
            <w:right w:val="none" w:sz="0" w:space="0" w:color="auto"/>
          </w:divBdr>
        </w:div>
        <w:div w:id="1930965037">
          <w:marLeft w:val="547"/>
          <w:marRight w:val="0"/>
          <w:marTop w:val="0"/>
          <w:marBottom w:val="0"/>
          <w:divBdr>
            <w:top w:val="none" w:sz="0" w:space="0" w:color="auto"/>
            <w:left w:val="none" w:sz="0" w:space="0" w:color="auto"/>
            <w:bottom w:val="none" w:sz="0" w:space="0" w:color="auto"/>
            <w:right w:val="none" w:sz="0" w:space="0" w:color="auto"/>
          </w:divBdr>
        </w:div>
        <w:div w:id="1337222671">
          <w:marLeft w:val="547"/>
          <w:marRight w:val="0"/>
          <w:marTop w:val="0"/>
          <w:marBottom w:val="0"/>
          <w:divBdr>
            <w:top w:val="none" w:sz="0" w:space="0" w:color="auto"/>
            <w:left w:val="none" w:sz="0" w:space="0" w:color="auto"/>
            <w:bottom w:val="none" w:sz="0" w:space="0" w:color="auto"/>
            <w:right w:val="none" w:sz="0" w:space="0" w:color="auto"/>
          </w:divBdr>
        </w:div>
        <w:div w:id="649600384">
          <w:marLeft w:val="547"/>
          <w:marRight w:val="0"/>
          <w:marTop w:val="0"/>
          <w:marBottom w:val="0"/>
          <w:divBdr>
            <w:top w:val="none" w:sz="0" w:space="0" w:color="auto"/>
            <w:left w:val="none" w:sz="0" w:space="0" w:color="auto"/>
            <w:bottom w:val="none" w:sz="0" w:space="0" w:color="auto"/>
            <w:right w:val="none" w:sz="0" w:space="0" w:color="auto"/>
          </w:divBdr>
        </w:div>
        <w:div w:id="1519654450">
          <w:marLeft w:val="547"/>
          <w:marRight w:val="0"/>
          <w:marTop w:val="0"/>
          <w:marBottom w:val="0"/>
          <w:divBdr>
            <w:top w:val="none" w:sz="0" w:space="0" w:color="auto"/>
            <w:left w:val="none" w:sz="0" w:space="0" w:color="auto"/>
            <w:bottom w:val="none" w:sz="0" w:space="0" w:color="auto"/>
            <w:right w:val="none" w:sz="0" w:space="0" w:color="auto"/>
          </w:divBdr>
        </w:div>
        <w:div w:id="920679016">
          <w:marLeft w:val="547"/>
          <w:marRight w:val="0"/>
          <w:marTop w:val="0"/>
          <w:marBottom w:val="0"/>
          <w:divBdr>
            <w:top w:val="none" w:sz="0" w:space="0" w:color="auto"/>
            <w:left w:val="none" w:sz="0" w:space="0" w:color="auto"/>
            <w:bottom w:val="none" w:sz="0" w:space="0" w:color="auto"/>
            <w:right w:val="none" w:sz="0" w:space="0" w:color="auto"/>
          </w:divBdr>
        </w:div>
        <w:div w:id="894319051">
          <w:marLeft w:val="547"/>
          <w:marRight w:val="0"/>
          <w:marTop w:val="0"/>
          <w:marBottom w:val="0"/>
          <w:divBdr>
            <w:top w:val="none" w:sz="0" w:space="0" w:color="auto"/>
            <w:left w:val="none" w:sz="0" w:space="0" w:color="auto"/>
            <w:bottom w:val="none" w:sz="0" w:space="0" w:color="auto"/>
            <w:right w:val="none" w:sz="0" w:space="0" w:color="auto"/>
          </w:divBdr>
        </w:div>
      </w:divsChild>
    </w:div>
    <w:div w:id="783886469">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1848354">
      <w:bodyDiv w:val="1"/>
      <w:marLeft w:val="0"/>
      <w:marRight w:val="0"/>
      <w:marTop w:val="0"/>
      <w:marBottom w:val="0"/>
      <w:divBdr>
        <w:top w:val="none" w:sz="0" w:space="0" w:color="auto"/>
        <w:left w:val="none" w:sz="0" w:space="0" w:color="auto"/>
        <w:bottom w:val="none" w:sz="0" w:space="0" w:color="auto"/>
        <w:right w:val="none" w:sz="0" w:space="0" w:color="auto"/>
      </w:divBdr>
    </w:div>
    <w:div w:id="850485102">
      <w:bodyDiv w:val="1"/>
      <w:marLeft w:val="0"/>
      <w:marRight w:val="0"/>
      <w:marTop w:val="0"/>
      <w:marBottom w:val="0"/>
      <w:divBdr>
        <w:top w:val="none" w:sz="0" w:space="0" w:color="auto"/>
        <w:left w:val="none" w:sz="0" w:space="0" w:color="auto"/>
        <w:bottom w:val="none" w:sz="0" w:space="0" w:color="auto"/>
        <w:right w:val="none" w:sz="0" w:space="0" w:color="auto"/>
      </w:divBdr>
      <w:divsChild>
        <w:div w:id="1641956305">
          <w:marLeft w:val="0"/>
          <w:marRight w:val="0"/>
          <w:marTop w:val="0"/>
          <w:marBottom w:val="0"/>
          <w:divBdr>
            <w:top w:val="none" w:sz="0" w:space="0" w:color="auto"/>
            <w:left w:val="none" w:sz="0" w:space="0" w:color="auto"/>
            <w:bottom w:val="none" w:sz="0" w:space="0" w:color="auto"/>
            <w:right w:val="none" w:sz="0" w:space="0" w:color="auto"/>
          </w:divBdr>
        </w:div>
      </w:divsChild>
    </w:div>
    <w:div w:id="869151601">
      <w:bodyDiv w:val="1"/>
      <w:marLeft w:val="0"/>
      <w:marRight w:val="0"/>
      <w:marTop w:val="0"/>
      <w:marBottom w:val="0"/>
      <w:divBdr>
        <w:top w:val="none" w:sz="0" w:space="0" w:color="auto"/>
        <w:left w:val="none" w:sz="0" w:space="0" w:color="auto"/>
        <w:bottom w:val="none" w:sz="0" w:space="0" w:color="auto"/>
        <w:right w:val="none" w:sz="0" w:space="0" w:color="auto"/>
      </w:divBdr>
    </w:div>
    <w:div w:id="935095988">
      <w:bodyDiv w:val="1"/>
      <w:marLeft w:val="0"/>
      <w:marRight w:val="0"/>
      <w:marTop w:val="0"/>
      <w:marBottom w:val="0"/>
      <w:divBdr>
        <w:top w:val="none" w:sz="0" w:space="0" w:color="auto"/>
        <w:left w:val="none" w:sz="0" w:space="0" w:color="auto"/>
        <w:bottom w:val="none" w:sz="0" w:space="0" w:color="auto"/>
        <w:right w:val="none" w:sz="0" w:space="0" w:color="auto"/>
      </w:divBdr>
      <w:divsChild>
        <w:div w:id="652296935">
          <w:marLeft w:val="0"/>
          <w:marRight w:val="0"/>
          <w:marTop w:val="0"/>
          <w:marBottom w:val="0"/>
          <w:divBdr>
            <w:top w:val="none" w:sz="0" w:space="0" w:color="auto"/>
            <w:left w:val="none" w:sz="0" w:space="0" w:color="auto"/>
            <w:bottom w:val="none" w:sz="0" w:space="0" w:color="auto"/>
            <w:right w:val="none" w:sz="0" w:space="0" w:color="auto"/>
          </w:divBdr>
        </w:div>
      </w:divsChild>
    </w:div>
    <w:div w:id="959382397">
      <w:bodyDiv w:val="1"/>
      <w:marLeft w:val="0"/>
      <w:marRight w:val="0"/>
      <w:marTop w:val="0"/>
      <w:marBottom w:val="0"/>
      <w:divBdr>
        <w:top w:val="none" w:sz="0" w:space="0" w:color="auto"/>
        <w:left w:val="none" w:sz="0" w:space="0" w:color="auto"/>
        <w:bottom w:val="none" w:sz="0" w:space="0" w:color="auto"/>
        <w:right w:val="none" w:sz="0" w:space="0" w:color="auto"/>
      </w:divBdr>
    </w:div>
    <w:div w:id="995916117">
      <w:bodyDiv w:val="1"/>
      <w:marLeft w:val="0"/>
      <w:marRight w:val="0"/>
      <w:marTop w:val="0"/>
      <w:marBottom w:val="0"/>
      <w:divBdr>
        <w:top w:val="none" w:sz="0" w:space="0" w:color="auto"/>
        <w:left w:val="none" w:sz="0" w:space="0" w:color="auto"/>
        <w:bottom w:val="none" w:sz="0" w:space="0" w:color="auto"/>
        <w:right w:val="none" w:sz="0" w:space="0" w:color="auto"/>
      </w:divBdr>
    </w:div>
    <w:div w:id="1046682188">
      <w:bodyDiv w:val="1"/>
      <w:marLeft w:val="0"/>
      <w:marRight w:val="0"/>
      <w:marTop w:val="0"/>
      <w:marBottom w:val="0"/>
      <w:divBdr>
        <w:top w:val="none" w:sz="0" w:space="0" w:color="auto"/>
        <w:left w:val="none" w:sz="0" w:space="0" w:color="auto"/>
        <w:bottom w:val="none" w:sz="0" w:space="0" w:color="auto"/>
        <w:right w:val="none" w:sz="0" w:space="0" w:color="auto"/>
      </w:divBdr>
    </w:div>
    <w:div w:id="1050763929">
      <w:bodyDiv w:val="1"/>
      <w:marLeft w:val="0"/>
      <w:marRight w:val="0"/>
      <w:marTop w:val="0"/>
      <w:marBottom w:val="0"/>
      <w:divBdr>
        <w:top w:val="none" w:sz="0" w:space="0" w:color="auto"/>
        <w:left w:val="none" w:sz="0" w:space="0" w:color="auto"/>
        <w:bottom w:val="none" w:sz="0" w:space="0" w:color="auto"/>
        <w:right w:val="none" w:sz="0" w:space="0" w:color="auto"/>
      </w:divBdr>
    </w:div>
    <w:div w:id="1071922980">
      <w:bodyDiv w:val="1"/>
      <w:marLeft w:val="0"/>
      <w:marRight w:val="0"/>
      <w:marTop w:val="0"/>
      <w:marBottom w:val="0"/>
      <w:divBdr>
        <w:top w:val="none" w:sz="0" w:space="0" w:color="auto"/>
        <w:left w:val="none" w:sz="0" w:space="0" w:color="auto"/>
        <w:bottom w:val="none" w:sz="0" w:space="0" w:color="auto"/>
        <w:right w:val="none" w:sz="0" w:space="0" w:color="auto"/>
      </w:divBdr>
    </w:div>
    <w:div w:id="1133861893">
      <w:bodyDiv w:val="1"/>
      <w:marLeft w:val="0"/>
      <w:marRight w:val="0"/>
      <w:marTop w:val="0"/>
      <w:marBottom w:val="0"/>
      <w:divBdr>
        <w:top w:val="none" w:sz="0" w:space="0" w:color="auto"/>
        <w:left w:val="none" w:sz="0" w:space="0" w:color="auto"/>
        <w:bottom w:val="none" w:sz="0" w:space="0" w:color="auto"/>
        <w:right w:val="none" w:sz="0" w:space="0" w:color="auto"/>
      </w:divBdr>
    </w:div>
    <w:div w:id="1161460848">
      <w:bodyDiv w:val="1"/>
      <w:marLeft w:val="0"/>
      <w:marRight w:val="0"/>
      <w:marTop w:val="0"/>
      <w:marBottom w:val="0"/>
      <w:divBdr>
        <w:top w:val="none" w:sz="0" w:space="0" w:color="auto"/>
        <w:left w:val="none" w:sz="0" w:space="0" w:color="auto"/>
        <w:bottom w:val="none" w:sz="0" w:space="0" w:color="auto"/>
        <w:right w:val="none" w:sz="0" w:space="0" w:color="auto"/>
      </w:divBdr>
    </w:div>
    <w:div w:id="1167287496">
      <w:bodyDiv w:val="1"/>
      <w:marLeft w:val="0"/>
      <w:marRight w:val="0"/>
      <w:marTop w:val="0"/>
      <w:marBottom w:val="0"/>
      <w:divBdr>
        <w:top w:val="none" w:sz="0" w:space="0" w:color="auto"/>
        <w:left w:val="none" w:sz="0" w:space="0" w:color="auto"/>
        <w:bottom w:val="none" w:sz="0" w:space="0" w:color="auto"/>
        <w:right w:val="none" w:sz="0" w:space="0" w:color="auto"/>
      </w:divBdr>
    </w:div>
    <w:div w:id="1187787595">
      <w:bodyDiv w:val="1"/>
      <w:marLeft w:val="0"/>
      <w:marRight w:val="0"/>
      <w:marTop w:val="0"/>
      <w:marBottom w:val="0"/>
      <w:divBdr>
        <w:top w:val="none" w:sz="0" w:space="0" w:color="auto"/>
        <w:left w:val="none" w:sz="0" w:space="0" w:color="auto"/>
        <w:bottom w:val="none" w:sz="0" w:space="0" w:color="auto"/>
        <w:right w:val="none" w:sz="0" w:space="0" w:color="auto"/>
      </w:divBdr>
    </w:div>
    <w:div w:id="1194608833">
      <w:bodyDiv w:val="1"/>
      <w:marLeft w:val="0"/>
      <w:marRight w:val="0"/>
      <w:marTop w:val="0"/>
      <w:marBottom w:val="0"/>
      <w:divBdr>
        <w:top w:val="none" w:sz="0" w:space="0" w:color="auto"/>
        <w:left w:val="none" w:sz="0" w:space="0" w:color="auto"/>
        <w:bottom w:val="none" w:sz="0" w:space="0" w:color="auto"/>
        <w:right w:val="none" w:sz="0" w:space="0" w:color="auto"/>
      </w:divBdr>
      <w:divsChild>
        <w:div w:id="1291785122">
          <w:marLeft w:val="547"/>
          <w:marRight w:val="0"/>
          <w:marTop w:val="0"/>
          <w:marBottom w:val="0"/>
          <w:divBdr>
            <w:top w:val="none" w:sz="0" w:space="0" w:color="auto"/>
            <w:left w:val="none" w:sz="0" w:space="0" w:color="auto"/>
            <w:bottom w:val="none" w:sz="0" w:space="0" w:color="auto"/>
            <w:right w:val="none" w:sz="0" w:space="0" w:color="auto"/>
          </w:divBdr>
        </w:div>
      </w:divsChild>
    </w:div>
    <w:div w:id="1251767887">
      <w:bodyDiv w:val="1"/>
      <w:marLeft w:val="0"/>
      <w:marRight w:val="0"/>
      <w:marTop w:val="0"/>
      <w:marBottom w:val="0"/>
      <w:divBdr>
        <w:top w:val="none" w:sz="0" w:space="0" w:color="auto"/>
        <w:left w:val="none" w:sz="0" w:space="0" w:color="auto"/>
        <w:bottom w:val="none" w:sz="0" w:space="0" w:color="auto"/>
        <w:right w:val="none" w:sz="0" w:space="0" w:color="auto"/>
      </w:divBdr>
    </w:div>
    <w:div w:id="1253202141">
      <w:bodyDiv w:val="1"/>
      <w:marLeft w:val="0"/>
      <w:marRight w:val="0"/>
      <w:marTop w:val="0"/>
      <w:marBottom w:val="0"/>
      <w:divBdr>
        <w:top w:val="none" w:sz="0" w:space="0" w:color="auto"/>
        <w:left w:val="none" w:sz="0" w:space="0" w:color="auto"/>
        <w:bottom w:val="none" w:sz="0" w:space="0" w:color="auto"/>
        <w:right w:val="none" w:sz="0" w:space="0" w:color="auto"/>
      </w:divBdr>
    </w:div>
    <w:div w:id="1279722961">
      <w:bodyDiv w:val="1"/>
      <w:marLeft w:val="0"/>
      <w:marRight w:val="0"/>
      <w:marTop w:val="0"/>
      <w:marBottom w:val="0"/>
      <w:divBdr>
        <w:top w:val="none" w:sz="0" w:space="0" w:color="auto"/>
        <w:left w:val="none" w:sz="0" w:space="0" w:color="auto"/>
        <w:bottom w:val="none" w:sz="0" w:space="0" w:color="auto"/>
        <w:right w:val="none" w:sz="0" w:space="0" w:color="auto"/>
      </w:divBdr>
    </w:div>
    <w:div w:id="1297905763">
      <w:bodyDiv w:val="1"/>
      <w:marLeft w:val="0"/>
      <w:marRight w:val="0"/>
      <w:marTop w:val="0"/>
      <w:marBottom w:val="0"/>
      <w:divBdr>
        <w:top w:val="none" w:sz="0" w:space="0" w:color="auto"/>
        <w:left w:val="none" w:sz="0" w:space="0" w:color="auto"/>
        <w:bottom w:val="none" w:sz="0" w:space="0" w:color="auto"/>
        <w:right w:val="none" w:sz="0" w:space="0" w:color="auto"/>
      </w:divBdr>
    </w:div>
    <w:div w:id="1307852709">
      <w:bodyDiv w:val="1"/>
      <w:marLeft w:val="0"/>
      <w:marRight w:val="0"/>
      <w:marTop w:val="0"/>
      <w:marBottom w:val="0"/>
      <w:divBdr>
        <w:top w:val="none" w:sz="0" w:space="0" w:color="auto"/>
        <w:left w:val="none" w:sz="0" w:space="0" w:color="auto"/>
        <w:bottom w:val="none" w:sz="0" w:space="0" w:color="auto"/>
        <w:right w:val="none" w:sz="0" w:space="0" w:color="auto"/>
      </w:divBdr>
    </w:div>
    <w:div w:id="1323394182">
      <w:bodyDiv w:val="1"/>
      <w:marLeft w:val="0"/>
      <w:marRight w:val="0"/>
      <w:marTop w:val="0"/>
      <w:marBottom w:val="0"/>
      <w:divBdr>
        <w:top w:val="none" w:sz="0" w:space="0" w:color="auto"/>
        <w:left w:val="none" w:sz="0" w:space="0" w:color="auto"/>
        <w:bottom w:val="none" w:sz="0" w:space="0" w:color="auto"/>
        <w:right w:val="none" w:sz="0" w:space="0" w:color="auto"/>
      </w:divBdr>
    </w:div>
    <w:div w:id="1390181555">
      <w:bodyDiv w:val="1"/>
      <w:marLeft w:val="0"/>
      <w:marRight w:val="0"/>
      <w:marTop w:val="0"/>
      <w:marBottom w:val="0"/>
      <w:divBdr>
        <w:top w:val="none" w:sz="0" w:space="0" w:color="auto"/>
        <w:left w:val="none" w:sz="0" w:space="0" w:color="auto"/>
        <w:bottom w:val="none" w:sz="0" w:space="0" w:color="auto"/>
        <w:right w:val="none" w:sz="0" w:space="0" w:color="auto"/>
      </w:divBdr>
    </w:div>
    <w:div w:id="1400788257">
      <w:bodyDiv w:val="1"/>
      <w:marLeft w:val="0"/>
      <w:marRight w:val="0"/>
      <w:marTop w:val="0"/>
      <w:marBottom w:val="0"/>
      <w:divBdr>
        <w:top w:val="none" w:sz="0" w:space="0" w:color="auto"/>
        <w:left w:val="none" w:sz="0" w:space="0" w:color="auto"/>
        <w:bottom w:val="none" w:sz="0" w:space="0" w:color="auto"/>
        <w:right w:val="none" w:sz="0" w:space="0" w:color="auto"/>
      </w:divBdr>
    </w:div>
    <w:div w:id="1400901916">
      <w:bodyDiv w:val="1"/>
      <w:marLeft w:val="0"/>
      <w:marRight w:val="0"/>
      <w:marTop w:val="0"/>
      <w:marBottom w:val="0"/>
      <w:divBdr>
        <w:top w:val="none" w:sz="0" w:space="0" w:color="auto"/>
        <w:left w:val="none" w:sz="0" w:space="0" w:color="auto"/>
        <w:bottom w:val="none" w:sz="0" w:space="0" w:color="auto"/>
        <w:right w:val="none" w:sz="0" w:space="0" w:color="auto"/>
      </w:divBdr>
    </w:div>
    <w:div w:id="1462919903">
      <w:bodyDiv w:val="1"/>
      <w:marLeft w:val="0"/>
      <w:marRight w:val="0"/>
      <w:marTop w:val="0"/>
      <w:marBottom w:val="0"/>
      <w:divBdr>
        <w:top w:val="none" w:sz="0" w:space="0" w:color="auto"/>
        <w:left w:val="none" w:sz="0" w:space="0" w:color="auto"/>
        <w:bottom w:val="none" w:sz="0" w:space="0" w:color="auto"/>
        <w:right w:val="none" w:sz="0" w:space="0" w:color="auto"/>
      </w:divBdr>
    </w:div>
    <w:div w:id="1468860352">
      <w:bodyDiv w:val="1"/>
      <w:marLeft w:val="0"/>
      <w:marRight w:val="0"/>
      <w:marTop w:val="0"/>
      <w:marBottom w:val="0"/>
      <w:divBdr>
        <w:top w:val="none" w:sz="0" w:space="0" w:color="auto"/>
        <w:left w:val="none" w:sz="0" w:space="0" w:color="auto"/>
        <w:bottom w:val="none" w:sz="0" w:space="0" w:color="auto"/>
        <w:right w:val="none" w:sz="0" w:space="0" w:color="auto"/>
      </w:divBdr>
    </w:div>
    <w:div w:id="1569076879">
      <w:bodyDiv w:val="1"/>
      <w:marLeft w:val="0"/>
      <w:marRight w:val="0"/>
      <w:marTop w:val="0"/>
      <w:marBottom w:val="0"/>
      <w:divBdr>
        <w:top w:val="none" w:sz="0" w:space="0" w:color="auto"/>
        <w:left w:val="none" w:sz="0" w:space="0" w:color="auto"/>
        <w:bottom w:val="none" w:sz="0" w:space="0" w:color="auto"/>
        <w:right w:val="none" w:sz="0" w:space="0" w:color="auto"/>
      </w:divBdr>
    </w:div>
    <w:div w:id="1654792202">
      <w:bodyDiv w:val="1"/>
      <w:marLeft w:val="0"/>
      <w:marRight w:val="0"/>
      <w:marTop w:val="0"/>
      <w:marBottom w:val="0"/>
      <w:divBdr>
        <w:top w:val="none" w:sz="0" w:space="0" w:color="auto"/>
        <w:left w:val="none" w:sz="0" w:space="0" w:color="auto"/>
        <w:bottom w:val="none" w:sz="0" w:space="0" w:color="auto"/>
        <w:right w:val="none" w:sz="0" w:space="0" w:color="auto"/>
      </w:divBdr>
    </w:div>
    <w:div w:id="1757432306">
      <w:bodyDiv w:val="1"/>
      <w:marLeft w:val="0"/>
      <w:marRight w:val="0"/>
      <w:marTop w:val="0"/>
      <w:marBottom w:val="0"/>
      <w:divBdr>
        <w:top w:val="none" w:sz="0" w:space="0" w:color="auto"/>
        <w:left w:val="none" w:sz="0" w:space="0" w:color="auto"/>
        <w:bottom w:val="none" w:sz="0" w:space="0" w:color="auto"/>
        <w:right w:val="none" w:sz="0" w:space="0" w:color="auto"/>
      </w:divBdr>
    </w:div>
    <w:div w:id="1789351501">
      <w:bodyDiv w:val="1"/>
      <w:marLeft w:val="0"/>
      <w:marRight w:val="0"/>
      <w:marTop w:val="0"/>
      <w:marBottom w:val="0"/>
      <w:divBdr>
        <w:top w:val="none" w:sz="0" w:space="0" w:color="auto"/>
        <w:left w:val="none" w:sz="0" w:space="0" w:color="auto"/>
        <w:bottom w:val="none" w:sz="0" w:space="0" w:color="auto"/>
        <w:right w:val="none" w:sz="0" w:space="0" w:color="auto"/>
      </w:divBdr>
    </w:div>
    <w:div w:id="1790127730">
      <w:bodyDiv w:val="1"/>
      <w:marLeft w:val="0"/>
      <w:marRight w:val="0"/>
      <w:marTop w:val="0"/>
      <w:marBottom w:val="0"/>
      <w:divBdr>
        <w:top w:val="none" w:sz="0" w:space="0" w:color="auto"/>
        <w:left w:val="none" w:sz="0" w:space="0" w:color="auto"/>
        <w:bottom w:val="none" w:sz="0" w:space="0" w:color="auto"/>
        <w:right w:val="none" w:sz="0" w:space="0" w:color="auto"/>
      </w:divBdr>
    </w:div>
    <w:div w:id="1803838333">
      <w:bodyDiv w:val="1"/>
      <w:marLeft w:val="0"/>
      <w:marRight w:val="0"/>
      <w:marTop w:val="0"/>
      <w:marBottom w:val="0"/>
      <w:divBdr>
        <w:top w:val="none" w:sz="0" w:space="0" w:color="auto"/>
        <w:left w:val="none" w:sz="0" w:space="0" w:color="auto"/>
        <w:bottom w:val="none" w:sz="0" w:space="0" w:color="auto"/>
        <w:right w:val="none" w:sz="0" w:space="0" w:color="auto"/>
      </w:divBdr>
    </w:div>
    <w:div w:id="1815439775">
      <w:bodyDiv w:val="1"/>
      <w:marLeft w:val="0"/>
      <w:marRight w:val="0"/>
      <w:marTop w:val="0"/>
      <w:marBottom w:val="0"/>
      <w:divBdr>
        <w:top w:val="none" w:sz="0" w:space="0" w:color="auto"/>
        <w:left w:val="none" w:sz="0" w:space="0" w:color="auto"/>
        <w:bottom w:val="none" w:sz="0" w:space="0" w:color="auto"/>
        <w:right w:val="none" w:sz="0" w:space="0" w:color="auto"/>
      </w:divBdr>
    </w:div>
    <w:div w:id="1847088518">
      <w:bodyDiv w:val="1"/>
      <w:marLeft w:val="0"/>
      <w:marRight w:val="0"/>
      <w:marTop w:val="0"/>
      <w:marBottom w:val="0"/>
      <w:divBdr>
        <w:top w:val="none" w:sz="0" w:space="0" w:color="auto"/>
        <w:left w:val="none" w:sz="0" w:space="0" w:color="auto"/>
        <w:bottom w:val="none" w:sz="0" w:space="0" w:color="auto"/>
        <w:right w:val="none" w:sz="0" w:space="0" w:color="auto"/>
      </w:divBdr>
    </w:div>
    <w:div w:id="1873836788">
      <w:bodyDiv w:val="1"/>
      <w:marLeft w:val="0"/>
      <w:marRight w:val="0"/>
      <w:marTop w:val="0"/>
      <w:marBottom w:val="0"/>
      <w:divBdr>
        <w:top w:val="none" w:sz="0" w:space="0" w:color="auto"/>
        <w:left w:val="none" w:sz="0" w:space="0" w:color="auto"/>
        <w:bottom w:val="none" w:sz="0" w:space="0" w:color="auto"/>
        <w:right w:val="none" w:sz="0" w:space="0" w:color="auto"/>
      </w:divBdr>
    </w:div>
    <w:div w:id="1937402829">
      <w:bodyDiv w:val="1"/>
      <w:marLeft w:val="0"/>
      <w:marRight w:val="0"/>
      <w:marTop w:val="0"/>
      <w:marBottom w:val="0"/>
      <w:divBdr>
        <w:top w:val="none" w:sz="0" w:space="0" w:color="auto"/>
        <w:left w:val="none" w:sz="0" w:space="0" w:color="auto"/>
        <w:bottom w:val="none" w:sz="0" w:space="0" w:color="auto"/>
        <w:right w:val="none" w:sz="0" w:space="0" w:color="auto"/>
      </w:divBdr>
    </w:div>
    <w:div w:id="2040545480">
      <w:bodyDiv w:val="1"/>
      <w:marLeft w:val="0"/>
      <w:marRight w:val="0"/>
      <w:marTop w:val="0"/>
      <w:marBottom w:val="0"/>
      <w:divBdr>
        <w:top w:val="none" w:sz="0" w:space="0" w:color="auto"/>
        <w:left w:val="none" w:sz="0" w:space="0" w:color="auto"/>
        <w:bottom w:val="none" w:sz="0" w:space="0" w:color="auto"/>
        <w:right w:val="none" w:sz="0" w:space="0" w:color="auto"/>
      </w:divBdr>
    </w:div>
    <w:div w:id="2090151553">
      <w:bodyDiv w:val="1"/>
      <w:marLeft w:val="0"/>
      <w:marRight w:val="0"/>
      <w:marTop w:val="0"/>
      <w:marBottom w:val="0"/>
      <w:divBdr>
        <w:top w:val="none" w:sz="0" w:space="0" w:color="auto"/>
        <w:left w:val="none" w:sz="0" w:space="0" w:color="auto"/>
        <w:bottom w:val="none" w:sz="0" w:space="0" w:color="auto"/>
        <w:right w:val="none" w:sz="0" w:space="0" w:color="auto"/>
      </w:divBdr>
    </w:div>
    <w:div w:id="2093892436">
      <w:bodyDiv w:val="1"/>
      <w:marLeft w:val="0"/>
      <w:marRight w:val="0"/>
      <w:marTop w:val="0"/>
      <w:marBottom w:val="0"/>
      <w:divBdr>
        <w:top w:val="none" w:sz="0" w:space="0" w:color="auto"/>
        <w:left w:val="none" w:sz="0" w:space="0" w:color="auto"/>
        <w:bottom w:val="none" w:sz="0" w:space="0" w:color="auto"/>
        <w:right w:val="none" w:sz="0" w:space="0" w:color="auto"/>
      </w:divBdr>
    </w:div>
    <w:div w:id="2112432557">
      <w:bodyDiv w:val="1"/>
      <w:marLeft w:val="0"/>
      <w:marRight w:val="0"/>
      <w:marTop w:val="0"/>
      <w:marBottom w:val="0"/>
      <w:divBdr>
        <w:top w:val="none" w:sz="0" w:space="0" w:color="auto"/>
        <w:left w:val="none" w:sz="0" w:space="0" w:color="auto"/>
        <w:bottom w:val="none" w:sz="0" w:space="0" w:color="auto"/>
        <w:right w:val="none" w:sz="0" w:space="0" w:color="auto"/>
      </w:divBdr>
    </w:div>
    <w:div w:id="2128887162">
      <w:bodyDiv w:val="1"/>
      <w:marLeft w:val="0"/>
      <w:marRight w:val="0"/>
      <w:marTop w:val="0"/>
      <w:marBottom w:val="0"/>
      <w:divBdr>
        <w:top w:val="none" w:sz="0" w:space="0" w:color="auto"/>
        <w:left w:val="none" w:sz="0" w:space="0" w:color="auto"/>
        <w:bottom w:val="none" w:sz="0" w:space="0" w:color="auto"/>
        <w:right w:val="none" w:sz="0" w:space="0" w:color="auto"/>
      </w:divBdr>
    </w:div>
    <w:div w:id="21314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diagramColors" Target="diagrams/colors2.xml"/><Relationship Id="rId39" Type="http://schemas.openxmlformats.org/officeDocument/2006/relationships/image" Target="cid:image001.png@01DAA5ED.70BE41C0" TargetMode="External"/><Relationship Id="rId21" Type="http://schemas.openxmlformats.org/officeDocument/2006/relationships/chart" Target="charts/chart5.xml"/><Relationship Id="rId34" Type="http://schemas.openxmlformats.org/officeDocument/2006/relationships/diagramLayout" Target="diagrams/layout4.xml"/><Relationship Id="rId42" Type="http://schemas.openxmlformats.org/officeDocument/2006/relationships/hyperlink" Target="https://ec.europa.eu/social/main.jsp?catId=1226&amp;langId=hr"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microsoft.com/office/2018/08/relationships/commentsExtensible" Target="commentsExtensible.xml"/><Relationship Id="rId10" Type="http://schemas.openxmlformats.org/officeDocument/2006/relationships/footer" Target="footer3.xml"/><Relationship Id="rId19" Type="http://schemas.openxmlformats.org/officeDocument/2006/relationships/chart" Target="charts/chart3.xml"/><Relationship Id="rId31" Type="http://schemas.openxmlformats.org/officeDocument/2006/relationships/diagramColors" Target="diagrams/colors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chart" Target="charts/chart6.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image" Target="media/image2.png"/><Relationship Id="rId20" Type="http://schemas.openxmlformats.org/officeDocument/2006/relationships/chart" Target="charts/chart4.xml"/><Relationship Id="rId41" Type="http://schemas.openxmlformats.org/officeDocument/2006/relationships/chart" Target="charts/chart8.xml"/></Relationships>
</file>

<file path=word/_rels/footnotes.xml.rels><?xml version="1.0" encoding="UTF-8" standalone="yes"?>
<Relationships xmlns="http://schemas.openxmlformats.org/package/2006/relationships"><Relationship Id="rId8" Type="http://schemas.openxmlformats.org/officeDocument/2006/relationships/hyperlink" Target="https://www.monstat.org/uploads/files/SILC/2022/Saop%C5%A1tenje_Anketa_o_dohotku_i_uslovima_%C5%BEivota_EU-SILC_2022.pdf" TargetMode="External"/><Relationship Id="rId13" Type="http://schemas.openxmlformats.org/officeDocument/2006/relationships/hyperlink" Target="https://www.monstat.org/uploads/files/SILC/2021/RELEASE_Survey_on_Income_and_Living_Conditions_EU-SILC_2021.pdf" TargetMode="External"/><Relationship Id="rId18" Type="http://schemas.openxmlformats.org/officeDocument/2006/relationships/hyperlink" Target="https://op.europa.eu/en/publication-detail/-/publication/66f8eded-7eee-11ee-99ba%2001aa75ed71a1/language-en" TargetMode="External"/><Relationship Id="rId26" Type="http://schemas.openxmlformats.org/officeDocument/2006/relationships/hyperlink" Target="http://eesp.me/wp-content/uploads/2021/12/Pravci-promjena-u-programima-SDZ-MNE-FINAL.doc" TargetMode="External"/><Relationship Id="rId3" Type="http://schemas.openxmlformats.org/officeDocument/2006/relationships/hyperlink" Target="https://eur-lex.europa.eu/legal-content/HR/TXT/PDF/?uri=CELEX:52017IP0010" TargetMode="External"/><Relationship Id="rId21" Type="http://schemas.openxmlformats.org/officeDocument/2006/relationships/hyperlink" Target="https://www.monstat.org/uploads/files/demografija/gbv/Saop%C5%A1tenje%20gbv%2025%2011%202022.pdf" TargetMode="External"/><Relationship Id="rId7" Type="http://schemas.openxmlformats.org/officeDocument/2006/relationships/hyperlink" Target="https://www.monstat.org/uploads/files/SILC/2022/Saop%C5%A1tenje_Anketa_o_dohotku_i_uslovima_%C5%BEivota_EU-SILC_2022.pdf" TargetMode="External"/><Relationship Id="rId12" Type="http://schemas.openxmlformats.org/officeDocument/2006/relationships/hyperlink" Target="https://www.monstat.org/uploads/files/SILC/2022/Saop%C5%A1tenje_Anketa_o_dohotku_i_uslovima_%C5%BEivota_EU-SILC_2022.pdf" TargetMode="External"/><Relationship Id="rId17" Type="http://schemas.openxmlformats.org/officeDocument/2006/relationships/hyperlink" Target="https://mmp.gov.me/ResourceManager/FileDownload.aspx?rid=417447&amp;rType=2&amp;file=Socio-ekonomski%20poloz%CB%87aj%20Roma%20i%20Egipc%C2%B4ana%20u%20Crnoj%20Gori.pdf" TargetMode="External"/><Relationship Id="rId25" Type="http://schemas.openxmlformats.org/officeDocument/2006/relationships/hyperlink" Target="http://eesp.me/wp-content/uploads/2021/12/Pravci-promjena-u-programima-SDZ-MNE-FINAL.doc" TargetMode="External"/><Relationship Id="rId2" Type="http://schemas.openxmlformats.org/officeDocument/2006/relationships/hyperlink" Target="https://www.eu.me/poglavlje-19-socijalna-politika-i-zaposljavanje/" TargetMode="External"/><Relationship Id="rId16" Type="http://schemas.openxmlformats.org/officeDocument/2006/relationships/hyperlink" Target="https://neighbourhood-enlargement.ec.europa.eu/system/files/2022-10/Montenegro%20Report%202022.pdf" TargetMode="External"/><Relationship Id="rId20" Type="http://schemas.openxmlformats.org/officeDocument/2006/relationships/hyperlink" Target="https://www.cedem.me/wp-content/uploads/2023/12/CEDEM_Analiza_Prava-LGBTIQ-zajednice-u-svijetlu-prakse-ESLJP-dizajn-2.pdf" TargetMode="External"/><Relationship Id="rId1" Type="http://schemas.openxmlformats.org/officeDocument/2006/relationships/hyperlink" Target="https://www.gov.me/dokumenta/1f031d7b-7220-460a-a48b-bf093b37db6c" TargetMode="External"/><Relationship Id="rId6" Type="http://schemas.openxmlformats.org/officeDocument/2006/relationships/hyperlink" Target="http://eesp.me/wp-content/uploads/2021/12/Pravci-promjena-u-programima-SDZ-MNE-FINAL.doc" TargetMode="External"/><Relationship Id="rId11" Type="http://schemas.openxmlformats.org/officeDocument/2006/relationships/hyperlink" Target="https://www.monstat.org/uploads/files/SILC/2022/Saop%C5%A1tenje_Anketa_o_dohotku_i_uslovima_%C5%BEivota_EU-SILC_2022.pdf" TargetMode="External"/><Relationship Id="rId24" Type="http://schemas.openxmlformats.org/officeDocument/2006/relationships/hyperlink" Target="https://juzkomanskimost.me/sites/juzkomanskimost.me/files/2022-11/plan_transformacije-20.08.2020.pdf" TargetMode="External"/><Relationship Id="rId5" Type="http://schemas.openxmlformats.org/officeDocument/2006/relationships/hyperlink" Target="https://usscg.me/2023/02/28/u-budvi-odrzan-sastanak-radnog-tima-za-uvodenje-i-implementacijua-programa-garancija-za-mlade/" TargetMode="External"/><Relationship Id="rId15" Type="http://schemas.openxmlformats.org/officeDocument/2006/relationships/hyperlink" Target="https://monstat.org/cg/page.php?id=534&amp;pageid=322" TargetMode="External"/><Relationship Id="rId23" Type="http://schemas.openxmlformats.org/officeDocument/2006/relationships/hyperlink" Target="https://imiboke.me/static/ROB-7a44608b199b4ac567b9e84ff24784b9.pdf" TargetMode="External"/><Relationship Id="rId10" Type="http://schemas.openxmlformats.org/officeDocument/2006/relationships/hyperlink" Target="https://www.monstat.org/uploads/files/SILC/2022/Saop%C5%A1tenje_Anketa_o_dohotku_i_uslovima_%C5%BEivota_EU-SILC_2022.pdf" TargetMode="External"/><Relationship Id="rId19" Type="http://schemas.openxmlformats.org/officeDocument/2006/relationships/hyperlink" Target="https://www.monstat.org/userfiles/file/MICS/MNE/mne/Djecji%20rad_Nova%20metodologija_Romska%20naselja.pdf" TargetMode="External"/><Relationship Id="rId4" Type="http://schemas.openxmlformats.org/officeDocument/2006/relationships/hyperlink" Target="https://sdgs.un.org/goals" TargetMode="External"/><Relationship Id="rId9" Type="http://schemas.openxmlformats.org/officeDocument/2006/relationships/hyperlink" Target="https://www.monstat.org/uploads/files/SILC/2022/Saop%C5%A1tenje_Anketa_o_dohotku_i_uslovima_%C5%BEivota_EU-SILC_2022.pdf" TargetMode="External"/><Relationship Id="rId14" Type="http://schemas.openxmlformats.org/officeDocument/2006/relationships/hyperlink" Target="http://www.zzzcg.me/wp-content/uploads/2020/01/Izvjestaj-o-radu-ZZZCG-za-2019.-godinu.pdf" TargetMode="External"/><Relationship Id="rId22" Type="http://schemas.openxmlformats.org/officeDocument/2006/relationships/hyperlink" Target="https://ec.europa.eu/social/main.jsp?catId=1059&amp;langId=en" TargetMode="External"/><Relationship Id="rId27" Type="http://schemas.openxmlformats.org/officeDocument/2006/relationships/hyperlink" Target="http://eesp.me/wp-content/uploads/2021/12/Pravci-promjena-u-programima-SDZ-MNE-FINAL.doc"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282421428090727E-2"/>
          <c:y val="3.4364611850859865E-2"/>
          <c:w val="0.94704507588725317"/>
          <c:h val="0.83551630319622316"/>
        </c:manualLayout>
      </c:layout>
      <c:bar3DChart>
        <c:barDir val="col"/>
        <c:grouping val="clustered"/>
        <c:varyColors val="0"/>
        <c:ser>
          <c:idx val="0"/>
          <c:order val="0"/>
          <c:tx>
            <c:strRef>
              <c:f>Sheet1!$B$1</c:f>
              <c:strCache>
                <c:ptCount val="1"/>
                <c:pt idx="0">
                  <c:v>Column1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invertIfNegative val="0"/>
          <c:dPt>
            <c:idx val="1"/>
            <c:invertIfNegative val="0"/>
            <c:bubble3D val="0"/>
            <c:spPr>
              <a:solidFill>
                <a:schemeClr val="accent2"/>
              </a:soli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extLst>
              <c:ext xmlns:c16="http://schemas.microsoft.com/office/drawing/2014/chart" uri="{C3380CC4-5D6E-409C-BE32-E72D297353CC}">
                <c16:uniqueId val="{00000001-BA7C-4E6E-90B8-055FFF1330D0}"/>
              </c:ext>
            </c:extLst>
          </c:dPt>
          <c:dPt>
            <c:idx val="2"/>
            <c:invertIfNegative val="0"/>
            <c:bubble3D val="0"/>
            <c:spPr>
              <a:solidFill>
                <a:schemeClr val="accent1">
                  <a:lumMod val="60000"/>
                  <a:lumOff val="40000"/>
                </a:schemeClr>
              </a:soli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extLst>
              <c:ext xmlns:c16="http://schemas.microsoft.com/office/drawing/2014/chart" uri="{C3380CC4-5D6E-409C-BE32-E72D297353CC}">
                <c16:uniqueId val="{00000003-BA7C-4E6E-90B8-055FFF1330D0}"/>
              </c:ext>
            </c:extLst>
          </c:dPt>
          <c:dLbls>
            <c:dLbl>
              <c:idx val="0"/>
              <c:layout>
                <c:manualLayout>
                  <c:x val="1.9323671497584541E-3"/>
                  <c:y val="0.230158730158730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7C-4E6E-90B8-055FFF1330D0}"/>
                </c:ext>
              </c:extLst>
            </c:dLbl>
            <c:dLbl>
              <c:idx val="1"/>
              <c:layout>
                <c:manualLayout>
                  <c:x val="1.9324098520181285E-3"/>
                  <c:y val="0.230158730158730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7C-4E6E-90B8-055FFF1330D0}"/>
                </c:ext>
              </c:extLst>
            </c:dLbl>
            <c:dLbl>
              <c:idx val="2"/>
              <c:layout>
                <c:manualLayout>
                  <c:x val="1.9324098520179841E-3"/>
                  <c:y val="0.23015873015873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7C-4E6E-90B8-055FFF1330D0}"/>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7C-4E6E-90B8-055FFF1330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AP 2018</c:v>
                </c:pt>
                <c:pt idx="1">
                  <c:v>AP 2019</c:v>
                </c:pt>
                <c:pt idx="2">
                  <c:v>AP 2020</c:v>
                </c:pt>
              </c:strCache>
            </c:strRef>
          </c:cat>
          <c:val>
            <c:numRef>
              <c:f>Sheet1!$B$2:$B$5</c:f>
              <c:numCache>
                <c:formatCode>0.00%</c:formatCode>
                <c:ptCount val="4"/>
                <c:pt idx="0" formatCode="0%">
                  <c:v>0.71</c:v>
                </c:pt>
                <c:pt idx="1">
                  <c:v>0.86599999999999999</c:v>
                </c:pt>
                <c:pt idx="2">
                  <c:v>0.81820000000000004</c:v>
                </c:pt>
              </c:numCache>
            </c:numRef>
          </c:val>
          <c:extLst>
            <c:ext xmlns:c16="http://schemas.microsoft.com/office/drawing/2014/chart" uri="{C3380CC4-5D6E-409C-BE32-E72D297353CC}">
              <c16:uniqueId val="{00000006-BA7C-4E6E-90B8-055FFF1330D0}"/>
            </c:ext>
          </c:extLst>
        </c:ser>
        <c:dLbls>
          <c:showLegendKey val="0"/>
          <c:showVal val="1"/>
          <c:showCatName val="0"/>
          <c:showSerName val="0"/>
          <c:showPercent val="0"/>
          <c:showBubbleSize val="0"/>
        </c:dLbls>
        <c:gapWidth val="150"/>
        <c:shape val="box"/>
        <c:axId val="359222800"/>
        <c:axId val="417589312"/>
        <c:axId val="0"/>
      </c:bar3DChart>
      <c:catAx>
        <c:axId val="359222800"/>
        <c:scaling>
          <c:orientation val="minMax"/>
        </c:scaling>
        <c:delete val="1"/>
        <c:axPos val="b"/>
        <c:numFmt formatCode="General" sourceLinked="1"/>
        <c:majorTickMark val="none"/>
        <c:minorTickMark val="none"/>
        <c:tickLblPos val="nextTo"/>
        <c:crossAx val="417589312"/>
        <c:crosses val="autoZero"/>
        <c:auto val="1"/>
        <c:lblAlgn val="ctr"/>
        <c:lblOffset val="100"/>
        <c:noMultiLvlLbl val="0"/>
      </c:catAx>
      <c:valAx>
        <c:axId val="417589312"/>
        <c:scaling>
          <c:orientation val="minMax"/>
        </c:scaling>
        <c:delete val="0"/>
        <c:axPos val="l"/>
        <c:majorGridlines>
          <c:spPr>
            <a:ln w="0" cap="flat" cmpd="sng" algn="ctr">
              <a:solidFill>
                <a:schemeClr val="tx1"/>
              </a:solidFill>
              <a:round/>
            </a:ln>
            <a:effectLst>
              <a:outerShdw blurRad="266700" dist="698500" dir="1620000" algn="ctr" rotWithShape="0">
                <a:srgbClr val="000000">
                  <a:alpha val="81000"/>
                </a:srgbClr>
              </a:outerShdw>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9222800"/>
        <c:crosses val="autoZero"/>
        <c:crossBetween val="between"/>
      </c:valAx>
      <c:spPr>
        <a:noFill/>
        <a:ln>
          <a:solidFill>
            <a:schemeClr val="tx1"/>
          </a:solidFill>
        </a:ln>
        <a:effectLst/>
      </c:spPr>
    </c:plotArea>
    <c:legend>
      <c:legendPos val="b"/>
      <c:legendEntry>
        <c:idx val="3"/>
        <c:delete val="1"/>
      </c:legendEntry>
      <c:layout>
        <c:manualLayout>
          <c:xMode val="edge"/>
          <c:yMode val="edge"/>
          <c:x val="0.25371677098055051"/>
          <c:y val="0.90922556639515884"/>
          <c:w val="0.29922666208779974"/>
          <c:h val="7.48342266529322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r-Latn-ME"/>
              <a:t>Usluge</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r-Latn-RS"/>
        </a:p>
      </c:txPr>
    </c:title>
    <c:autoTitleDeleted val="0"/>
    <c:plotArea>
      <c:layout>
        <c:manualLayout>
          <c:layoutTarget val="inner"/>
          <c:xMode val="edge"/>
          <c:yMode val="edge"/>
          <c:x val="0.27765379409946084"/>
          <c:y val="0.13004629629629633"/>
          <c:w val="0.65219802219944911"/>
          <c:h val="0.65665099154272388"/>
        </c:manualLayout>
      </c:layout>
      <c:barChart>
        <c:barDir val="bar"/>
        <c:grouping val="clustered"/>
        <c:varyColors val="0"/>
        <c:ser>
          <c:idx val="0"/>
          <c:order val="0"/>
          <c:tx>
            <c:strRef>
              <c:f>Sheet2!$B$2</c:f>
              <c:strCache>
                <c:ptCount val="1"/>
                <c:pt idx="0">
                  <c:v>2020</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Sheet2!$B$3:$B$12</c:f>
              <c:numCache>
                <c:formatCode>_(* #,##0.00_);_(* \(#,##0.00\);_(* "-"??_);_(@_)</c:formatCode>
                <c:ptCount val="10"/>
                <c:pt idx="0">
                  <c:v>1957569.92</c:v>
                </c:pt>
                <c:pt idx="1">
                  <c:v>305969.53999999998</c:v>
                </c:pt>
                <c:pt idx="2">
                  <c:v>459276.5</c:v>
                </c:pt>
                <c:pt idx="3">
                  <c:v>6715.02</c:v>
                </c:pt>
                <c:pt idx="4">
                  <c:v>4332.9400000000005</c:v>
                </c:pt>
                <c:pt idx="5">
                  <c:v>0</c:v>
                </c:pt>
                <c:pt idx="6">
                  <c:v>272688.05</c:v>
                </c:pt>
                <c:pt idx="7">
                  <c:v>144290</c:v>
                </c:pt>
                <c:pt idx="8">
                  <c:v>195370</c:v>
                </c:pt>
                <c:pt idx="9">
                  <c:v>260562.84</c:v>
                </c:pt>
              </c:numCache>
            </c:numRef>
          </c:val>
          <c:extLst>
            <c:ext xmlns:c16="http://schemas.microsoft.com/office/drawing/2014/chart" uri="{C3380CC4-5D6E-409C-BE32-E72D297353CC}">
              <c16:uniqueId val="{00000000-D6DD-4081-9C9B-FE37ADF6D8AA}"/>
            </c:ext>
          </c:extLst>
        </c:ser>
        <c:ser>
          <c:idx val="1"/>
          <c:order val="1"/>
          <c:tx>
            <c:strRef>
              <c:f>Sheet2!$C$2</c:f>
              <c:strCache>
                <c:ptCount val="1"/>
                <c:pt idx="0">
                  <c:v>2021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Sheet2!$C$3:$C$12</c:f>
              <c:numCache>
                <c:formatCode>_(* #,##0.00_);_(* \(#,##0.00\);_(* "-"??_);_(@_)</c:formatCode>
                <c:ptCount val="10"/>
                <c:pt idx="0">
                  <c:v>2230208.9300000002</c:v>
                </c:pt>
                <c:pt idx="1">
                  <c:v>378269.43</c:v>
                </c:pt>
                <c:pt idx="2">
                  <c:v>494253.66</c:v>
                </c:pt>
                <c:pt idx="3">
                  <c:v>44569.68</c:v>
                </c:pt>
                <c:pt idx="4">
                  <c:v>2937.2799999999997</c:v>
                </c:pt>
                <c:pt idx="5">
                  <c:v>10000</c:v>
                </c:pt>
                <c:pt idx="6">
                  <c:v>82248.45</c:v>
                </c:pt>
                <c:pt idx="7">
                  <c:v>206001.03999999998</c:v>
                </c:pt>
                <c:pt idx="8">
                  <c:v>187514</c:v>
                </c:pt>
                <c:pt idx="9">
                  <c:v>334205.98</c:v>
                </c:pt>
              </c:numCache>
            </c:numRef>
          </c:val>
          <c:extLst>
            <c:ext xmlns:c16="http://schemas.microsoft.com/office/drawing/2014/chart" uri="{C3380CC4-5D6E-409C-BE32-E72D297353CC}">
              <c16:uniqueId val="{00000001-D6DD-4081-9C9B-FE37ADF6D8AA}"/>
            </c:ext>
          </c:extLst>
        </c:ser>
        <c:ser>
          <c:idx val="2"/>
          <c:order val="2"/>
          <c:tx>
            <c:strRef>
              <c:f>Sheet2!$D$2</c:f>
              <c:strCache>
                <c:ptCount val="1"/>
                <c:pt idx="0">
                  <c:v>2022</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Sheet2!$D$3:$D$12</c:f>
              <c:numCache>
                <c:formatCode>_(* #,##0.00_);_(* \(#,##0.00\);_(* "-"??_);_(@_)</c:formatCode>
                <c:ptCount val="10"/>
                <c:pt idx="0">
                  <c:v>2721274.36</c:v>
                </c:pt>
                <c:pt idx="1">
                  <c:v>442349.68</c:v>
                </c:pt>
                <c:pt idx="2">
                  <c:v>530267.22</c:v>
                </c:pt>
                <c:pt idx="3">
                  <c:v>44475.56</c:v>
                </c:pt>
                <c:pt idx="4">
                  <c:v>1647.39</c:v>
                </c:pt>
                <c:pt idx="5">
                  <c:v>10000</c:v>
                </c:pt>
                <c:pt idx="6">
                  <c:v>24200</c:v>
                </c:pt>
                <c:pt idx="7">
                  <c:v>214435.89</c:v>
                </c:pt>
                <c:pt idx="8">
                  <c:v>209332</c:v>
                </c:pt>
                <c:pt idx="9">
                  <c:v>373167.76</c:v>
                </c:pt>
              </c:numCache>
            </c:numRef>
          </c:val>
          <c:extLst>
            <c:ext xmlns:c16="http://schemas.microsoft.com/office/drawing/2014/chart" uri="{C3380CC4-5D6E-409C-BE32-E72D297353CC}">
              <c16:uniqueId val="{00000002-D6DD-4081-9C9B-FE37ADF6D8AA}"/>
            </c:ext>
          </c:extLst>
        </c:ser>
        <c:ser>
          <c:idx val="3"/>
          <c:order val="3"/>
          <c:tx>
            <c:strRef>
              <c:f>Sheet2!$E$2</c:f>
              <c:strCache>
                <c:ptCount val="1"/>
                <c:pt idx="0">
                  <c:v>Ukupno</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Sheet2!$E$3:$E$12</c:f>
              <c:numCache>
                <c:formatCode>_(* #,##0.00_);_(* \(#,##0.00\);_(* "-"??_);_(@_)</c:formatCode>
                <c:ptCount val="10"/>
                <c:pt idx="0">
                  <c:v>6909053.21</c:v>
                </c:pt>
                <c:pt idx="1">
                  <c:v>1126588.6499999999</c:v>
                </c:pt>
                <c:pt idx="2">
                  <c:v>1483797.38</c:v>
                </c:pt>
                <c:pt idx="3">
                  <c:v>95760.26</c:v>
                </c:pt>
                <c:pt idx="4">
                  <c:v>8917.61</c:v>
                </c:pt>
                <c:pt idx="5">
                  <c:v>20000</c:v>
                </c:pt>
                <c:pt idx="6">
                  <c:v>379136.5</c:v>
                </c:pt>
                <c:pt idx="7">
                  <c:v>564726.92999999993</c:v>
                </c:pt>
                <c:pt idx="8">
                  <c:v>592216</c:v>
                </c:pt>
                <c:pt idx="9">
                  <c:v>967936.58</c:v>
                </c:pt>
              </c:numCache>
            </c:numRef>
          </c:val>
          <c:extLst>
            <c:ext xmlns:c16="http://schemas.microsoft.com/office/drawing/2014/chart" uri="{C3380CC4-5D6E-409C-BE32-E72D297353CC}">
              <c16:uniqueId val="{00000003-D6DD-4081-9C9B-FE37ADF6D8AA}"/>
            </c:ext>
          </c:extLst>
        </c:ser>
        <c:dLbls>
          <c:showLegendKey val="0"/>
          <c:showVal val="0"/>
          <c:showCatName val="0"/>
          <c:showSerName val="0"/>
          <c:showPercent val="0"/>
          <c:showBubbleSize val="0"/>
        </c:dLbls>
        <c:gapWidth val="100"/>
        <c:axId val="306317344"/>
        <c:axId val="306318520"/>
      </c:barChart>
      <c:catAx>
        <c:axId val="306317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06318520"/>
        <c:crosses val="autoZero"/>
        <c:auto val="1"/>
        <c:lblAlgn val="ctr"/>
        <c:lblOffset val="100"/>
        <c:noMultiLvlLbl val="0"/>
      </c:catAx>
      <c:valAx>
        <c:axId val="306318520"/>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0631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solidFill>
            <a:schemeClr val="tx1"/>
          </a:solidFill>
        </a:ln>
        <a:effectLst>
          <a:outerShdw blurRad="50800" dist="50800" dir="5400000" algn="ctr" rotWithShape="0">
            <a:schemeClr val="tx1"/>
          </a:outerShdw>
        </a:effectLst>
        <a:sp3d>
          <a:contourClr>
            <a:schemeClr val="tx1"/>
          </a:contourClr>
        </a:sp3d>
      </c:spPr>
    </c:sideWall>
    <c:backWall>
      <c:thickness val="0"/>
      <c:spPr>
        <a:noFill/>
        <a:ln>
          <a:solidFill>
            <a:schemeClr val="tx1"/>
          </a:solidFill>
        </a:ln>
        <a:effectLst>
          <a:outerShdw blurRad="50800" dist="50800" dir="5400000" algn="ctr" rotWithShape="0">
            <a:schemeClr val="tx1"/>
          </a:outerShdw>
        </a:effectLst>
        <a:sp3d>
          <a:contourClr>
            <a:schemeClr val="tx1"/>
          </a:contourClr>
        </a:sp3d>
      </c:spPr>
    </c:backWall>
    <c:plotArea>
      <c:layout>
        <c:manualLayout>
          <c:layoutTarget val="inner"/>
          <c:xMode val="edge"/>
          <c:yMode val="edge"/>
          <c:x val="4.1530670735123634E-2"/>
          <c:y val="4.366666666666668E-2"/>
          <c:w val="0.92527962850797496"/>
          <c:h val="0.58072428384138919"/>
        </c:manualLayout>
      </c:layout>
      <c:bar3DChart>
        <c:barDir val="col"/>
        <c:grouping val="clustered"/>
        <c:varyColors val="0"/>
        <c:ser>
          <c:idx val="0"/>
          <c:order val="0"/>
          <c:tx>
            <c:strRef>
              <c:f>Sheet1!$B$1</c:f>
              <c:strCache>
                <c:ptCount val="1"/>
                <c:pt idx="0">
                  <c:v>Column1</c:v>
                </c:pt>
              </c:strCache>
            </c:strRef>
          </c:tx>
          <c:spPr>
            <a:solidFill>
              <a:srgbClr val="70AD47"/>
            </a:solidFill>
            <a:ln>
              <a:noFill/>
            </a:ln>
            <a:effectLst>
              <a:outerShdw blurRad="152400" dist="317500" dir="5400000" sx="90000" sy="-19000" rotWithShape="0">
                <a:prstClr val="black">
                  <a:alpha val="15000"/>
                </a:prstClr>
              </a:outerShdw>
            </a:effectLst>
            <a:sp3d/>
          </c:spPr>
          <c:invertIfNegative val="0"/>
          <c:dPt>
            <c:idx val="0"/>
            <c:invertIfNegative val="0"/>
            <c:bubble3D val="0"/>
            <c:spPr>
              <a:solidFill>
                <a:srgbClr val="70AD47"/>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1-4291-4A34-8DAC-09D613CD8E93}"/>
              </c:ext>
            </c:extLst>
          </c:dPt>
          <c:dPt>
            <c:idx val="1"/>
            <c:invertIfNegative val="0"/>
            <c:bubble3D val="0"/>
            <c:spPr>
              <a:solidFill>
                <a:srgbClr val="4472C4">
                  <a:lumMod val="60000"/>
                  <a:lumOff val="40000"/>
                </a:srgbClr>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3-4291-4A34-8DAC-09D613CD8E93}"/>
              </c:ext>
            </c:extLst>
          </c:dPt>
          <c:dLbls>
            <c:dLbl>
              <c:idx val="0"/>
              <c:layout>
                <c:manualLayout>
                  <c:x val="0"/>
                  <c:y val="0.18743768693918245"/>
                </c:manualLayout>
              </c:layout>
              <c:tx>
                <c:rich>
                  <a:bodyPr/>
                  <a:lstStyle/>
                  <a:p>
                    <a:r>
                      <a:rPr lang="en-US"/>
                      <a:t>31,5%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91-4A34-8DAC-09D613CD8E93}"/>
                </c:ext>
              </c:extLst>
            </c:dLbl>
            <c:dLbl>
              <c:idx val="1"/>
              <c:layout>
                <c:manualLayout>
                  <c:x val="1.6822099365239786E-3"/>
                  <c:y val="0.10975468617603892"/>
                </c:manualLayout>
              </c:layout>
              <c:tx>
                <c:rich>
                  <a:bodyPr/>
                  <a:lstStyle/>
                  <a:p>
                    <a:r>
                      <a:rPr lang="en-US"/>
                      <a:t>29,6%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91-4A34-8DAC-09D613CD8E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Gini koeficijent Crne Gore 2022</c:v>
                </c:pt>
                <c:pt idx="1">
                  <c:v>Gini koeficijent EU 2022</c:v>
                </c:pt>
              </c:strCache>
            </c:strRef>
          </c:cat>
          <c:val>
            <c:numRef>
              <c:f>Sheet1!$B$2:$B$3</c:f>
              <c:numCache>
                <c:formatCode>0.00%</c:formatCode>
                <c:ptCount val="2"/>
                <c:pt idx="0">
                  <c:v>0.315</c:v>
                </c:pt>
                <c:pt idx="1">
                  <c:v>0.29599999999999999</c:v>
                </c:pt>
              </c:numCache>
            </c:numRef>
          </c:val>
          <c:extLst>
            <c:ext xmlns:c16="http://schemas.microsoft.com/office/drawing/2014/chart" uri="{C3380CC4-5D6E-409C-BE32-E72D297353CC}">
              <c16:uniqueId val="{00000004-4291-4A34-8DAC-09D613CD8E93}"/>
            </c:ext>
          </c:extLst>
        </c:ser>
        <c:dLbls>
          <c:showLegendKey val="0"/>
          <c:showVal val="1"/>
          <c:showCatName val="0"/>
          <c:showSerName val="0"/>
          <c:showPercent val="0"/>
          <c:showBubbleSize val="0"/>
        </c:dLbls>
        <c:gapWidth val="150"/>
        <c:shape val="box"/>
        <c:axId val="1881173552"/>
        <c:axId val="1885177760"/>
        <c:axId val="0"/>
      </c:bar3DChart>
      <c:catAx>
        <c:axId val="1881173552"/>
        <c:scaling>
          <c:orientation val="minMax"/>
        </c:scaling>
        <c:delete val="1"/>
        <c:axPos val="b"/>
        <c:majorGridlines>
          <c:spPr>
            <a:ln w="9525" cap="flat" cmpd="sng" algn="ctr">
              <a:solidFill>
                <a:sysClr val="windowText" lastClr="000000"/>
              </a:solidFill>
              <a:round/>
            </a:ln>
            <a:effectLst/>
          </c:spPr>
        </c:majorGridlines>
        <c:numFmt formatCode="General" sourceLinked="1"/>
        <c:majorTickMark val="none"/>
        <c:minorTickMark val="none"/>
        <c:tickLblPos val="nextTo"/>
        <c:crossAx val="1885177760"/>
        <c:crosses val="autoZero"/>
        <c:auto val="1"/>
        <c:lblAlgn val="ctr"/>
        <c:lblOffset val="100"/>
        <c:noMultiLvlLbl val="0"/>
      </c:catAx>
      <c:valAx>
        <c:axId val="1885177760"/>
        <c:scaling>
          <c:orientation val="minMax"/>
        </c:scaling>
        <c:delete val="0"/>
        <c:axPos val="l"/>
        <c:majorGridlines>
          <c:spPr>
            <a:ln w="9525" cap="flat" cmpd="sng" algn="ctr">
              <a:solidFill>
                <a:schemeClr val="tx1"/>
              </a:solidFill>
              <a:round/>
            </a:ln>
            <a:effectLst>
              <a:outerShdw blurRad="469900" dist="406400" dir="10800000" sx="99000" sy="99000" algn="ctr" rotWithShape="0">
                <a:srgbClr val="000000">
                  <a:alpha val="85000"/>
                </a:srgbClr>
              </a:outerShdw>
            </a:effectLst>
          </c:spPr>
        </c:majorGridlines>
        <c:minorGridlines>
          <c:spPr>
            <a:ln>
              <a:solidFill>
                <a:schemeClr val="tx2">
                  <a:lumMod val="5000"/>
                  <a:lumOff val="95000"/>
                </a:schemeClr>
              </a:solidFill>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1881173552"/>
        <c:crosses val="autoZero"/>
        <c:crossBetween val="between"/>
      </c:valAx>
      <c:spPr>
        <a:noFill/>
        <a:ln w="25400">
          <a:noFill/>
        </a:ln>
        <a:effectLst>
          <a:glow rad="609600">
            <a:schemeClr val="tx1">
              <a:alpha val="77000"/>
            </a:schemeClr>
          </a:glow>
        </a:effectLst>
      </c:spPr>
    </c:plotArea>
    <c:legend>
      <c:legendPos val="b"/>
      <c:layout>
        <c:manualLayout>
          <c:xMode val="edge"/>
          <c:yMode val="edge"/>
          <c:x val="0.12055676551069414"/>
          <c:y val="0.81846777026887396"/>
          <c:w val="0.72932931255933442"/>
          <c:h val="0.109756865757633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solidFill>
            <a:schemeClr val="tx1"/>
          </a:solidFill>
        </a:ln>
        <a:effectLst>
          <a:outerShdw blurRad="50800" dist="50800" dir="5400000" algn="ctr" rotWithShape="0">
            <a:schemeClr val="tx1"/>
          </a:outerShdw>
        </a:effectLst>
        <a:sp3d>
          <a:contourClr>
            <a:schemeClr val="tx1"/>
          </a:contourClr>
        </a:sp3d>
      </c:spPr>
    </c:sideWall>
    <c:backWall>
      <c:thickness val="0"/>
      <c:spPr>
        <a:noFill/>
        <a:ln>
          <a:solidFill>
            <a:schemeClr val="tx1"/>
          </a:solidFill>
        </a:ln>
        <a:effectLst>
          <a:outerShdw blurRad="50800" dist="50800" dir="5400000" algn="ctr" rotWithShape="0">
            <a:schemeClr val="tx1"/>
          </a:outerShdw>
        </a:effectLst>
        <a:sp3d>
          <a:contourClr>
            <a:schemeClr val="tx1"/>
          </a:contourClr>
        </a:sp3d>
      </c:spPr>
    </c:backWall>
    <c:plotArea>
      <c:layout>
        <c:manualLayout>
          <c:layoutTarget val="inner"/>
          <c:xMode val="edge"/>
          <c:yMode val="edge"/>
          <c:x val="4.1530670735123634E-2"/>
          <c:y val="4.366666666666668E-2"/>
          <c:w val="0.92527962850797496"/>
          <c:h val="0.58072428384138919"/>
        </c:manualLayout>
      </c:layout>
      <c:bar3DChart>
        <c:barDir val="col"/>
        <c:grouping val="clustered"/>
        <c:varyColors val="0"/>
        <c:ser>
          <c:idx val="0"/>
          <c:order val="0"/>
          <c:tx>
            <c:strRef>
              <c:f>Sheet1!$B$1</c:f>
              <c:strCache>
                <c:ptCount val="1"/>
                <c:pt idx="0">
                  <c:v>Anketa MONSTAT-a o prihodima i Životni uslovi ( decembar 2022.godine)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152400" dist="317500" dir="5400000" sx="90000" sy="-19000" rotWithShape="0">
                <a:prstClr val="black">
                  <a:alpha val="15000"/>
                </a:prstClr>
              </a:outerShdw>
            </a:effectLst>
            <a:sp3d/>
          </c:spPr>
          <c:invertIfNegative val="0"/>
          <c:dPt>
            <c:idx val="0"/>
            <c:invertIfNegative val="0"/>
            <c:bubble3D val="0"/>
            <c:spPr>
              <a:solidFill>
                <a:schemeClr val="accent2"/>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1-E9BF-49C5-B7A4-DEA8FB867A69}"/>
              </c:ext>
            </c:extLst>
          </c:dPt>
          <c:dPt>
            <c:idx val="1"/>
            <c:invertIfNegative val="0"/>
            <c:bubble3D val="0"/>
            <c:spPr>
              <a:solidFill>
                <a:schemeClr val="accent4"/>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3-E9BF-49C5-B7A4-DEA8FB867A69}"/>
              </c:ext>
            </c:extLst>
          </c:dPt>
          <c:dLbls>
            <c:dLbl>
              <c:idx val="0"/>
              <c:layout>
                <c:manualLayout>
                  <c:x val="0"/>
                  <c:y val="0.18743768693918245"/>
                </c:manualLayout>
              </c:layout>
              <c:tx>
                <c:rich>
                  <a:bodyPr/>
                  <a:lstStyle/>
                  <a:p>
                    <a:r>
                      <a:rPr lang="en-US"/>
                      <a:t>34,1%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BF-49C5-B7A4-DEA8FB867A69}"/>
                </c:ext>
              </c:extLst>
            </c:dLbl>
            <c:dLbl>
              <c:idx val="1"/>
              <c:layout>
                <c:manualLayout>
                  <c:x val="6.41025641025641E-3"/>
                  <c:y val="0.16749750747756731"/>
                </c:manualLayout>
              </c:layout>
              <c:tx>
                <c:rich>
                  <a:bodyPr/>
                  <a:lstStyle/>
                  <a:p>
                    <a:r>
                      <a:rPr lang="en-US"/>
                      <a:t>21,6%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F-49C5-B7A4-DEA8FB867A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AROPE Crna Gora 2022</c:v>
                </c:pt>
                <c:pt idx="1">
                  <c:v>AROPE EU</c:v>
                </c:pt>
              </c:strCache>
            </c:strRef>
          </c:cat>
          <c:val>
            <c:numRef>
              <c:f>Sheet1!$B$2:$B$3</c:f>
              <c:numCache>
                <c:formatCode>General</c:formatCode>
                <c:ptCount val="2"/>
                <c:pt idx="0">
                  <c:v>34.1</c:v>
                </c:pt>
                <c:pt idx="1">
                  <c:v>21.6</c:v>
                </c:pt>
              </c:numCache>
            </c:numRef>
          </c:val>
          <c:extLst>
            <c:ext xmlns:c16="http://schemas.microsoft.com/office/drawing/2014/chart" uri="{C3380CC4-5D6E-409C-BE32-E72D297353CC}">
              <c16:uniqueId val="{00000004-E9BF-49C5-B7A4-DEA8FB867A69}"/>
            </c:ext>
          </c:extLst>
        </c:ser>
        <c:dLbls>
          <c:showLegendKey val="0"/>
          <c:showVal val="1"/>
          <c:showCatName val="0"/>
          <c:showSerName val="0"/>
          <c:showPercent val="0"/>
          <c:showBubbleSize val="0"/>
        </c:dLbls>
        <c:gapWidth val="150"/>
        <c:shape val="box"/>
        <c:axId val="1881173552"/>
        <c:axId val="1885177760"/>
        <c:axId val="0"/>
      </c:bar3DChart>
      <c:catAx>
        <c:axId val="1881173552"/>
        <c:scaling>
          <c:orientation val="minMax"/>
        </c:scaling>
        <c:delete val="1"/>
        <c:axPos val="b"/>
        <c:majorGridlines>
          <c:spPr>
            <a:ln w="9525" cap="flat" cmpd="sng" algn="ctr">
              <a:solidFill>
                <a:sysClr val="windowText" lastClr="000000"/>
              </a:solidFill>
              <a:round/>
            </a:ln>
            <a:effectLst/>
          </c:spPr>
        </c:majorGridlines>
        <c:numFmt formatCode="General" sourceLinked="1"/>
        <c:majorTickMark val="none"/>
        <c:minorTickMark val="none"/>
        <c:tickLblPos val="nextTo"/>
        <c:crossAx val="1885177760"/>
        <c:crosses val="autoZero"/>
        <c:auto val="1"/>
        <c:lblAlgn val="ctr"/>
        <c:lblOffset val="100"/>
        <c:noMultiLvlLbl val="0"/>
      </c:catAx>
      <c:valAx>
        <c:axId val="1885177760"/>
        <c:scaling>
          <c:orientation val="minMax"/>
        </c:scaling>
        <c:delete val="0"/>
        <c:axPos val="l"/>
        <c:majorGridlines>
          <c:spPr>
            <a:ln w="9525" cap="flat" cmpd="sng" algn="ctr">
              <a:solidFill>
                <a:schemeClr val="tx1"/>
              </a:solidFill>
              <a:round/>
            </a:ln>
            <a:effectLst>
              <a:outerShdw blurRad="469900" dist="406400" dir="10800000" sx="99000" sy="99000" algn="ctr" rotWithShape="0">
                <a:srgbClr val="000000">
                  <a:alpha val="85000"/>
                </a:srgbClr>
              </a:outerShdw>
            </a:effectLst>
          </c:spPr>
        </c:majorGridlines>
        <c:minorGridlines>
          <c:spPr>
            <a:ln>
              <a:solidFill>
                <a:schemeClr val="tx2">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1881173552"/>
        <c:crosses val="autoZero"/>
        <c:crossBetween val="between"/>
      </c:valAx>
      <c:spPr>
        <a:noFill/>
        <a:ln w="25400">
          <a:noFill/>
        </a:ln>
        <a:effectLst>
          <a:glow rad="609600">
            <a:schemeClr val="tx1">
              <a:alpha val="77000"/>
            </a:schemeClr>
          </a:glow>
        </a:effectLst>
      </c:spPr>
    </c:plotArea>
    <c:legend>
      <c:legendPos val="b"/>
      <c:layout>
        <c:manualLayout>
          <c:xMode val="edge"/>
          <c:yMode val="edge"/>
          <c:x val="0.26902820901330549"/>
          <c:y val="0.81692851385702758"/>
          <c:w val="0.40936734643185374"/>
          <c:h val="8.85832971665943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203210175651122E-2"/>
          <c:y val="0.14096098417145708"/>
          <c:w val="0.75476832222895218"/>
          <c:h val="0.74018852540714009"/>
        </c:manualLayout>
      </c:layout>
      <c:pie3DChart>
        <c:varyColors val="1"/>
        <c:ser>
          <c:idx val="0"/>
          <c:order val="0"/>
          <c:tx>
            <c:strRef>
              <c:f>Sheet1!$B$1</c:f>
              <c:strCache>
                <c:ptCount val="1"/>
                <c:pt idx="0">
                  <c:v>Column1</c:v>
                </c:pt>
              </c:strCache>
            </c:strRef>
          </c:tx>
          <c:dPt>
            <c:idx val="0"/>
            <c:bubble3D val="0"/>
            <c:explosion val="17"/>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D8F-4638-AA5D-74E598B7AE7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D8F-4638-AA5D-74E598B7AE7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D8F-4638-AA5D-74E598B7AE7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D8F-4638-AA5D-74E598B7AE7F}"/>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016770A9-A085-4971-B3FB-911D449895EC}" type="PERCENTAGE">
                      <a:rPr lang="en-US" baseline="0"/>
                      <a:pPr>
                        <a:defRPr/>
                      </a:pPr>
                      <a:t>[PERCENTAGE]</a:t>
                    </a:fld>
                    <a:endParaRPr lang="en-US" baseline="0"/>
                  </a:p>
                </c:rich>
              </c:tx>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8F-4638-AA5D-74E598B7AE7F}"/>
                </c:ext>
              </c:extLst>
            </c:dLbl>
            <c:dLbl>
              <c:idx val="1"/>
              <c:tx>
                <c:rich>
                  <a:bodyPr/>
                  <a:lstStyle/>
                  <a:p>
                    <a:r>
                      <a:rPr lang="en-US" baseline="0"/>
                      <a:t>
</a:t>
                    </a:r>
                    <a:fld id="{B0B675F4-A40F-4DE8-883B-73F831C3D2AA}" type="PERCENTAGE">
                      <a:rPr lang="en-US" baseline="0"/>
                      <a:pPr/>
                      <a:t>[PERCENTAGE]</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8F-4638-AA5D-74E598B7AE7F}"/>
                </c:ext>
              </c:extLst>
            </c:dLbl>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BDP</c:v>
                </c:pt>
                <c:pt idx="1">
                  <c:v>Izdaci budžeta</c:v>
                </c:pt>
              </c:strCache>
            </c:strRef>
          </c:cat>
          <c:val>
            <c:numRef>
              <c:f>Sheet1!$B$2:$B$5</c:f>
              <c:numCache>
                <c:formatCode>0.00%</c:formatCode>
                <c:ptCount val="4"/>
                <c:pt idx="0">
                  <c:v>0.61399999999999999</c:v>
                </c:pt>
                <c:pt idx="1">
                  <c:v>0.38600000000000001</c:v>
                </c:pt>
              </c:numCache>
            </c:numRef>
          </c:val>
          <c:extLst>
            <c:ext xmlns:c16="http://schemas.microsoft.com/office/drawing/2014/chart" uri="{C3380CC4-5D6E-409C-BE32-E72D297353CC}">
              <c16:uniqueId val="{00000008-7D8F-4638-AA5D-74E598B7AE7F}"/>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2"/>
        <c:delete val="1"/>
      </c:legendEntry>
      <c:legendEntry>
        <c:idx val="3"/>
        <c:delete val="1"/>
      </c:legendEntry>
      <c:layout>
        <c:manualLayout>
          <c:xMode val="edge"/>
          <c:yMode val="edge"/>
          <c:x val="0.77519920586849733"/>
          <c:y val="0.40091239891963082"/>
          <c:w val="0.14574096507167375"/>
          <c:h val="0.1400715344281902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008547008547008E-2"/>
          <c:y val="0"/>
          <c:w val="0.55341039100881617"/>
          <c:h val="0.89814814814814814"/>
        </c:manualLayout>
      </c:layout>
      <c:pie3DChart>
        <c:varyColors val="1"/>
        <c:ser>
          <c:idx val="0"/>
          <c:order val="0"/>
          <c:tx>
            <c:strRef>
              <c:f>Sheet1!$B$1</c:f>
              <c:strCache>
                <c:ptCount val="1"/>
                <c:pt idx="0">
                  <c:v>Sales</c:v>
                </c:pt>
              </c:strCache>
            </c:strRef>
          </c:tx>
          <c:explosion val="22"/>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B12-4AD8-BA77-842D15D1D83F}"/>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B12-4AD8-BA77-842D15D1D83F}"/>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B12-4AD8-BA77-842D15D1D83F}"/>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C1A4CF3A-CB87-459C-B7A8-20000BC9FD70}" type="PERCENTAGE">
                      <a:rPr lang="en-US"/>
                      <a:pPr>
                        <a:defRPr/>
                      </a:pPr>
                      <a:t>[PERCENTAGE]</a:t>
                    </a:fld>
                    <a:r>
                      <a:rPr lang="en-US"/>
                      <a:t>
</a:t>
                    </a:r>
                  </a:p>
                </c:rich>
              </c:tx>
              <c:spPr>
                <a:solidFill>
                  <a:schemeClr val="accent6"/>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BB12-4AD8-BA77-842D15D1D83F}"/>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BC42BBE-7DE8-4E24-8558-40DDB4928175}" type="PERCENTAGE">
                      <a:rPr lang="en-US"/>
                      <a:pPr>
                        <a:defRPr/>
                      </a:pPr>
                      <a:t>[PERCENTAGE]</a:t>
                    </a:fld>
                    <a:r>
                      <a:rPr lang="en-US"/>
                      <a:t>
</a:t>
                    </a:r>
                  </a:p>
                </c:rich>
              </c:tx>
              <c:spPr>
                <a:solidFill>
                  <a:schemeClr val="accent5"/>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BB12-4AD8-BA77-842D15D1D83F}"/>
                </c:ext>
              </c:extLst>
            </c:dLbl>
            <c:dLbl>
              <c:idx val="2"/>
              <c:tx>
                <c:rich>
                  <a:bodyPr/>
                  <a:lstStyle/>
                  <a:p>
                    <a:r>
                      <a:rPr lang="en-US"/>
                      <a:t>
</a:t>
                    </a:r>
                    <a:fld id="{5D0BA806-D9DD-484D-B026-6B4268D76B20}" type="PERCENTAGE">
                      <a:rPr lang="en-US"/>
                      <a:pPr/>
                      <a:t>[PERCENTAGE]</a:t>
                    </a:fld>
                    <a:endParaRPr lang="en-US"/>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B12-4AD8-BA77-842D15D1D83F}"/>
                </c:ext>
              </c:extLst>
            </c:dLbl>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2"/>
                <c:pt idx="0">
                  <c:v>Izdaci budžeta</c:v>
                </c:pt>
                <c:pt idx="1">
                  <c:v>Transferi za socijalnu zaštitu, institucijama, pojedincima, nevladinom i javnom sektoru</c:v>
                </c:pt>
              </c:strCache>
            </c:strRef>
          </c:cat>
          <c:val>
            <c:numRef>
              <c:f>Sheet1!$B$2:$B$4</c:f>
              <c:numCache>
                <c:formatCode>0.00%</c:formatCode>
                <c:ptCount val="3"/>
                <c:pt idx="0" formatCode="0%">
                  <c:v>0.81799999999999995</c:v>
                </c:pt>
                <c:pt idx="1">
                  <c:v>0.182</c:v>
                </c:pt>
              </c:numCache>
            </c:numRef>
          </c:val>
          <c:extLst>
            <c:ext xmlns:c16="http://schemas.microsoft.com/office/drawing/2014/chart" uri="{C3380CC4-5D6E-409C-BE32-E72D297353CC}">
              <c16:uniqueId val="{00000006-BB12-4AD8-BA77-842D15D1D83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28808744585939"/>
          <c:w val="0.87518727906175442"/>
          <c:h val="0.79711912554140596"/>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82D-47B2-8D83-3CD5A0DDA2C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82D-47B2-8D83-3CD5A0DDA2C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82D-47B2-8D83-3CD5A0DDA2C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82D-47B2-8D83-3CD5A0DDA2C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82D-47B2-8D83-3CD5A0DDA2C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82D-47B2-8D83-3CD5A0DDA2C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882D-47B2-8D83-3CD5A0DDA2C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882D-47B2-8D83-3CD5A0DDA2C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882D-47B2-8D83-3CD5A0DDA2C2}"/>
              </c:ext>
            </c:extLst>
          </c:dPt>
          <c:dLbls>
            <c:dLbl>
              <c:idx val="0"/>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1-882D-47B2-8D83-3CD5A0DDA2C2}"/>
                </c:ext>
              </c:extLst>
            </c:dLbl>
            <c:dLbl>
              <c:idx val="1"/>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3-882D-47B2-8D83-3CD5A0DDA2C2}"/>
                </c:ext>
              </c:extLst>
            </c:dLbl>
            <c:dLbl>
              <c:idx val="2"/>
              <c:spPr>
                <a:solidFill>
                  <a:schemeClr val="accent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5-882D-47B2-8D83-3CD5A0DDA2C2}"/>
                </c:ext>
              </c:extLst>
            </c:dLbl>
            <c:dLbl>
              <c:idx val="4"/>
              <c:spPr>
                <a:solidFill>
                  <a:schemeClr val="accent5"/>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9-882D-47B2-8D83-3CD5A0DDA2C2}"/>
                </c:ext>
              </c:extLst>
            </c:dLbl>
            <c:dLbl>
              <c:idx val="5"/>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B-882D-47B2-8D83-3CD5A0DDA2C2}"/>
                </c:ext>
              </c:extLst>
            </c:dLbl>
            <c:dLbl>
              <c:idx val="6"/>
              <c:layout>
                <c:manualLayout>
                  <c:x val="1.5811840375706682E-2"/>
                  <c:y val="0.12453171748593155"/>
                </c:manualLayout>
              </c:layout>
              <c:spPr>
                <a:solidFill>
                  <a:srgbClr val="002060"/>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82D-47B2-8D83-3CD5A0DDA2C2}"/>
                </c:ext>
              </c:extLst>
            </c:dLbl>
            <c:dLbl>
              <c:idx val="7"/>
              <c:delete val="1"/>
              <c:extLst>
                <c:ext xmlns:c15="http://schemas.microsoft.com/office/drawing/2012/chart" uri="{CE6537A1-D6FC-4f65-9D91-7224C49458BB}"/>
                <c:ext xmlns:c16="http://schemas.microsoft.com/office/drawing/2014/chart" uri="{C3380CC4-5D6E-409C-BE32-E72D297353CC}">
                  <c16:uniqueId val="{0000000F-882D-47B2-8D83-3CD5A0DDA2C2}"/>
                </c:ext>
              </c:extLst>
            </c:dLbl>
            <c:dLbl>
              <c:idx val="8"/>
              <c:delete val="1"/>
              <c:extLst>
                <c:ext xmlns:c15="http://schemas.microsoft.com/office/drawing/2012/chart" uri="{CE6537A1-D6FC-4f65-9D91-7224C49458BB}"/>
                <c:ext xmlns:c16="http://schemas.microsoft.com/office/drawing/2014/chart" uri="{C3380CC4-5D6E-409C-BE32-E72D297353CC}">
                  <c16:uniqueId val="{00000011-882D-47B2-8D83-3CD5A0DDA2C2}"/>
                </c:ext>
              </c:extLst>
            </c:dLbl>
            <c:spPr>
              <a:solidFill>
                <a:schemeClr val="accent4"/>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Sheet1!$A$2:$A$10</c:f>
              <c:strCache>
                <c:ptCount val="7"/>
                <c:pt idx="0">
                  <c:v>Tjelesni invaliditet</c:v>
                </c:pt>
                <c:pt idx="1">
                  <c:v>Senzorni invaliditet</c:v>
                </c:pt>
                <c:pt idx="2">
                  <c:v>Intelektualne teškoće</c:v>
                </c:pt>
                <c:pt idx="3">
                  <c:v>Mentalne teškoće</c:v>
                </c:pt>
                <c:pt idx="4">
                  <c:v>Višestruke teškoće</c:v>
                </c:pt>
                <c:pt idx="5">
                  <c:v>Nema senzorni invaliditet, mentalne i intelektualne teškoće</c:v>
                </c:pt>
                <c:pt idx="6">
                  <c:v>Drugo</c:v>
                </c:pt>
              </c:strCache>
            </c:strRef>
          </c:cat>
          <c:val>
            <c:numRef>
              <c:f>Sheet1!$B$2:$B$10</c:f>
              <c:numCache>
                <c:formatCode>0.0%</c:formatCode>
                <c:ptCount val="9"/>
                <c:pt idx="0" formatCode="0.00%">
                  <c:v>0.15890000000000001</c:v>
                </c:pt>
                <c:pt idx="1">
                  <c:v>5.3800000000000001E-2</c:v>
                </c:pt>
                <c:pt idx="2">
                  <c:v>6.9699999999999998E-2</c:v>
                </c:pt>
                <c:pt idx="3">
                  <c:v>0.26529999999999998</c:v>
                </c:pt>
                <c:pt idx="4">
                  <c:v>0.187</c:v>
                </c:pt>
                <c:pt idx="5">
                  <c:v>0.22620000000000001</c:v>
                </c:pt>
                <c:pt idx="6">
                  <c:v>3.5499999999999997E-2</c:v>
                </c:pt>
              </c:numCache>
            </c:numRef>
          </c:val>
          <c:extLst>
            <c:ext xmlns:c16="http://schemas.microsoft.com/office/drawing/2014/chart" uri="{C3380CC4-5D6E-409C-BE32-E72D297353CC}">
              <c16:uniqueId val="{00000012-882D-47B2-8D83-3CD5A0DDA2C2}"/>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7"/>
        <c:delete val="1"/>
      </c:legendEntry>
      <c:legendEntry>
        <c:idx val="8"/>
        <c:delete val="1"/>
      </c:legendEntry>
      <c:layout>
        <c:manualLayout>
          <c:xMode val="edge"/>
          <c:yMode val="edge"/>
          <c:x val="0.69798576636591414"/>
          <c:y val="4.3205772117991426E-2"/>
          <c:w val="0.28904826929048782"/>
          <c:h val="0.935535897518982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325257419745675E-3"/>
          <c:y val="0.11054303846347563"/>
          <c:w val="0.90251362810417923"/>
          <c:h val="0.88945696153652432"/>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7B6-47AF-A756-A0246C34C13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7B6-47AF-A756-A0246C34C13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7B6-47AF-A756-A0246C34C13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7B6-47AF-A756-A0246C34C13B}"/>
              </c:ext>
            </c:extLst>
          </c:dPt>
          <c:dPt>
            <c:idx val="4"/>
            <c:bubble3D val="0"/>
            <c:spPr>
              <a:solidFill>
                <a:srgbClr val="FF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7B6-47AF-A756-A0246C34C13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7B6-47AF-A756-A0246C34C1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7DC73046-2CAC-4FCF-85C2-82371449A81B}" type="PERCENTAGE">
                      <a:rPr lang="en-US" baseline="0"/>
                      <a:pPr>
                        <a:defRPr/>
                      </a:pPr>
                      <a:t>[PERCENTAGE]</a:t>
                    </a:fld>
                    <a:endParaRPr lang="en-US" baseline="0"/>
                  </a:p>
                </c:rich>
              </c:tx>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B6-47AF-A756-A0246C34C13B}"/>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C8170977-35EB-45F6-83E6-04DFDD238254}" type="PERCENTAGE">
                      <a:rPr lang="en-US" baseline="0"/>
                      <a:pPr>
                        <a:defRPr/>
                      </a:pPr>
                      <a:t>[PERCENTAGE]</a:t>
                    </a:fld>
                    <a:endParaRPr lang="en-US" baseline="0"/>
                  </a:p>
                </c:rich>
              </c:tx>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B6-47AF-A756-A0246C34C13B}"/>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1C0AE2EC-37E5-4DA0-BA4C-7B001EC27BF4}" type="PERCENTAGE">
                      <a:rPr lang="en-US" baseline="0"/>
                      <a:pPr>
                        <a:defRPr/>
                      </a:pPr>
                      <a:t>[PERCENTAGE]</a:t>
                    </a:fld>
                    <a:endParaRPr lang="en-US" baseline="0"/>
                  </a:p>
                </c:rich>
              </c:tx>
              <c:spPr>
                <a:solidFill>
                  <a:schemeClr val="accent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B6-47AF-A756-A0246C34C13B}"/>
                </c:ext>
              </c:extLst>
            </c:dLbl>
            <c:dLbl>
              <c:idx val="3"/>
              <c:layout>
                <c:manualLayout>
                  <c:x val="4.8054882562756501E-2"/>
                  <c:y val="-0.1942430703624733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8A3ED2F9-AA14-4CDE-84E5-70BAD6C419CC}" type="PERCENTAGE">
                      <a:rPr lang="en-US" baseline="0"/>
                      <a:pPr>
                        <a:defRPr/>
                      </a:pPr>
                      <a:t>[PERCENTAGE]</a:t>
                    </a:fld>
                    <a:endParaRPr lang="en-US" baseline="0"/>
                  </a:p>
                </c:rich>
              </c:tx>
              <c:spPr>
                <a:solidFill>
                  <a:schemeClr val="accent4"/>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7B6-47AF-A756-A0246C34C13B}"/>
                </c:ext>
              </c:extLst>
            </c:dLbl>
            <c:dLbl>
              <c:idx val="4"/>
              <c:layout>
                <c:manualLayout>
                  <c:x val="1.3888888888888892E-2"/>
                  <c:y val="-5.5970149253731352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1000" baseline="0"/>
                      <a:t>0,16%</a:t>
                    </a:r>
                  </a:p>
                </c:rich>
              </c:tx>
              <c:spPr>
                <a:solidFill>
                  <a:srgbClr val="FF0000"/>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layout>
                    <c:manualLayout>
                      <c:w val="6.6410256410256413E-2"/>
                      <c:h val="6.0820895522388056E-2"/>
                    </c:manualLayout>
                  </c15:layout>
                </c:ext>
                <c:ext xmlns:c16="http://schemas.microsoft.com/office/drawing/2014/chart" uri="{C3380CC4-5D6E-409C-BE32-E72D297353CC}">
                  <c16:uniqueId val="{00000009-87B6-47AF-A756-A0246C34C13B}"/>
                </c:ext>
              </c:extLst>
            </c:dLbl>
            <c:dLbl>
              <c:idx val="5"/>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CAD96877-9CCC-45E1-B357-51BD85B9BB06}" type="PERCENTAGE">
                      <a:rPr lang="en-US" baseline="0"/>
                      <a:pPr>
                        <a:defRPr/>
                      </a:pPr>
                      <a:t>[PERCENTAGE]</a:t>
                    </a:fld>
                    <a:endParaRPr lang="en-US" baseline="0"/>
                  </a:p>
                </c:rich>
              </c:tx>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7B6-47AF-A756-A0246C34C13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Sheet1!$A$2:$A$7</c:f>
              <c:strCache>
                <c:ptCount val="6"/>
                <c:pt idx="0">
                  <c:v>Ustanove za smještaj</c:v>
                </c:pt>
                <c:pt idx="1">
                  <c:v>Dnevni boravci</c:v>
                </c:pt>
                <c:pt idx="2">
                  <c:v>Pomoć u kući</c:v>
                </c:pt>
                <c:pt idx="3">
                  <c:v>Žrtve nasilja</c:v>
                </c:pt>
                <c:pt idx="4">
                  <c:v>Personalna asistencija</c:v>
                </c:pt>
                <c:pt idx="5">
                  <c:v>Porodični smještaj</c:v>
                </c:pt>
              </c:strCache>
            </c:strRef>
          </c:cat>
          <c:val>
            <c:numRef>
              <c:f>Sheet1!$B$2:$B$7</c:f>
              <c:numCache>
                <c:formatCode>0%</c:formatCode>
                <c:ptCount val="6"/>
                <c:pt idx="0">
                  <c:v>0.28910000000000002</c:v>
                </c:pt>
                <c:pt idx="1">
                  <c:v>0.16139999999999999</c:v>
                </c:pt>
                <c:pt idx="2">
                  <c:v>8.7599999999999997E-2</c:v>
                </c:pt>
                <c:pt idx="3">
                  <c:v>5.6000000000000001E-2</c:v>
                </c:pt>
                <c:pt idx="4">
                  <c:v>1.6000000000000001E-3</c:v>
                </c:pt>
                <c:pt idx="5" formatCode="0.00%">
                  <c:v>0.40429999999999999</c:v>
                </c:pt>
              </c:numCache>
            </c:numRef>
          </c:val>
          <c:extLst>
            <c:ext xmlns:c16="http://schemas.microsoft.com/office/drawing/2014/chart" uri="{C3380CC4-5D6E-409C-BE32-E72D297353CC}">
              <c16:uniqueId val="{0000000C-87B6-47AF-A756-A0246C34C13B}"/>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91E850-36FC-4840-816D-2D753CC8A7FD}" type="doc">
      <dgm:prSet loTypeId="urn:microsoft.com/office/officeart/2005/8/layout/radial6" loCatId="cycle" qsTypeId="urn:microsoft.com/office/officeart/2005/8/quickstyle/3d2" qsCatId="3D" csTypeId="urn:microsoft.com/office/officeart/2005/8/colors/colorful1" csCatId="colorful" phldr="1"/>
      <dgm:spPr/>
      <dgm:t>
        <a:bodyPr/>
        <a:lstStyle/>
        <a:p>
          <a:endParaRPr lang="sr-Latn-ME"/>
        </a:p>
      </dgm:t>
    </dgm:pt>
    <dgm:pt modelId="{EE4A17C3-3960-49D3-A7CD-2C8F61A7B328}">
      <dgm:prSet phldrT="[Text]"/>
      <dgm:spPr/>
      <dgm:t>
        <a:bodyPr/>
        <a:lstStyle/>
        <a:p>
          <a:r>
            <a:rPr lang="en-GB"/>
            <a:t>Reformski procesi</a:t>
          </a:r>
          <a:endParaRPr lang="sr-Latn-ME"/>
        </a:p>
      </dgm:t>
    </dgm:pt>
    <dgm:pt modelId="{B9F2CE61-00E2-4DA2-BE99-0F03A7231826}" type="parTrans" cxnId="{0464D458-1960-4968-8CBD-CBC7505EBB5D}">
      <dgm:prSet/>
      <dgm:spPr/>
      <dgm:t>
        <a:bodyPr/>
        <a:lstStyle/>
        <a:p>
          <a:endParaRPr lang="sr-Latn-ME"/>
        </a:p>
      </dgm:t>
    </dgm:pt>
    <dgm:pt modelId="{643A5A83-511F-494D-BA32-6324ECE41D30}" type="sibTrans" cxnId="{0464D458-1960-4968-8CBD-CBC7505EBB5D}">
      <dgm:prSet/>
      <dgm:spPr/>
      <dgm:t>
        <a:bodyPr/>
        <a:lstStyle/>
        <a:p>
          <a:endParaRPr lang="sr-Latn-ME"/>
        </a:p>
      </dgm:t>
    </dgm:pt>
    <dgm:pt modelId="{1E8A251C-D349-4449-A6E7-F76132BB3C18}">
      <dgm:prSet phldrT="[Text]" custT="1"/>
      <dgm:spPr/>
      <dgm:t>
        <a:bodyPr/>
        <a:lstStyle/>
        <a:p>
          <a:r>
            <a:rPr lang="en-GB" sz="900"/>
            <a:t>Preve</a:t>
          </a:r>
          <a:r>
            <a:rPr lang="sr-Latn-ME" sz="900"/>
            <a:t>n</a:t>
          </a:r>
          <a:r>
            <a:rPr lang="en-GB" sz="900"/>
            <a:t>cija institucionalizacije i deinstitucionalizacija</a:t>
          </a:r>
          <a:endParaRPr lang="sr-Latn-ME" sz="900"/>
        </a:p>
      </dgm:t>
    </dgm:pt>
    <dgm:pt modelId="{E573C10F-BC1D-4332-9468-AA70FEF7347C}" type="parTrans" cxnId="{52BF7E44-D20E-4440-A215-0ACBD78AC48C}">
      <dgm:prSet/>
      <dgm:spPr/>
      <dgm:t>
        <a:bodyPr/>
        <a:lstStyle/>
        <a:p>
          <a:endParaRPr lang="sr-Latn-ME"/>
        </a:p>
      </dgm:t>
    </dgm:pt>
    <dgm:pt modelId="{E2A60DD0-1D86-4603-A2F2-619671278237}" type="sibTrans" cxnId="{52BF7E44-D20E-4440-A215-0ACBD78AC48C}">
      <dgm:prSet/>
      <dgm:spPr/>
      <dgm:t>
        <a:bodyPr/>
        <a:lstStyle/>
        <a:p>
          <a:endParaRPr lang="sr-Latn-ME"/>
        </a:p>
      </dgm:t>
    </dgm:pt>
    <dgm:pt modelId="{090878B3-AB77-4DED-A17B-39454491DE1B}">
      <dgm:prSet phldrT="[Text]" custT="1"/>
      <dgm:spPr/>
      <dgm:t>
        <a:bodyPr/>
        <a:lstStyle/>
        <a:p>
          <a:r>
            <a:rPr lang="sr-Latn-ME" sz="900"/>
            <a:t>Decenetralizovano pružanje usluga u zajednici</a:t>
          </a:r>
        </a:p>
      </dgm:t>
    </dgm:pt>
    <dgm:pt modelId="{574D6AFC-6331-4FA1-AA52-8CFFFDE1A51D}" type="parTrans" cxnId="{6BB36F4A-3016-4FBF-AE0F-B6E1BA0E95D1}">
      <dgm:prSet/>
      <dgm:spPr/>
      <dgm:t>
        <a:bodyPr/>
        <a:lstStyle/>
        <a:p>
          <a:endParaRPr lang="sr-Latn-ME"/>
        </a:p>
      </dgm:t>
    </dgm:pt>
    <dgm:pt modelId="{CD4A128F-980D-49D8-8B1C-2D6A602C1A8D}" type="sibTrans" cxnId="{6BB36F4A-3016-4FBF-AE0F-B6E1BA0E95D1}">
      <dgm:prSet/>
      <dgm:spPr/>
      <dgm:t>
        <a:bodyPr/>
        <a:lstStyle/>
        <a:p>
          <a:endParaRPr lang="sr-Latn-ME"/>
        </a:p>
      </dgm:t>
    </dgm:pt>
    <dgm:pt modelId="{C219F121-3F02-4DBA-B0AD-55B863148E3C}">
      <dgm:prSet phldrT="[Text]" custT="1"/>
      <dgm:spPr/>
      <dgm:t>
        <a:bodyPr/>
        <a:lstStyle/>
        <a:p>
          <a:r>
            <a:rPr lang="sr-Latn-ME" sz="900"/>
            <a:t>Holističko-integrativni pristup u radu s korisnicima  </a:t>
          </a:r>
        </a:p>
      </dgm:t>
    </dgm:pt>
    <dgm:pt modelId="{5A4695DF-825D-4A48-8392-4631FD2AF2D7}" type="parTrans" cxnId="{7071018F-D42E-42B7-9E26-CEF64A769E70}">
      <dgm:prSet/>
      <dgm:spPr/>
      <dgm:t>
        <a:bodyPr/>
        <a:lstStyle/>
        <a:p>
          <a:endParaRPr lang="sr-Latn-ME"/>
        </a:p>
      </dgm:t>
    </dgm:pt>
    <dgm:pt modelId="{51959F1D-6244-4BC1-9D7F-DDF734FB9191}" type="sibTrans" cxnId="{7071018F-D42E-42B7-9E26-CEF64A769E70}">
      <dgm:prSet/>
      <dgm:spPr/>
      <dgm:t>
        <a:bodyPr/>
        <a:lstStyle/>
        <a:p>
          <a:endParaRPr lang="sr-Latn-ME"/>
        </a:p>
      </dgm:t>
    </dgm:pt>
    <dgm:pt modelId="{EFBFDAF6-E1C2-46D1-9A16-77EF487D8DA8}">
      <dgm:prSet phldrT="[Text]" custT="1"/>
      <dgm:spPr/>
      <dgm:t>
        <a:bodyPr/>
        <a:lstStyle/>
        <a:p>
          <a:pPr algn="ctr"/>
          <a:r>
            <a:rPr lang="en-GB" sz="800"/>
            <a:t>Za</a:t>
          </a:r>
          <a:r>
            <a:rPr lang="sr-Latn-ME" sz="800"/>
            <a:t>š</a:t>
          </a:r>
          <a:r>
            <a:rPr lang="en-GB" sz="800"/>
            <a:t>tita ljudskih prava i dru</a:t>
          </a:r>
          <a:r>
            <a:rPr lang="sr-Latn-ME" sz="800"/>
            <a:t>štvene uključenosti korisnika obuhvaćenih pravima i uslugama</a:t>
          </a:r>
        </a:p>
      </dgm:t>
    </dgm:pt>
    <dgm:pt modelId="{FA269641-D696-4D86-9333-E22A6B442B92}" type="parTrans" cxnId="{FBCC39E3-1815-4855-8BA3-9D5BE49C8696}">
      <dgm:prSet/>
      <dgm:spPr/>
      <dgm:t>
        <a:bodyPr/>
        <a:lstStyle/>
        <a:p>
          <a:endParaRPr lang="sr-Latn-ME"/>
        </a:p>
      </dgm:t>
    </dgm:pt>
    <dgm:pt modelId="{BF4C9487-E46B-4925-8B4C-0F9FB8A0E26E}" type="sibTrans" cxnId="{FBCC39E3-1815-4855-8BA3-9D5BE49C8696}">
      <dgm:prSet/>
      <dgm:spPr/>
      <dgm:t>
        <a:bodyPr/>
        <a:lstStyle/>
        <a:p>
          <a:endParaRPr lang="sr-Latn-ME"/>
        </a:p>
      </dgm:t>
    </dgm:pt>
    <dgm:pt modelId="{8BBB99D7-2BE7-4C37-A17F-7270C8163C2B}" type="pres">
      <dgm:prSet presAssocID="{2191E850-36FC-4840-816D-2D753CC8A7FD}" presName="Name0" presStyleCnt="0">
        <dgm:presLayoutVars>
          <dgm:chMax val="1"/>
          <dgm:dir/>
          <dgm:animLvl val="ctr"/>
          <dgm:resizeHandles val="exact"/>
        </dgm:presLayoutVars>
      </dgm:prSet>
      <dgm:spPr/>
      <dgm:t>
        <a:bodyPr/>
        <a:lstStyle/>
        <a:p>
          <a:endParaRPr lang="en-US"/>
        </a:p>
      </dgm:t>
    </dgm:pt>
    <dgm:pt modelId="{4B30F2E3-90ED-4962-AE7A-41E3A688CCBA}" type="pres">
      <dgm:prSet presAssocID="{EE4A17C3-3960-49D3-A7CD-2C8F61A7B328}" presName="centerShape" presStyleLbl="node0" presStyleIdx="0" presStyleCnt="1" custScaleX="121755" custScaleY="118855" custLinFactNeighborX="1483" custLinFactNeighborY="232"/>
      <dgm:spPr/>
      <dgm:t>
        <a:bodyPr/>
        <a:lstStyle/>
        <a:p>
          <a:endParaRPr lang="en-US"/>
        </a:p>
      </dgm:t>
    </dgm:pt>
    <dgm:pt modelId="{1DC3A5DE-6D8B-4996-84E4-2DC72F933150}" type="pres">
      <dgm:prSet presAssocID="{1E8A251C-D349-4449-A6E7-F76132BB3C18}" presName="node" presStyleLbl="node1" presStyleIdx="0" presStyleCnt="4" custScaleX="191862" custScaleY="113258" custRadScaleRad="82044" custRadScaleInc="859">
        <dgm:presLayoutVars>
          <dgm:bulletEnabled val="1"/>
        </dgm:presLayoutVars>
      </dgm:prSet>
      <dgm:spPr/>
      <dgm:t>
        <a:bodyPr/>
        <a:lstStyle/>
        <a:p>
          <a:endParaRPr lang="en-US"/>
        </a:p>
      </dgm:t>
    </dgm:pt>
    <dgm:pt modelId="{DC259300-EB9B-4D69-BFFB-5A67A16EC48F}" type="pres">
      <dgm:prSet presAssocID="{1E8A251C-D349-4449-A6E7-F76132BB3C18}" presName="dummy" presStyleCnt="0"/>
      <dgm:spPr/>
    </dgm:pt>
    <dgm:pt modelId="{3DAD069E-3100-4872-A0B8-81F6A81067AE}" type="pres">
      <dgm:prSet presAssocID="{E2A60DD0-1D86-4603-A2F2-619671278237}" presName="sibTrans" presStyleLbl="sibTrans2D1" presStyleIdx="0" presStyleCnt="4" custScaleX="96098" custScaleY="103686"/>
      <dgm:spPr/>
      <dgm:t>
        <a:bodyPr/>
        <a:lstStyle/>
        <a:p>
          <a:endParaRPr lang="en-US"/>
        </a:p>
      </dgm:t>
    </dgm:pt>
    <dgm:pt modelId="{490AEF4D-4035-4794-93FB-CE51EA5C01A2}" type="pres">
      <dgm:prSet presAssocID="{090878B3-AB77-4DED-A17B-39454491DE1B}" presName="node" presStyleLbl="node1" presStyleIdx="1" presStyleCnt="4" custScaleX="184401" custScaleY="121591" custRadScaleRad="109182" custRadScaleInc="-6155">
        <dgm:presLayoutVars>
          <dgm:bulletEnabled val="1"/>
        </dgm:presLayoutVars>
      </dgm:prSet>
      <dgm:spPr/>
      <dgm:t>
        <a:bodyPr/>
        <a:lstStyle/>
        <a:p>
          <a:endParaRPr lang="en-US"/>
        </a:p>
      </dgm:t>
    </dgm:pt>
    <dgm:pt modelId="{898E323B-F63E-4847-90F1-F27CE6F23033}" type="pres">
      <dgm:prSet presAssocID="{090878B3-AB77-4DED-A17B-39454491DE1B}" presName="dummy" presStyleCnt="0"/>
      <dgm:spPr/>
    </dgm:pt>
    <dgm:pt modelId="{F664AEA3-8BA2-47A7-8505-99392488E7B0}" type="pres">
      <dgm:prSet presAssocID="{CD4A128F-980D-49D8-8B1C-2D6A602C1A8D}" presName="sibTrans" presStyleLbl="sibTrans2D1" presStyleIdx="1" presStyleCnt="4" custScaleX="90152" custScaleY="92484"/>
      <dgm:spPr/>
      <dgm:t>
        <a:bodyPr/>
        <a:lstStyle/>
        <a:p>
          <a:endParaRPr lang="en-US"/>
        </a:p>
      </dgm:t>
    </dgm:pt>
    <dgm:pt modelId="{044881F1-03D3-4D09-93E2-2AC9A37985D6}" type="pres">
      <dgm:prSet presAssocID="{C219F121-3F02-4DBA-B0AD-55B863148E3C}" presName="node" presStyleLbl="node1" presStyleIdx="2" presStyleCnt="4" custScaleX="199734" custScaleY="115074" custRadScaleRad="83178" custRadScaleInc="-10667">
        <dgm:presLayoutVars>
          <dgm:bulletEnabled val="1"/>
        </dgm:presLayoutVars>
      </dgm:prSet>
      <dgm:spPr/>
      <dgm:t>
        <a:bodyPr/>
        <a:lstStyle/>
        <a:p>
          <a:endParaRPr lang="en-US"/>
        </a:p>
      </dgm:t>
    </dgm:pt>
    <dgm:pt modelId="{C635B8D9-A92F-434C-A881-0ACAB109E7A9}" type="pres">
      <dgm:prSet presAssocID="{C219F121-3F02-4DBA-B0AD-55B863148E3C}" presName="dummy" presStyleCnt="0"/>
      <dgm:spPr/>
    </dgm:pt>
    <dgm:pt modelId="{B065F1A5-DB40-4157-A2E5-333F83D0D2D8}" type="pres">
      <dgm:prSet presAssocID="{51959F1D-6244-4BC1-9D7F-DDF734FB9191}" presName="sibTrans" presStyleLbl="sibTrans2D1" presStyleIdx="2" presStyleCnt="4" custScaleX="95288" custScaleY="96490"/>
      <dgm:spPr/>
      <dgm:t>
        <a:bodyPr/>
        <a:lstStyle/>
        <a:p>
          <a:endParaRPr lang="en-US"/>
        </a:p>
      </dgm:t>
    </dgm:pt>
    <dgm:pt modelId="{23EFC4C1-E895-4E02-8AA5-D753BD0A51E9}" type="pres">
      <dgm:prSet presAssocID="{EFBFDAF6-E1C2-46D1-9A16-77EF487D8DA8}" presName="node" presStyleLbl="node1" presStyleIdx="3" presStyleCnt="4" custScaleX="180624" custScaleY="125264" custRadScaleRad="100976" custRadScaleInc="-2148">
        <dgm:presLayoutVars>
          <dgm:bulletEnabled val="1"/>
        </dgm:presLayoutVars>
      </dgm:prSet>
      <dgm:spPr/>
      <dgm:t>
        <a:bodyPr/>
        <a:lstStyle/>
        <a:p>
          <a:endParaRPr lang="en-US"/>
        </a:p>
      </dgm:t>
    </dgm:pt>
    <dgm:pt modelId="{2E52C460-A3F3-4327-8AA4-1335D3EBB4CB}" type="pres">
      <dgm:prSet presAssocID="{EFBFDAF6-E1C2-46D1-9A16-77EF487D8DA8}" presName="dummy" presStyleCnt="0"/>
      <dgm:spPr/>
    </dgm:pt>
    <dgm:pt modelId="{2090E75F-83E3-470F-A1CC-C5963BD167C4}" type="pres">
      <dgm:prSet presAssocID="{BF4C9487-E46B-4925-8B4C-0F9FB8A0E26E}" presName="sibTrans" presStyleLbl="sibTrans2D1" presStyleIdx="3" presStyleCnt="4" custScaleX="100952" custScaleY="103982"/>
      <dgm:spPr/>
      <dgm:t>
        <a:bodyPr/>
        <a:lstStyle/>
        <a:p>
          <a:endParaRPr lang="en-US"/>
        </a:p>
      </dgm:t>
    </dgm:pt>
  </dgm:ptLst>
  <dgm:cxnLst>
    <dgm:cxn modelId="{45241BCF-8832-476B-BE73-530E67692D66}" type="presOf" srcId="{C219F121-3F02-4DBA-B0AD-55B863148E3C}" destId="{044881F1-03D3-4D09-93E2-2AC9A37985D6}" srcOrd="0" destOrd="0" presId="urn:microsoft.com/office/officeart/2005/8/layout/radial6"/>
    <dgm:cxn modelId="{48946844-926F-4301-B258-107D028B7A5C}" type="presOf" srcId="{51959F1D-6244-4BC1-9D7F-DDF734FB9191}" destId="{B065F1A5-DB40-4157-A2E5-333F83D0D2D8}" srcOrd="0" destOrd="0" presId="urn:microsoft.com/office/officeart/2005/8/layout/radial6"/>
    <dgm:cxn modelId="{52BF7E44-D20E-4440-A215-0ACBD78AC48C}" srcId="{EE4A17C3-3960-49D3-A7CD-2C8F61A7B328}" destId="{1E8A251C-D349-4449-A6E7-F76132BB3C18}" srcOrd="0" destOrd="0" parTransId="{E573C10F-BC1D-4332-9468-AA70FEF7347C}" sibTransId="{E2A60DD0-1D86-4603-A2F2-619671278237}"/>
    <dgm:cxn modelId="{81224539-5793-4080-BB92-6D12283E099A}" type="presOf" srcId="{CD4A128F-980D-49D8-8B1C-2D6A602C1A8D}" destId="{F664AEA3-8BA2-47A7-8505-99392488E7B0}" srcOrd="0" destOrd="0" presId="urn:microsoft.com/office/officeart/2005/8/layout/radial6"/>
    <dgm:cxn modelId="{6BB36F4A-3016-4FBF-AE0F-B6E1BA0E95D1}" srcId="{EE4A17C3-3960-49D3-A7CD-2C8F61A7B328}" destId="{090878B3-AB77-4DED-A17B-39454491DE1B}" srcOrd="1" destOrd="0" parTransId="{574D6AFC-6331-4FA1-AA52-8CFFFDE1A51D}" sibTransId="{CD4A128F-980D-49D8-8B1C-2D6A602C1A8D}"/>
    <dgm:cxn modelId="{037B3BB4-F838-4921-A5A4-FA44F6D38F43}" type="presOf" srcId="{2191E850-36FC-4840-816D-2D753CC8A7FD}" destId="{8BBB99D7-2BE7-4C37-A17F-7270C8163C2B}" srcOrd="0" destOrd="0" presId="urn:microsoft.com/office/officeart/2005/8/layout/radial6"/>
    <dgm:cxn modelId="{A7BE47AF-CE43-4874-A930-A02D94037425}" type="presOf" srcId="{EFBFDAF6-E1C2-46D1-9A16-77EF487D8DA8}" destId="{23EFC4C1-E895-4E02-8AA5-D753BD0A51E9}" srcOrd="0" destOrd="0" presId="urn:microsoft.com/office/officeart/2005/8/layout/radial6"/>
    <dgm:cxn modelId="{0FA3EBB6-4F53-46B9-921D-7C61E2174C29}" type="presOf" srcId="{BF4C9487-E46B-4925-8B4C-0F9FB8A0E26E}" destId="{2090E75F-83E3-470F-A1CC-C5963BD167C4}" srcOrd="0" destOrd="0" presId="urn:microsoft.com/office/officeart/2005/8/layout/radial6"/>
    <dgm:cxn modelId="{7AC986FF-6433-41AE-B97F-D49E3242ED2C}" type="presOf" srcId="{E2A60DD0-1D86-4603-A2F2-619671278237}" destId="{3DAD069E-3100-4872-A0B8-81F6A81067AE}" srcOrd="0" destOrd="0" presId="urn:microsoft.com/office/officeart/2005/8/layout/radial6"/>
    <dgm:cxn modelId="{98CF9AFD-5DC5-447A-9402-1B6679FADAF9}" type="presOf" srcId="{EE4A17C3-3960-49D3-A7CD-2C8F61A7B328}" destId="{4B30F2E3-90ED-4962-AE7A-41E3A688CCBA}" srcOrd="0" destOrd="0" presId="urn:microsoft.com/office/officeart/2005/8/layout/radial6"/>
    <dgm:cxn modelId="{0464D458-1960-4968-8CBD-CBC7505EBB5D}" srcId="{2191E850-36FC-4840-816D-2D753CC8A7FD}" destId="{EE4A17C3-3960-49D3-A7CD-2C8F61A7B328}" srcOrd="0" destOrd="0" parTransId="{B9F2CE61-00E2-4DA2-BE99-0F03A7231826}" sibTransId="{643A5A83-511F-494D-BA32-6324ECE41D30}"/>
    <dgm:cxn modelId="{1AF519D8-0B4D-429F-81EE-01D5E2221828}" type="presOf" srcId="{090878B3-AB77-4DED-A17B-39454491DE1B}" destId="{490AEF4D-4035-4794-93FB-CE51EA5C01A2}" srcOrd="0" destOrd="0" presId="urn:microsoft.com/office/officeart/2005/8/layout/radial6"/>
    <dgm:cxn modelId="{FBCC39E3-1815-4855-8BA3-9D5BE49C8696}" srcId="{EE4A17C3-3960-49D3-A7CD-2C8F61A7B328}" destId="{EFBFDAF6-E1C2-46D1-9A16-77EF487D8DA8}" srcOrd="3" destOrd="0" parTransId="{FA269641-D696-4D86-9333-E22A6B442B92}" sibTransId="{BF4C9487-E46B-4925-8B4C-0F9FB8A0E26E}"/>
    <dgm:cxn modelId="{7071018F-D42E-42B7-9E26-CEF64A769E70}" srcId="{EE4A17C3-3960-49D3-A7CD-2C8F61A7B328}" destId="{C219F121-3F02-4DBA-B0AD-55B863148E3C}" srcOrd="2" destOrd="0" parTransId="{5A4695DF-825D-4A48-8392-4631FD2AF2D7}" sibTransId="{51959F1D-6244-4BC1-9D7F-DDF734FB9191}"/>
    <dgm:cxn modelId="{6A0A8E3B-123B-4A78-9F1A-8A409263E8CA}" type="presOf" srcId="{1E8A251C-D349-4449-A6E7-F76132BB3C18}" destId="{1DC3A5DE-6D8B-4996-84E4-2DC72F933150}" srcOrd="0" destOrd="0" presId="urn:microsoft.com/office/officeart/2005/8/layout/radial6"/>
    <dgm:cxn modelId="{C202C67D-4A18-42B1-8BE5-C191819E522C}" type="presParOf" srcId="{8BBB99D7-2BE7-4C37-A17F-7270C8163C2B}" destId="{4B30F2E3-90ED-4962-AE7A-41E3A688CCBA}" srcOrd="0" destOrd="0" presId="urn:microsoft.com/office/officeart/2005/8/layout/radial6"/>
    <dgm:cxn modelId="{3A1B3336-E29E-4D64-B445-258FD9BF5849}" type="presParOf" srcId="{8BBB99D7-2BE7-4C37-A17F-7270C8163C2B}" destId="{1DC3A5DE-6D8B-4996-84E4-2DC72F933150}" srcOrd="1" destOrd="0" presId="urn:microsoft.com/office/officeart/2005/8/layout/radial6"/>
    <dgm:cxn modelId="{70F0BD50-29C2-42B2-829E-AD26E1BBE95F}" type="presParOf" srcId="{8BBB99D7-2BE7-4C37-A17F-7270C8163C2B}" destId="{DC259300-EB9B-4D69-BFFB-5A67A16EC48F}" srcOrd="2" destOrd="0" presId="urn:microsoft.com/office/officeart/2005/8/layout/radial6"/>
    <dgm:cxn modelId="{64DEF43C-A7B7-4A01-90E9-817D8E977947}" type="presParOf" srcId="{8BBB99D7-2BE7-4C37-A17F-7270C8163C2B}" destId="{3DAD069E-3100-4872-A0B8-81F6A81067AE}" srcOrd="3" destOrd="0" presId="urn:microsoft.com/office/officeart/2005/8/layout/radial6"/>
    <dgm:cxn modelId="{EC4AB923-D08E-43AC-AAAD-4F5CC9423C00}" type="presParOf" srcId="{8BBB99D7-2BE7-4C37-A17F-7270C8163C2B}" destId="{490AEF4D-4035-4794-93FB-CE51EA5C01A2}" srcOrd="4" destOrd="0" presId="urn:microsoft.com/office/officeart/2005/8/layout/radial6"/>
    <dgm:cxn modelId="{8AC0345F-222E-4110-8AAA-76A5A3A8D65A}" type="presParOf" srcId="{8BBB99D7-2BE7-4C37-A17F-7270C8163C2B}" destId="{898E323B-F63E-4847-90F1-F27CE6F23033}" srcOrd="5" destOrd="0" presId="urn:microsoft.com/office/officeart/2005/8/layout/radial6"/>
    <dgm:cxn modelId="{40C5E813-1FD2-4664-A40E-F6F886B6827D}" type="presParOf" srcId="{8BBB99D7-2BE7-4C37-A17F-7270C8163C2B}" destId="{F664AEA3-8BA2-47A7-8505-99392488E7B0}" srcOrd="6" destOrd="0" presId="urn:microsoft.com/office/officeart/2005/8/layout/radial6"/>
    <dgm:cxn modelId="{9F1FA348-A8BF-469B-A2E3-BF8C0DE53EF9}" type="presParOf" srcId="{8BBB99D7-2BE7-4C37-A17F-7270C8163C2B}" destId="{044881F1-03D3-4D09-93E2-2AC9A37985D6}" srcOrd="7" destOrd="0" presId="urn:microsoft.com/office/officeart/2005/8/layout/radial6"/>
    <dgm:cxn modelId="{F627E4B7-5274-4B1A-876D-94F945D9BC10}" type="presParOf" srcId="{8BBB99D7-2BE7-4C37-A17F-7270C8163C2B}" destId="{C635B8D9-A92F-434C-A881-0ACAB109E7A9}" srcOrd="8" destOrd="0" presId="urn:microsoft.com/office/officeart/2005/8/layout/radial6"/>
    <dgm:cxn modelId="{892B37BA-3B00-48A6-91C9-1155A2879B83}" type="presParOf" srcId="{8BBB99D7-2BE7-4C37-A17F-7270C8163C2B}" destId="{B065F1A5-DB40-4157-A2E5-333F83D0D2D8}" srcOrd="9" destOrd="0" presId="urn:microsoft.com/office/officeart/2005/8/layout/radial6"/>
    <dgm:cxn modelId="{95C84E7B-BA8A-4A8F-9915-94489A363D45}" type="presParOf" srcId="{8BBB99D7-2BE7-4C37-A17F-7270C8163C2B}" destId="{23EFC4C1-E895-4E02-8AA5-D753BD0A51E9}" srcOrd="10" destOrd="0" presId="urn:microsoft.com/office/officeart/2005/8/layout/radial6"/>
    <dgm:cxn modelId="{1D5B9063-DBE9-41E0-B195-BCE1F504A9A2}" type="presParOf" srcId="{8BBB99D7-2BE7-4C37-A17F-7270C8163C2B}" destId="{2E52C460-A3F3-4327-8AA4-1335D3EBB4CB}" srcOrd="11" destOrd="0" presId="urn:microsoft.com/office/officeart/2005/8/layout/radial6"/>
    <dgm:cxn modelId="{C3E28E19-1E10-45BF-9087-09D53D9A39A6}" type="presParOf" srcId="{8BBB99D7-2BE7-4C37-A17F-7270C8163C2B}" destId="{2090E75F-83E3-470F-A1CC-C5963BD167C4}"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301DF6-B7AB-4D4A-B600-4D503A36009F}" type="doc">
      <dgm:prSet loTypeId="urn:microsoft.com/office/officeart/2005/8/layout/default" loCatId="list" qsTypeId="urn:microsoft.com/office/officeart/2005/8/quickstyle/3d1" qsCatId="3D" csTypeId="urn:microsoft.com/office/officeart/2005/8/colors/colorful1" csCatId="colorful" phldr="1"/>
      <dgm:spPr/>
      <dgm:t>
        <a:bodyPr/>
        <a:lstStyle/>
        <a:p>
          <a:endParaRPr lang="en-US"/>
        </a:p>
      </dgm:t>
    </dgm:pt>
    <dgm:pt modelId="{CE30EC6C-8382-4372-AD2B-7F2E7B3C820A}">
      <dgm:prSet phldrT="[Text]"/>
      <dgm:spPr>
        <a:xfrm>
          <a:off x="47619" y="1328385"/>
          <a:ext cx="1758911" cy="1055346"/>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oftEdge rad="533400"/>
        </a:effectLst>
        <a:scene3d>
          <a:camera prst="orthographicFront"/>
          <a:lightRig rig="flat" dir="t"/>
        </a:scene3d>
        <a:sp3d prstMaterial="plastic">
          <a:bevelT w="120900" h="88900"/>
          <a:bevelB w="88900" h="31750" prst="angle"/>
        </a:sp3d>
      </dgm:spPr>
      <dgm:t>
        <a:bodyPr/>
        <a:lstStyle/>
        <a:p>
          <a:pPr>
            <a:buNone/>
          </a:pPr>
          <a:r>
            <a:rPr lang="sr-Latn-ME">
              <a:solidFill>
                <a:sysClr val="window" lastClr="FFFFFF"/>
              </a:solidFill>
              <a:latin typeface="Calibri" panose="020F0502020204030204"/>
              <a:ea typeface="+mn-ea"/>
              <a:cs typeface="+mn-cs"/>
            </a:rPr>
            <a:t>Materijalna davanja</a:t>
          </a:r>
          <a:endParaRPr lang="en-US">
            <a:solidFill>
              <a:sysClr val="window" lastClr="FFFFFF"/>
            </a:solidFill>
            <a:latin typeface="Calibri" panose="020F0502020204030204"/>
            <a:ea typeface="+mn-ea"/>
            <a:cs typeface="+mn-cs"/>
          </a:endParaRPr>
        </a:p>
      </dgm:t>
    </dgm:pt>
    <dgm:pt modelId="{44D36AD1-33C0-4B74-89D1-FFF472BC13EE}" type="parTrans" cxnId="{C27CAC01-7696-4F83-89A4-C0A8315838EC}">
      <dgm:prSet/>
      <dgm:spPr/>
      <dgm:t>
        <a:bodyPr/>
        <a:lstStyle/>
        <a:p>
          <a:endParaRPr lang="en-US"/>
        </a:p>
      </dgm:t>
    </dgm:pt>
    <dgm:pt modelId="{3AC05F21-045E-469F-8186-88105EDA0D9C}" type="sibTrans" cxnId="{C27CAC01-7696-4F83-89A4-C0A8315838EC}">
      <dgm:prSet/>
      <dgm:spPr/>
      <dgm:t>
        <a:bodyPr/>
        <a:lstStyle/>
        <a:p>
          <a:endParaRPr lang="en-US"/>
        </a:p>
      </dgm:t>
    </dgm:pt>
    <dgm:pt modelId="{D7ACBAF0-5554-40E7-9DFF-F102595B318D}">
      <dgm:prSet phldrT="[Text]"/>
      <dgm:spPr>
        <a:xfrm>
          <a:off x="815138" y="123823"/>
          <a:ext cx="1758911" cy="1055346"/>
        </a:xfrm>
        <a:prstGeom prst="roundRec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US">
              <a:solidFill>
                <a:sysClr val="window" lastClr="FFFFFF"/>
              </a:solidFill>
              <a:latin typeface="Calibri" panose="020F0502020204030204"/>
              <a:ea typeface="+mn-ea"/>
              <a:cs typeface="+mn-cs"/>
            </a:rPr>
            <a:t>Pristup uslugama socijalne i dječje zaštite</a:t>
          </a:r>
        </a:p>
      </dgm:t>
    </dgm:pt>
    <dgm:pt modelId="{78028B02-E758-42CD-882E-6791A40EBB73}" type="parTrans" cxnId="{8E57EAC8-9C42-455A-BD5F-7E2F61B5222A}">
      <dgm:prSet/>
      <dgm:spPr/>
      <dgm:t>
        <a:bodyPr/>
        <a:lstStyle/>
        <a:p>
          <a:endParaRPr lang="en-US"/>
        </a:p>
      </dgm:t>
    </dgm:pt>
    <dgm:pt modelId="{818F1DC0-FD32-4165-A6F1-C0E884FBDC40}" type="sibTrans" cxnId="{8E57EAC8-9C42-455A-BD5F-7E2F61B5222A}">
      <dgm:prSet/>
      <dgm:spPr/>
      <dgm:t>
        <a:bodyPr/>
        <a:lstStyle/>
        <a:p>
          <a:endParaRPr lang="en-US"/>
        </a:p>
      </dgm:t>
    </dgm:pt>
    <dgm:pt modelId="{1AFC388D-D18C-41F9-97F5-37EEB1CDBF77}">
      <dgm:prSet phldrT="[Text]"/>
      <dgm:spPr>
        <a:xfrm>
          <a:off x="1920947" y="2134768"/>
          <a:ext cx="1934802" cy="1160881"/>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oftEdge rad="0"/>
        </a:effectLst>
        <a:scene3d>
          <a:camera prst="orthographicFront"/>
          <a:lightRig rig="flat" dir="t"/>
        </a:scene3d>
        <a:sp3d prstMaterial="plastic">
          <a:bevelT w="120900" h="88900"/>
          <a:bevelB w="88900" h="31750" prst="angle"/>
        </a:sp3d>
      </dgm:spPr>
      <dgm:t>
        <a:bodyPr/>
        <a:lstStyle/>
        <a:p>
          <a:pPr>
            <a:buNone/>
          </a:pPr>
          <a:r>
            <a:rPr lang="sr-Latn-ME">
              <a:solidFill>
                <a:sysClr val="window" lastClr="FFFFFF"/>
              </a:solidFill>
              <a:latin typeface="Calibri" panose="020F0502020204030204"/>
              <a:ea typeface="+mn-ea"/>
              <a:cs typeface="+mn-cs"/>
            </a:rPr>
            <a:t>Razvoj sistema socijalne i dječje zaštite</a:t>
          </a:r>
          <a:endParaRPr lang="en-US">
            <a:solidFill>
              <a:sysClr val="window" lastClr="FFFFFF"/>
            </a:solidFill>
            <a:latin typeface="Calibri" panose="020F0502020204030204"/>
            <a:ea typeface="+mn-ea"/>
            <a:cs typeface="+mn-cs"/>
          </a:endParaRPr>
        </a:p>
      </dgm:t>
    </dgm:pt>
    <dgm:pt modelId="{F0D44440-2151-40FD-90B8-EA0B5F2943A2}" type="parTrans" cxnId="{3EF0FAA7-521B-4488-8171-7C392901AFE1}">
      <dgm:prSet/>
      <dgm:spPr/>
      <dgm:t>
        <a:bodyPr/>
        <a:lstStyle/>
        <a:p>
          <a:endParaRPr lang="en-US"/>
        </a:p>
      </dgm:t>
    </dgm:pt>
    <dgm:pt modelId="{20CB1ED1-FC3E-4FAB-BF71-5B8565659061}" type="sibTrans" cxnId="{3EF0FAA7-521B-4488-8171-7C392901AFE1}">
      <dgm:prSet/>
      <dgm:spPr/>
      <dgm:t>
        <a:bodyPr/>
        <a:lstStyle/>
        <a:p>
          <a:endParaRPr lang="en-US"/>
        </a:p>
      </dgm:t>
    </dgm:pt>
    <dgm:pt modelId="{F9EBA1DF-0624-4228-82DC-6DD1512A0C77}">
      <dgm:prSet/>
      <dgm:spPr>
        <a:xfrm>
          <a:off x="3230897" y="104774"/>
          <a:ext cx="1758911" cy="1055346"/>
        </a:xfrm>
        <a:prstGeom prst="round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innerShdw blurRad="63500" dist="50800" dir="5400000">
            <a:prstClr val="black">
              <a:alpha val="50000"/>
            </a:prstClr>
          </a:innerShdw>
          <a:softEdge rad="0"/>
        </a:effectLst>
        <a:scene3d>
          <a:camera prst="orthographicFront"/>
          <a:lightRig rig="flat" dir="t"/>
        </a:scene3d>
        <a:sp3d prstMaterial="plastic">
          <a:bevelT w="120900" h="88900"/>
          <a:bevelB w="88900" h="31750" prst="angle"/>
        </a:sp3d>
      </dgm:spPr>
      <dgm:t>
        <a:bodyPr/>
        <a:lstStyle/>
        <a:p>
          <a:pPr>
            <a:buNone/>
          </a:pPr>
          <a:r>
            <a:rPr lang="sr-Latn-ME">
              <a:solidFill>
                <a:sysClr val="window" lastClr="FFFFFF"/>
              </a:solidFill>
              <a:latin typeface="Calibri" panose="020F0502020204030204"/>
              <a:ea typeface="+mn-ea"/>
              <a:cs typeface="+mn-cs"/>
            </a:rPr>
            <a:t>Kvalitet upravljanja u sistemu socijalne i dječje zaštite</a:t>
          </a:r>
          <a:endParaRPr lang="en-US">
            <a:solidFill>
              <a:sysClr val="window" lastClr="FFFFFF"/>
            </a:solidFill>
            <a:latin typeface="Calibri" panose="020F0502020204030204"/>
            <a:ea typeface="+mn-ea"/>
            <a:cs typeface="+mn-cs"/>
          </a:endParaRPr>
        </a:p>
      </dgm:t>
    </dgm:pt>
    <dgm:pt modelId="{5BF89EA9-7769-4F4C-8BE3-775670EB4A1C}" type="parTrans" cxnId="{B61E8F69-AE64-4FD2-AF67-421758C8CCA7}">
      <dgm:prSet/>
      <dgm:spPr/>
      <dgm:t>
        <a:bodyPr/>
        <a:lstStyle/>
        <a:p>
          <a:endParaRPr lang="en-US"/>
        </a:p>
      </dgm:t>
    </dgm:pt>
    <dgm:pt modelId="{9CCE0BE5-9C40-4D30-8921-D2B19009929E}" type="sibTrans" cxnId="{B61E8F69-AE64-4FD2-AF67-421758C8CCA7}">
      <dgm:prSet/>
      <dgm:spPr/>
      <dgm:t>
        <a:bodyPr/>
        <a:lstStyle/>
        <a:p>
          <a:endParaRPr lang="en-US"/>
        </a:p>
      </dgm:t>
    </dgm:pt>
    <dgm:pt modelId="{1095C508-B2D0-4297-8FF5-CDA9D5D6E0DF}">
      <dgm:prSet/>
      <dgm:spPr>
        <a:xfrm>
          <a:off x="4041807" y="1369667"/>
          <a:ext cx="1758911" cy="1055346"/>
        </a:xfrm>
        <a:prstGeom prst="round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sr-Latn-ME">
              <a:solidFill>
                <a:sysClr val="window" lastClr="FFFFFF"/>
              </a:solidFill>
              <a:latin typeface="Calibri" panose="020F0502020204030204"/>
              <a:ea typeface="+mn-ea"/>
              <a:cs typeface="+mn-cs"/>
            </a:rPr>
            <a:t>Informacioni sistem socijalnog staranja (e-Socijala)</a:t>
          </a:r>
          <a:endParaRPr lang="en-US">
            <a:solidFill>
              <a:sysClr val="window" lastClr="FFFFFF"/>
            </a:solidFill>
            <a:latin typeface="Calibri" panose="020F0502020204030204"/>
            <a:ea typeface="+mn-ea"/>
            <a:cs typeface="+mn-cs"/>
          </a:endParaRPr>
        </a:p>
      </dgm:t>
    </dgm:pt>
    <dgm:pt modelId="{3AE82779-AFF9-4CAF-B6A2-5A4CE259B5C2}" type="parTrans" cxnId="{F00ED15B-E192-40E6-9EAB-74120BAB1538}">
      <dgm:prSet/>
      <dgm:spPr/>
      <dgm:t>
        <a:bodyPr/>
        <a:lstStyle/>
        <a:p>
          <a:endParaRPr lang="en-US"/>
        </a:p>
      </dgm:t>
    </dgm:pt>
    <dgm:pt modelId="{9E638057-8FD3-4022-B55D-7ACED1C47CE3}" type="sibTrans" cxnId="{F00ED15B-E192-40E6-9EAB-74120BAB1538}">
      <dgm:prSet/>
      <dgm:spPr/>
      <dgm:t>
        <a:bodyPr/>
        <a:lstStyle/>
        <a:p>
          <a:endParaRPr lang="en-US"/>
        </a:p>
      </dgm:t>
    </dgm:pt>
    <dgm:pt modelId="{EFEC5C48-D1F8-4688-A22B-AB553DD90D09}" type="pres">
      <dgm:prSet presAssocID="{9E301DF6-B7AB-4D4A-B600-4D503A36009F}" presName="diagram" presStyleCnt="0">
        <dgm:presLayoutVars>
          <dgm:dir/>
          <dgm:resizeHandles val="exact"/>
        </dgm:presLayoutVars>
      </dgm:prSet>
      <dgm:spPr/>
      <dgm:t>
        <a:bodyPr/>
        <a:lstStyle/>
        <a:p>
          <a:endParaRPr lang="en-US"/>
        </a:p>
      </dgm:t>
    </dgm:pt>
    <dgm:pt modelId="{56AF73B0-47FD-42C4-BF8B-E2BF4C8FE670}" type="pres">
      <dgm:prSet presAssocID="{CE30EC6C-8382-4372-AD2B-7F2E7B3C820A}" presName="node" presStyleLbl="node1" presStyleIdx="0" presStyleCnt="5" custScaleX="100000" custScaleY="100000" custLinFactNeighborX="-138" custLinFactNeighborY="79088">
        <dgm:presLayoutVars>
          <dgm:bulletEnabled val="1"/>
        </dgm:presLayoutVars>
      </dgm:prSet>
      <dgm:spPr>
        <a:prstGeom prst="roundRect">
          <a:avLst/>
        </a:prstGeom>
      </dgm:spPr>
      <dgm:t>
        <a:bodyPr/>
        <a:lstStyle/>
        <a:p>
          <a:endParaRPr lang="en-US"/>
        </a:p>
      </dgm:t>
    </dgm:pt>
    <dgm:pt modelId="{3ADC8E79-2446-4AE5-B78D-5FB4DD65C8BB}" type="pres">
      <dgm:prSet presAssocID="{3AC05F21-045E-469F-8186-88105EDA0D9C}" presName="sibTrans" presStyleCnt="0"/>
      <dgm:spPr/>
    </dgm:pt>
    <dgm:pt modelId="{6B5B779F-44B2-4C44-901E-FCC410D42EAB}" type="pres">
      <dgm:prSet presAssocID="{D7ACBAF0-5554-40E7-9DFF-F102595B318D}" presName="node" presStyleLbl="node1" presStyleIdx="1" presStyleCnt="5" custScaleX="100000" custScaleY="100000" custLinFactNeighborX="-69868" custLinFactNeighborY="-38172">
        <dgm:presLayoutVars>
          <dgm:bulletEnabled val="1"/>
        </dgm:presLayoutVars>
      </dgm:prSet>
      <dgm:spPr>
        <a:prstGeom prst="roundRect">
          <a:avLst/>
        </a:prstGeom>
      </dgm:spPr>
      <dgm:t>
        <a:bodyPr/>
        <a:lstStyle/>
        <a:p>
          <a:endParaRPr lang="en-US"/>
        </a:p>
      </dgm:t>
    </dgm:pt>
    <dgm:pt modelId="{88321ECE-BAFD-4DA0-A444-9BCF860C9030}" type="pres">
      <dgm:prSet presAssocID="{818F1DC0-FD32-4165-A6F1-C0E884FBDC40}" presName="sibTrans" presStyleCnt="0"/>
      <dgm:spPr/>
    </dgm:pt>
    <dgm:pt modelId="{0C6BB08D-D921-483C-9092-C8385297A862}" type="pres">
      <dgm:prSet presAssocID="{F9EBA1DF-0624-4228-82DC-6DD1512A0C77}" presName="node" presStyleLbl="node1" presStyleIdx="2" presStyleCnt="5" custScaleX="100000" custScaleY="100000" custLinFactNeighborX="-39579" custLinFactNeighborY="-39634">
        <dgm:presLayoutVars>
          <dgm:bulletEnabled val="1"/>
        </dgm:presLayoutVars>
      </dgm:prSet>
      <dgm:spPr>
        <a:prstGeom prst="roundRect">
          <a:avLst/>
        </a:prstGeom>
      </dgm:spPr>
      <dgm:t>
        <a:bodyPr/>
        <a:lstStyle/>
        <a:p>
          <a:endParaRPr lang="en-US"/>
        </a:p>
      </dgm:t>
    </dgm:pt>
    <dgm:pt modelId="{D3FCEA4A-3F20-40A9-A873-87692D1886FC}" type="pres">
      <dgm:prSet presAssocID="{9CCE0BE5-9C40-4D30-8921-D2B19009929E}" presName="sibTrans" presStyleCnt="0"/>
      <dgm:spPr/>
    </dgm:pt>
    <dgm:pt modelId="{3D06FC32-DE3A-4F7C-B618-1D7E911ED8A8}" type="pres">
      <dgm:prSet presAssocID="{1AFC388D-D18C-41F9-97F5-37EEB1CDBF77}" presName="node" presStyleLbl="node1" presStyleIdx="3" presStyleCnt="5" custScaleX="110000" custScaleY="110000" custLinFactNeighborX="55655" custLinFactNeighborY="38172">
        <dgm:presLayoutVars>
          <dgm:bulletEnabled val="1"/>
        </dgm:presLayoutVars>
      </dgm:prSet>
      <dgm:spPr>
        <a:prstGeom prst="ellipse">
          <a:avLst/>
        </a:prstGeom>
      </dgm:spPr>
      <dgm:t>
        <a:bodyPr/>
        <a:lstStyle/>
        <a:p>
          <a:endParaRPr lang="en-US"/>
        </a:p>
      </dgm:t>
    </dgm:pt>
    <dgm:pt modelId="{FA2C888F-BB07-4B18-B4A0-13499B4D218F}" type="pres">
      <dgm:prSet presAssocID="{20CB1ED1-FC3E-4FAB-BF71-5B8565659061}" presName="sibTrans" presStyleCnt="0"/>
      <dgm:spPr/>
    </dgm:pt>
    <dgm:pt modelId="{2EABF350-56B0-4B6B-AB0B-050B1D52EC75}" type="pres">
      <dgm:prSet presAssocID="{1095C508-B2D0-4297-8FF5-CDA9D5D6E0DF}" presName="node" presStyleLbl="node1" presStyleIdx="4" presStyleCnt="5" custScaleX="100000" custScaleY="100000" custLinFactNeighborX="50000" custLinFactNeighborY="-40135">
        <dgm:presLayoutVars>
          <dgm:bulletEnabled val="1"/>
        </dgm:presLayoutVars>
      </dgm:prSet>
      <dgm:spPr>
        <a:prstGeom prst="roundRect">
          <a:avLst/>
        </a:prstGeom>
      </dgm:spPr>
      <dgm:t>
        <a:bodyPr/>
        <a:lstStyle/>
        <a:p>
          <a:endParaRPr lang="en-US"/>
        </a:p>
      </dgm:t>
    </dgm:pt>
  </dgm:ptLst>
  <dgm:cxnLst>
    <dgm:cxn modelId="{3EF0FAA7-521B-4488-8171-7C392901AFE1}" srcId="{9E301DF6-B7AB-4D4A-B600-4D503A36009F}" destId="{1AFC388D-D18C-41F9-97F5-37EEB1CDBF77}" srcOrd="3" destOrd="0" parTransId="{F0D44440-2151-40FD-90B8-EA0B5F2943A2}" sibTransId="{20CB1ED1-FC3E-4FAB-BF71-5B8565659061}"/>
    <dgm:cxn modelId="{4339AEB9-1A7A-480C-A8EB-869125887D43}" type="presOf" srcId="{CE30EC6C-8382-4372-AD2B-7F2E7B3C820A}" destId="{56AF73B0-47FD-42C4-BF8B-E2BF4C8FE670}" srcOrd="0" destOrd="0" presId="urn:microsoft.com/office/officeart/2005/8/layout/default"/>
    <dgm:cxn modelId="{F00ED15B-E192-40E6-9EAB-74120BAB1538}" srcId="{9E301DF6-B7AB-4D4A-B600-4D503A36009F}" destId="{1095C508-B2D0-4297-8FF5-CDA9D5D6E0DF}" srcOrd="4" destOrd="0" parTransId="{3AE82779-AFF9-4CAF-B6A2-5A4CE259B5C2}" sibTransId="{9E638057-8FD3-4022-B55D-7ACED1C47CE3}"/>
    <dgm:cxn modelId="{8E57EAC8-9C42-455A-BD5F-7E2F61B5222A}" srcId="{9E301DF6-B7AB-4D4A-B600-4D503A36009F}" destId="{D7ACBAF0-5554-40E7-9DFF-F102595B318D}" srcOrd="1" destOrd="0" parTransId="{78028B02-E758-42CD-882E-6791A40EBB73}" sibTransId="{818F1DC0-FD32-4165-A6F1-C0E884FBDC40}"/>
    <dgm:cxn modelId="{C27CAC01-7696-4F83-89A4-C0A8315838EC}" srcId="{9E301DF6-B7AB-4D4A-B600-4D503A36009F}" destId="{CE30EC6C-8382-4372-AD2B-7F2E7B3C820A}" srcOrd="0" destOrd="0" parTransId="{44D36AD1-33C0-4B74-89D1-FFF472BC13EE}" sibTransId="{3AC05F21-045E-469F-8186-88105EDA0D9C}"/>
    <dgm:cxn modelId="{1B869F6B-D87D-4EA0-A7A4-D6A10705B480}" type="presOf" srcId="{9E301DF6-B7AB-4D4A-B600-4D503A36009F}" destId="{EFEC5C48-D1F8-4688-A22B-AB553DD90D09}" srcOrd="0" destOrd="0" presId="urn:microsoft.com/office/officeart/2005/8/layout/default"/>
    <dgm:cxn modelId="{14EF1252-D4FD-4FFE-856F-396D228A9867}" type="presOf" srcId="{1AFC388D-D18C-41F9-97F5-37EEB1CDBF77}" destId="{3D06FC32-DE3A-4F7C-B618-1D7E911ED8A8}" srcOrd="0" destOrd="0" presId="urn:microsoft.com/office/officeart/2005/8/layout/default"/>
    <dgm:cxn modelId="{43ADD24D-783C-411A-B1B4-129BB2ABBBF8}" type="presOf" srcId="{1095C508-B2D0-4297-8FF5-CDA9D5D6E0DF}" destId="{2EABF350-56B0-4B6B-AB0B-050B1D52EC75}" srcOrd="0" destOrd="0" presId="urn:microsoft.com/office/officeart/2005/8/layout/default"/>
    <dgm:cxn modelId="{553B9B09-425A-4B18-9EFC-BBF32088830D}" type="presOf" srcId="{F9EBA1DF-0624-4228-82DC-6DD1512A0C77}" destId="{0C6BB08D-D921-483C-9092-C8385297A862}" srcOrd="0" destOrd="0" presId="urn:microsoft.com/office/officeart/2005/8/layout/default"/>
    <dgm:cxn modelId="{B61E8F69-AE64-4FD2-AF67-421758C8CCA7}" srcId="{9E301DF6-B7AB-4D4A-B600-4D503A36009F}" destId="{F9EBA1DF-0624-4228-82DC-6DD1512A0C77}" srcOrd="2" destOrd="0" parTransId="{5BF89EA9-7769-4F4C-8BE3-775670EB4A1C}" sibTransId="{9CCE0BE5-9C40-4D30-8921-D2B19009929E}"/>
    <dgm:cxn modelId="{53C72773-C575-4239-BF15-74DE795A9DDC}" type="presOf" srcId="{D7ACBAF0-5554-40E7-9DFF-F102595B318D}" destId="{6B5B779F-44B2-4C44-901E-FCC410D42EAB}" srcOrd="0" destOrd="0" presId="urn:microsoft.com/office/officeart/2005/8/layout/default"/>
    <dgm:cxn modelId="{3C80625C-F0C8-44FB-AFD4-EDD73154F4C0}" type="presParOf" srcId="{EFEC5C48-D1F8-4688-A22B-AB553DD90D09}" destId="{56AF73B0-47FD-42C4-BF8B-E2BF4C8FE670}" srcOrd="0" destOrd="0" presId="urn:microsoft.com/office/officeart/2005/8/layout/default"/>
    <dgm:cxn modelId="{D5D62A07-3E84-4FEC-9646-00D1ABFA90F3}" type="presParOf" srcId="{EFEC5C48-D1F8-4688-A22B-AB553DD90D09}" destId="{3ADC8E79-2446-4AE5-B78D-5FB4DD65C8BB}" srcOrd="1" destOrd="0" presId="urn:microsoft.com/office/officeart/2005/8/layout/default"/>
    <dgm:cxn modelId="{659C2527-FD7A-4978-9B8F-40536D818C12}" type="presParOf" srcId="{EFEC5C48-D1F8-4688-A22B-AB553DD90D09}" destId="{6B5B779F-44B2-4C44-901E-FCC410D42EAB}" srcOrd="2" destOrd="0" presId="urn:microsoft.com/office/officeart/2005/8/layout/default"/>
    <dgm:cxn modelId="{7830B1BB-CD7E-4804-B3F5-1AE6E5672DCE}" type="presParOf" srcId="{EFEC5C48-D1F8-4688-A22B-AB553DD90D09}" destId="{88321ECE-BAFD-4DA0-A444-9BCF860C9030}" srcOrd="3" destOrd="0" presId="urn:microsoft.com/office/officeart/2005/8/layout/default"/>
    <dgm:cxn modelId="{C3DF6532-AEAF-4B40-9238-75229041A01A}" type="presParOf" srcId="{EFEC5C48-D1F8-4688-A22B-AB553DD90D09}" destId="{0C6BB08D-D921-483C-9092-C8385297A862}" srcOrd="4" destOrd="0" presId="urn:microsoft.com/office/officeart/2005/8/layout/default"/>
    <dgm:cxn modelId="{B9554BD5-E1C9-4A73-82DF-909A2E4912A9}" type="presParOf" srcId="{EFEC5C48-D1F8-4688-A22B-AB553DD90D09}" destId="{D3FCEA4A-3F20-40A9-A873-87692D1886FC}" srcOrd="5" destOrd="0" presId="urn:microsoft.com/office/officeart/2005/8/layout/default"/>
    <dgm:cxn modelId="{4E72968E-D1ED-48C3-9555-C0F69E502C53}" type="presParOf" srcId="{EFEC5C48-D1F8-4688-A22B-AB553DD90D09}" destId="{3D06FC32-DE3A-4F7C-B618-1D7E911ED8A8}" srcOrd="6" destOrd="0" presId="urn:microsoft.com/office/officeart/2005/8/layout/default"/>
    <dgm:cxn modelId="{FC1301FF-598F-4522-B3FF-23B4864D4284}" type="presParOf" srcId="{EFEC5C48-D1F8-4688-A22B-AB553DD90D09}" destId="{FA2C888F-BB07-4B18-B4A0-13499B4D218F}" srcOrd="7" destOrd="0" presId="urn:microsoft.com/office/officeart/2005/8/layout/default"/>
    <dgm:cxn modelId="{7BF2243A-043D-4EA5-8DDC-8AE79980FD65}" type="presParOf" srcId="{EFEC5C48-D1F8-4688-A22B-AB553DD90D09}" destId="{2EABF350-56B0-4B6B-AB0B-050B1D52EC75}" srcOrd="8" destOrd="0" presId="urn:microsoft.com/office/officeart/2005/8/layout/default"/>
  </dgm:cxnLst>
  <dgm:bg>
    <a:effectLst>
      <a:outerShdw blurRad="50800" dist="50800" algn="ctr" rotWithShape="0">
        <a:srgbClr val="000000">
          <a:alpha val="43137"/>
        </a:srgbClr>
      </a:outerShdw>
    </a:effect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5D706D-E60A-400A-80F2-BDD7F2D2B92A}"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US"/>
        </a:p>
      </dgm:t>
    </dgm:pt>
    <dgm:pt modelId="{1E7B55ED-EC0D-4437-834D-87EF2E7AE22D}">
      <dgm:prSet phldrT="[Text]">
        <dgm:style>
          <a:lnRef idx="3">
            <a:schemeClr val="lt1"/>
          </a:lnRef>
          <a:fillRef idx="1">
            <a:schemeClr val="accent4"/>
          </a:fillRef>
          <a:effectRef idx="1">
            <a:schemeClr val="accent4"/>
          </a:effectRef>
          <a:fontRef idx="minor">
            <a:schemeClr val="lt1"/>
          </a:fontRef>
        </dgm:style>
      </dgm:prSet>
      <dgm:spPr>
        <a:xfrm>
          <a:off x="2762248" y="1132563"/>
          <a:ext cx="904877" cy="808380"/>
        </a:xfrm>
        <a:solidFill>
          <a:srgbClr val="FFC000"/>
        </a:solidFill>
        <a:ln w="19050" cap="flat" cmpd="sng" algn="ctr">
          <a:solidFill>
            <a:sysClr val="window" lastClr="FFFFFF"/>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Usluge podrške za život u zajednici</a:t>
          </a:r>
          <a:endParaRPr lang="en-US">
            <a:solidFill>
              <a:sysClr val="window" lastClr="FFFFFF"/>
            </a:solidFill>
            <a:latin typeface="Calibri" panose="020F0502020204030204"/>
            <a:ea typeface="+mn-ea"/>
            <a:cs typeface="+mn-cs"/>
          </a:endParaRPr>
        </a:p>
      </dgm:t>
    </dgm:pt>
    <dgm:pt modelId="{C4C6071D-3B14-4C3B-A8E8-653B89AB783C}" type="parTrans" cxnId="{1D049706-33FD-48FD-810B-974A84E4F102}">
      <dgm:prSet/>
      <dgm:spPr/>
      <dgm:t>
        <a:bodyPr/>
        <a:lstStyle/>
        <a:p>
          <a:endParaRPr lang="en-US"/>
        </a:p>
      </dgm:t>
    </dgm:pt>
    <dgm:pt modelId="{B871B32C-81DD-4257-8BF3-26C2B8AD4082}" type="sibTrans" cxnId="{1D049706-33FD-48FD-810B-974A84E4F102}">
      <dgm:prSet/>
      <dgm:spPr/>
      <dgm:t>
        <a:bodyPr/>
        <a:lstStyle/>
        <a:p>
          <a:endParaRPr lang="en-US"/>
        </a:p>
      </dgm:t>
    </dgm:pt>
    <dgm:pt modelId="{D7E2431E-0F1E-443F-898E-7E820D38DF29}">
      <dgm:prSet phldrT="[Text]"/>
      <dgm:spPr>
        <a:xfrm>
          <a:off x="3886169" y="783055"/>
          <a:ext cx="808380" cy="808380"/>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Personalna asistencija</a:t>
          </a:r>
          <a:endParaRPr lang="en-US">
            <a:solidFill>
              <a:sysClr val="window" lastClr="FFFFFF"/>
            </a:solidFill>
            <a:latin typeface="Calibri" panose="020F0502020204030204"/>
            <a:ea typeface="+mn-ea"/>
            <a:cs typeface="+mn-cs"/>
          </a:endParaRPr>
        </a:p>
      </dgm:t>
    </dgm:pt>
    <dgm:pt modelId="{AB9AF47A-602F-41FC-89BD-984B1C42AA08}" type="parTrans" cxnId="{D703A28B-3DDC-4F57-A716-49318CD5F811}">
      <dgm:prSet/>
      <dgm:spPr>
        <a:xfrm rot="20520000">
          <a:off x="3694784" y="1219246"/>
          <a:ext cx="148277" cy="27484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A006CC06-6AA8-4CFC-B65E-83389FF9F4F7}" type="sibTrans" cxnId="{D703A28B-3DDC-4F57-A716-49318CD5F811}">
      <dgm:prSet/>
      <dgm:spPr>
        <a:xfrm>
          <a:off x="1556388" y="272797"/>
          <a:ext cx="1873754" cy="1873754"/>
        </a:xfrm>
        <a:prstGeom prst="blockArc">
          <a:avLst>
            <a:gd name="adj1" fmla="val 19800000"/>
            <a:gd name="adj2" fmla="val 1800000"/>
            <a:gd name="adj3" fmla="val 4515"/>
          </a:avLst>
        </a:prstGeom>
        <a:solidFill>
          <a:srgbClr val="A5A5A5">
            <a:hueOff val="0"/>
            <a:satOff val="0"/>
            <a:lumOff val="0"/>
            <a:alphaOff val="0"/>
          </a:srgbClr>
        </a:solidFill>
        <a:ln>
          <a:noFill/>
        </a:ln>
        <a:effectLst/>
      </dgm:spPr>
      <dgm:t>
        <a:bodyPr/>
        <a:lstStyle/>
        <a:p>
          <a:endParaRPr lang="en-US"/>
        </a:p>
      </dgm:t>
    </dgm:pt>
    <dgm:pt modelId="{5700A094-2F9F-4816-A049-7859125A8876}">
      <dgm:prSet phldrT="[Text]"/>
      <dgm:spPr>
        <a:xfrm>
          <a:off x="3475299" y="2047585"/>
          <a:ext cx="808380" cy="80838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Tumačenje prevođenja na znakovni jezik</a:t>
          </a:r>
          <a:endParaRPr lang="en-US">
            <a:solidFill>
              <a:sysClr val="window" lastClr="FFFFFF"/>
            </a:solidFill>
            <a:latin typeface="Calibri" panose="020F0502020204030204"/>
            <a:ea typeface="+mn-ea"/>
            <a:cs typeface="+mn-cs"/>
          </a:endParaRPr>
        </a:p>
      </dgm:t>
    </dgm:pt>
    <dgm:pt modelId="{3C435BE1-8E51-4420-B67C-1B21BA513308}" type="parTrans" cxnId="{9E08B1D7-1332-4D70-AF8E-5EAF519D53A5}">
      <dgm:prSet/>
      <dgm:spPr>
        <a:xfrm rot="3240000">
          <a:off x="3467190" y="1859124"/>
          <a:ext cx="163116" cy="274849"/>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E50A68A-AEAB-4F05-92C2-44967E1B3422}" type="sibTrans" cxnId="{9E08B1D7-1332-4D70-AF8E-5EAF519D53A5}">
      <dgm:prSet/>
      <dgm:spPr>
        <a:xfrm>
          <a:off x="1556388" y="272797"/>
          <a:ext cx="1873754" cy="1873754"/>
        </a:xfrm>
        <a:prstGeom prst="blockArc">
          <a:avLst>
            <a:gd name="adj1" fmla="val 5400000"/>
            <a:gd name="adj2" fmla="val 9000000"/>
            <a:gd name="adj3" fmla="val 4515"/>
          </a:avLst>
        </a:prstGeom>
        <a:solidFill>
          <a:srgbClr val="5B9BD5">
            <a:hueOff val="0"/>
            <a:satOff val="0"/>
            <a:lumOff val="0"/>
            <a:alphaOff val="0"/>
          </a:srgbClr>
        </a:solidFill>
        <a:ln>
          <a:noFill/>
        </a:ln>
        <a:effectLst/>
      </dgm:spPr>
      <dgm:t>
        <a:bodyPr/>
        <a:lstStyle/>
        <a:p>
          <a:endParaRPr lang="en-US"/>
        </a:p>
      </dgm:t>
    </dgm:pt>
    <dgm:pt modelId="{04AB6756-7ED4-4AF3-844A-7B8C1F243C67}">
      <dgm:prSet phldrT="[Text]"/>
      <dgm:spPr>
        <a:xfrm>
          <a:off x="2145694" y="2047585"/>
          <a:ext cx="808380" cy="808380"/>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Svratišta</a:t>
          </a:r>
          <a:endParaRPr lang="en-US">
            <a:solidFill>
              <a:sysClr val="window" lastClr="FFFFFF"/>
            </a:solidFill>
            <a:latin typeface="Calibri" panose="020F0502020204030204"/>
            <a:ea typeface="+mn-ea"/>
            <a:cs typeface="+mn-cs"/>
          </a:endParaRPr>
        </a:p>
      </dgm:t>
    </dgm:pt>
    <dgm:pt modelId="{17288728-7F53-4591-8CC8-276A1F73BD6F}" type="parTrans" cxnId="{4EA7E371-1000-4909-8ED4-A46648EE9A2C}">
      <dgm:prSet/>
      <dgm:spPr>
        <a:xfrm rot="7560000">
          <a:off x="2799068" y="1859124"/>
          <a:ext cx="163116" cy="274849"/>
        </a:xfrm>
        <a:prstGeom prst="rightArrow">
          <a:avLst>
            <a:gd name="adj1" fmla="val 60000"/>
            <a:gd name="adj2" fmla="val 50000"/>
          </a:avLst>
        </a:prstGeom>
        <a:solidFill>
          <a:srgbClr val="5B9BD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3F7E7CD-0B88-4BF0-860E-6663F784E9FF}" type="sibTrans" cxnId="{4EA7E371-1000-4909-8ED4-A46648EE9A2C}">
      <dgm:prSet/>
      <dgm:spPr>
        <a:xfrm>
          <a:off x="1556388" y="272797"/>
          <a:ext cx="1873754" cy="1873754"/>
        </a:xfrm>
        <a:prstGeom prst="blockArc">
          <a:avLst>
            <a:gd name="adj1" fmla="val 9000000"/>
            <a:gd name="adj2" fmla="val 12600000"/>
            <a:gd name="adj3" fmla="val 4515"/>
          </a:avLst>
        </a:prstGeom>
        <a:solidFill>
          <a:srgbClr val="70AD47">
            <a:hueOff val="0"/>
            <a:satOff val="0"/>
            <a:lumOff val="0"/>
            <a:alphaOff val="0"/>
          </a:srgbClr>
        </a:solidFill>
        <a:ln>
          <a:noFill/>
        </a:ln>
        <a:effectLst/>
      </dgm:spPr>
      <dgm:t>
        <a:bodyPr/>
        <a:lstStyle/>
        <a:p>
          <a:endParaRPr lang="en-US"/>
        </a:p>
      </dgm:t>
    </dgm:pt>
    <dgm:pt modelId="{193D90DC-4B19-40C4-885E-24FF7370067D}">
      <dgm:prSet phldrT="[Text]"/>
      <dgm:spPr>
        <a:xfrm>
          <a:off x="1734824" y="783055"/>
          <a:ext cx="808380" cy="808380"/>
        </a:xfrm>
        <a:solidFill>
          <a:srgbClr val="44546A">
            <a:lumMod val="40000"/>
            <a:lumOff val="60000"/>
          </a:srgbClr>
        </a:solidFill>
        <a:ln w="12700" cap="flat" cmpd="sng" algn="ctr">
          <a:solidFill>
            <a:sysClr val="window" lastClr="FFFFFF"/>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Pomoć u kući</a:t>
          </a:r>
          <a:endParaRPr lang="en-US">
            <a:solidFill>
              <a:sysClr val="window" lastClr="FFFFFF"/>
            </a:solidFill>
            <a:latin typeface="Calibri" panose="020F0502020204030204"/>
            <a:ea typeface="+mn-ea"/>
            <a:cs typeface="+mn-cs"/>
          </a:endParaRPr>
        </a:p>
      </dgm:t>
    </dgm:pt>
    <dgm:pt modelId="{F4308272-1D45-4617-B5EB-1BEE347BD4E8}" type="parTrans" cxnId="{C5C66B1A-8D8D-4C2C-8C6C-7F214558B26F}">
      <dgm:prSet/>
      <dgm:spPr>
        <a:xfrm rot="11880000">
          <a:off x="2586312" y="1219246"/>
          <a:ext cx="148277" cy="274849"/>
        </a:xfrm>
        <a:prstGeom prst="rightArrow">
          <a:avLst>
            <a:gd name="adj1" fmla="val 60000"/>
            <a:gd name="adj2" fmla="val 50000"/>
          </a:avLst>
        </a:prstGeom>
        <a:solidFill>
          <a:srgbClr val="70AD47">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D16769E4-94A8-4BD4-B406-6EED615D72DE}" type="sibTrans" cxnId="{C5C66B1A-8D8D-4C2C-8C6C-7F214558B26F}">
      <dgm:prSet/>
      <dgm:spPr>
        <a:xfrm>
          <a:off x="1556388" y="272797"/>
          <a:ext cx="1873754" cy="1873754"/>
        </a:xfrm>
        <a:prstGeom prst="blockArc">
          <a:avLst>
            <a:gd name="adj1" fmla="val 12600000"/>
            <a:gd name="adj2" fmla="val 16200000"/>
            <a:gd name="adj3" fmla="val 4515"/>
          </a:avLst>
        </a:prstGeom>
        <a:solidFill>
          <a:srgbClr val="ED7D31">
            <a:hueOff val="0"/>
            <a:satOff val="0"/>
            <a:lumOff val="0"/>
            <a:alphaOff val="0"/>
          </a:srgbClr>
        </a:solidFill>
        <a:ln>
          <a:noFill/>
        </a:ln>
        <a:effectLst/>
      </dgm:spPr>
      <dgm:t>
        <a:bodyPr/>
        <a:lstStyle/>
        <a:p>
          <a:endParaRPr lang="en-US"/>
        </a:p>
      </dgm:t>
    </dgm:pt>
    <dgm:pt modelId="{52D0A50F-5BAA-441F-9EAA-77A2F780380C}">
      <dgm:prSet phldrT="[Text]"/>
      <dgm:spPr>
        <a:xfrm>
          <a:off x="2810497" y="1533"/>
          <a:ext cx="808380" cy="808380"/>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Dnevni boravak</a:t>
          </a:r>
          <a:endParaRPr lang="en-US">
            <a:solidFill>
              <a:sysClr val="window" lastClr="FFFFFF"/>
            </a:solidFill>
            <a:latin typeface="Calibri" panose="020F0502020204030204"/>
            <a:ea typeface="+mn-ea"/>
            <a:cs typeface="+mn-cs"/>
          </a:endParaRPr>
        </a:p>
      </dgm:t>
    </dgm:pt>
    <dgm:pt modelId="{05C34AC4-7B94-4756-BEBE-09DDC3910A45}" type="sibTrans" cxnId="{8F942676-23A1-4750-8685-E91DFFE893F5}">
      <dgm:prSet/>
      <dgm:spPr>
        <a:xfrm>
          <a:off x="1556388" y="272797"/>
          <a:ext cx="1873754" cy="1873754"/>
        </a:xfrm>
        <a:prstGeom prst="blockArc">
          <a:avLst>
            <a:gd name="adj1" fmla="val 16200000"/>
            <a:gd name="adj2" fmla="val 19800000"/>
            <a:gd name="adj3" fmla="val 4515"/>
          </a:avLst>
        </a:prstGeom>
        <a:solidFill>
          <a:srgbClr val="ED7D31">
            <a:hueOff val="0"/>
            <a:satOff val="0"/>
            <a:lumOff val="0"/>
            <a:alphaOff val="0"/>
          </a:srgbClr>
        </a:solidFill>
        <a:ln>
          <a:noFill/>
        </a:ln>
        <a:effectLst/>
      </dgm:spPr>
      <dgm:t>
        <a:bodyPr/>
        <a:lstStyle/>
        <a:p>
          <a:endParaRPr lang="en-US"/>
        </a:p>
      </dgm:t>
    </dgm:pt>
    <dgm:pt modelId="{45C90A26-0874-4193-A0C5-D0C15C77A3F3}" type="parTrans" cxnId="{8F942676-23A1-4750-8685-E91DFFE893F5}">
      <dgm:prSet/>
      <dgm:spPr>
        <a:xfrm rot="16200000">
          <a:off x="3129185" y="838654"/>
          <a:ext cx="171003" cy="274849"/>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3B4FEC-C6D9-46D9-ADD1-7FE4F42F21EC}" type="pres">
      <dgm:prSet presAssocID="{D75D706D-E60A-400A-80F2-BDD7F2D2B92A}" presName="composite" presStyleCnt="0">
        <dgm:presLayoutVars>
          <dgm:chMax val="1"/>
          <dgm:dir/>
          <dgm:resizeHandles val="exact"/>
        </dgm:presLayoutVars>
      </dgm:prSet>
      <dgm:spPr/>
      <dgm:t>
        <a:bodyPr/>
        <a:lstStyle/>
        <a:p>
          <a:endParaRPr lang="en-US"/>
        </a:p>
      </dgm:t>
    </dgm:pt>
    <dgm:pt modelId="{835DBBB3-326F-4346-AB3E-F92CC5980FAF}" type="pres">
      <dgm:prSet presAssocID="{D75D706D-E60A-400A-80F2-BDD7F2D2B92A}" presName="radial" presStyleCnt="0">
        <dgm:presLayoutVars>
          <dgm:animLvl val="ctr"/>
        </dgm:presLayoutVars>
      </dgm:prSet>
      <dgm:spPr/>
    </dgm:pt>
    <dgm:pt modelId="{D3A9188D-F922-47AB-8F24-CD79CB9BF72B}" type="pres">
      <dgm:prSet presAssocID="{1E7B55ED-EC0D-4437-834D-87EF2E7AE22D}" presName="centerShape" presStyleLbl="vennNode1" presStyleIdx="0" presStyleCnt="6"/>
      <dgm:spPr>
        <a:prstGeom prst="ellipse">
          <a:avLst/>
        </a:prstGeom>
      </dgm:spPr>
      <dgm:t>
        <a:bodyPr/>
        <a:lstStyle/>
        <a:p>
          <a:endParaRPr lang="en-US"/>
        </a:p>
      </dgm:t>
    </dgm:pt>
    <dgm:pt modelId="{31907827-31EF-4FD2-B9E6-35B2E351537D}" type="pres">
      <dgm:prSet presAssocID="{52D0A50F-5BAA-441F-9EAA-77A2F780380C}" presName="node" presStyleLbl="vennNode1" presStyleIdx="1" presStyleCnt="6">
        <dgm:presLayoutVars>
          <dgm:bulletEnabled val="1"/>
        </dgm:presLayoutVars>
      </dgm:prSet>
      <dgm:spPr>
        <a:prstGeom prst="ellipse">
          <a:avLst/>
        </a:prstGeom>
      </dgm:spPr>
      <dgm:t>
        <a:bodyPr/>
        <a:lstStyle/>
        <a:p>
          <a:endParaRPr lang="en-US"/>
        </a:p>
      </dgm:t>
    </dgm:pt>
    <dgm:pt modelId="{E12EF807-8155-4C04-AAB5-670183FB544A}" type="pres">
      <dgm:prSet presAssocID="{D7E2431E-0F1E-443F-898E-7E820D38DF29}" presName="node" presStyleLbl="vennNode1" presStyleIdx="2" presStyleCnt="6">
        <dgm:presLayoutVars>
          <dgm:bulletEnabled val="1"/>
        </dgm:presLayoutVars>
      </dgm:prSet>
      <dgm:spPr>
        <a:prstGeom prst="ellipse">
          <a:avLst/>
        </a:prstGeom>
      </dgm:spPr>
      <dgm:t>
        <a:bodyPr/>
        <a:lstStyle/>
        <a:p>
          <a:endParaRPr lang="en-US"/>
        </a:p>
      </dgm:t>
    </dgm:pt>
    <dgm:pt modelId="{53511D3A-FD1A-4AC2-A6E2-30BBA4443A4D}" type="pres">
      <dgm:prSet presAssocID="{5700A094-2F9F-4816-A049-7859125A8876}" presName="node" presStyleLbl="vennNode1" presStyleIdx="3" presStyleCnt="6">
        <dgm:presLayoutVars>
          <dgm:bulletEnabled val="1"/>
        </dgm:presLayoutVars>
      </dgm:prSet>
      <dgm:spPr>
        <a:prstGeom prst="ellipse">
          <a:avLst/>
        </a:prstGeom>
      </dgm:spPr>
      <dgm:t>
        <a:bodyPr/>
        <a:lstStyle/>
        <a:p>
          <a:endParaRPr lang="en-US"/>
        </a:p>
      </dgm:t>
    </dgm:pt>
    <dgm:pt modelId="{686DF1DD-46C5-4212-9308-37EE14663172}" type="pres">
      <dgm:prSet presAssocID="{04AB6756-7ED4-4AF3-844A-7B8C1F243C67}" presName="node" presStyleLbl="vennNode1" presStyleIdx="4" presStyleCnt="6">
        <dgm:presLayoutVars>
          <dgm:bulletEnabled val="1"/>
        </dgm:presLayoutVars>
      </dgm:prSet>
      <dgm:spPr>
        <a:prstGeom prst="ellipse">
          <a:avLst/>
        </a:prstGeom>
      </dgm:spPr>
      <dgm:t>
        <a:bodyPr/>
        <a:lstStyle/>
        <a:p>
          <a:endParaRPr lang="en-US"/>
        </a:p>
      </dgm:t>
    </dgm:pt>
    <dgm:pt modelId="{E85348D5-EA56-4A1F-A70B-D3AC2D98AA8C}" type="pres">
      <dgm:prSet presAssocID="{193D90DC-4B19-40C4-885E-24FF7370067D}" presName="node" presStyleLbl="vennNode1" presStyleIdx="5" presStyleCnt="6">
        <dgm:presLayoutVars>
          <dgm:bulletEnabled val="1"/>
        </dgm:presLayoutVars>
      </dgm:prSet>
      <dgm:spPr>
        <a:prstGeom prst="ellipse">
          <a:avLst/>
        </a:prstGeom>
      </dgm:spPr>
      <dgm:t>
        <a:bodyPr/>
        <a:lstStyle/>
        <a:p>
          <a:endParaRPr lang="en-US"/>
        </a:p>
      </dgm:t>
    </dgm:pt>
  </dgm:ptLst>
  <dgm:cxnLst>
    <dgm:cxn modelId="{22FABDA6-1684-41A8-BEF8-75C2C755C8A9}" type="presOf" srcId="{5700A094-2F9F-4816-A049-7859125A8876}" destId="{53511D3A-FD1A-4AC2-A6E2-30BBA4443A4D}" srcOrd="0" destOrd="0" presId="urn:microsoft.com/office/officeart/2005/8/layout/radial3"/>
    <dgm:cxn modelId="{4EA7E371-1000-4909-8ED4-A46648EE9A2C}" srcId="{1E7B55ED-EC0D-4437-834D-87EF2E7AE22D}" destId="{04AB6756-7ED4-4AF3-844A-7B8C1F243C67}" srcOrd="3" destOrd="0" parTransId="{17288728-7F53-4591-8CC8-276A1F73BD6F}" sibTransId="{B3F7E7CD-0B88-4BF0-860E-6663F784E9FF}"/>
    <dgm:cxn modelId="{1D049706-33FD-48FD-810B-974A84E4F102}" srcId="{D75D706D-E60A-400A-80F2-BDD7F2D2B92A}" destId="{1E7B55ED-EC0D-4437-834D-87EF2E7AE22D}" srcOrd="0" destOrd="0" parTransId="{C4C6071D-3B14-4C3B-A8E8-653B89AB783C}" sibTransId="{B871B32C-81DD-4257-8BF3-26C2B8AD4082}"/>
    <dgm:cxn modelId="{9E08B1D7-1332-4D70-AF8E-5EAF519D53A5}" srcId="{1E7B55ED-EC0D-4437-834D-87EF2E7AE22D}" destId="{5700A094-2F9F-4816-A049-7859125A8876}" srcOrd="2" destOrd="0" parTransId="{3C435BE1-8E51-4420-B67C-1B21BA513308}" sibTransId="{FE50A68A-AEAB-4F05-92C2-44967E1B3422}"/>
    <dgm:cxn modelId="{EAF3117B-3BAE-4588-9C8B-7A8CD358B1D3}" type="presOf" srcId="{04AB6756-7ED4-4AF3-844A-7B8C1F243C67}" destId="{686DF1DD-46C5-4212-9308-37EE14663172}" srcOrd="0" destOrd="0" presId="urn:microsoft.com/office/officeart/2005/8/layout/radial3"/>
    <dgm:cxn modelId="{8F942676-23A1-4750-8685-E91DFFE893F5}" srcId="{1E7B55ED-EC0D-4437-834D-87EF2E7AE22D}" destId="{52D0A50F-5BAA-441F-9EAA-77A2F780380C}" srcOrd="0" destOrd="0" parTransId="{45C90A26-0874-4193-A0C5-D0C15C77A3F3}" sibTransId="{05C34AC4-7B94-4756-BEBE-09DDC3910A45}"/>
    <dgm:cxn modelId="{EEB52FA2-0086-4B83-B54F-181C98A6FEF2}" type="presOf" srcId="{193D90DC-4B19-40C4-885E-24FF7370067D}" destId="{E85348D5-EA56-4A1F-A70B-D3AC2D98AA8C}" srcOrd="0" destOrd="0" presId="urn:microsoft.com/office/officeart/2005/8/layout/radial3"/>
    <dgm:cxn modelId="{A20173F6-CF5F-44F2-9C08-0AF317D5F859}" type="presOf" srcId="{1E7B55ED-EC0D-4437-834D-87EF2E7AE22D}" destId="{D3A9188D-F922-47AB-8F24-CD79CB9BF72B}" srcOrd="0" destOrd="0" presId="urn:microsoft.com/office/officeart/2005/8/layout/radial3"/>
    <dgm:cxn modelId="{C5C66B1A-8D8D-4C2C-8C6C-7F214558B26F}" srcId="{1E7B55ED-EC0D-4437-834D-87EF2E7AE22D}" destId="{193D90DC-4B19-40C4-885E-24FF7370067D}" srcOrd="4" destOrd="0" parTransId="{F4308272-1D45-4617-B5EB-1BEE347BD4E8}" sibTransId="{D16769E4-94A8-4BD4-B406-6EED615D72DE}"/>
    <dgm:cxn modelId="{188640CD-9087-488D-9500-85DAAC48F6A0}" type="presOf" srcId="{D75D706D-E60A-400A-80F2-BDD7F2D2B92A}" destId="{653B4FEC-C6D9-46D9-ADD1-7FE4F42F21EC}" srcOrd="0" destOrd="0" presId="urn:microsoft.com/office/officeart/2005/8/layout/radial3"/>
    <dgm:cxn modelId="{8A0CC877-285E-4E26-8F78-9FE1277B406C}" type="presOf" srcId="{52D0A50F-5BAA-441F-9EAA-77A2F780380C}" destId="{31907827-31EF-4FD2-B9E6-35B2E351537D}" srcOrd="0" destOrd="0" presId="urn:microsoft.com/office/officeart/2005/8/layout/radial3"/>
    <dgm:cxn modelId="{7673AE8C-82F6-4BCC-A621-DAF714AD2A74}" type="presOf" srcId="{D7E2431E-0F1E-443F-898E-7E820D38DF29}" destId="{E12EF807-8155-4C04-AAB5-670183FB544A}" srcOrd="0" destOrd="0" presId="urn:microsoft.com/office/officeart/2005/8/layout/radial3"/>
    <dgm:cxn modelId="{D703A28B-3DDC-4F57-A716-49318CD5F811}" srcId="{1E7B55ED-EC0D-4437-834D-87EF2E7AE22D}" destId="{D7E2431E-0F1E-443F-898E-7E820D38DF29}" srcOrd="1" destOrd="0" parTransId="{AB9AF47A-602F-41FC-89BD-984B1C42AA08}" sibTransId="{A006CC06-6AA8-4CFC-B65E-83389FF9F4F7}"/>
    <dgm:cxn modelId="{13C2FC7B-834E-42A1-B9C8-508E56C74915}" type="presParOf" srcId="{653B4FEC-C6D9-46D9-ADD1-7FE4F42F21EC}" destId="{835DBBB3-326F-4346-AB3E-F92CC5980FAF}" srcOrd="0" destOrd="0" presId="urn:microsoft.com/office/officeart/2005/8/layout/radial3"/>
    <dgm:cxn modelId="{2CEED6CD-189B-4BB6-A006-9AF99AFD09DF}" type="presParOf" srcId="{835DBBB3-326F-4346-AB3E-F92CC5980FAF}" destId="{D3A9188D-F922-47AB-8F24-CD79CB9BF72B}" srcOrd="0" destOrd="0" presId="urn:microsoft.com/office/officeart/2005/8/layout/radial3"/>
    <dgm:cxn modelId="{7A6E2290-21AA-4ABB-B3B3-ED0B6B0FECC7}" type="presParOf" srcId="{835DBBB3-326F-4346-AB3E-F92CC5980FAF}" destId="{31907827-31EF-4FD2-B9E6-35B2E351537D}" srcOrd="1" destOrd="0" presId="urn:microsoft.com/office/officeart/2005/8/layout/radial3"/>
    <dgm:cxn modelId="{20D50C75-0440-4093-BB10-618E7A0514F4}" type="presParOf" srcId="{835DBBB3-326F-4346-AB3E-F92CC5980FAF}" destId="{E12EF807-8155-4C04-AAB5-670183FB544A}" srcOrd="2" destOrd="0" presId="urn:microsoft.com/office/officeart/2005/8/layout/radial3"/>
    <dgm:cxn modelId="{050AC615-5BF7-4256-BE01-E507948E8688}" type="presParOf" srcId="{835DBBB3-326F-4346-AB3E-F92CC5980FAF}" destId="{53511D3A-FD1A-4AC2-A6E2-30BBA4443A4D}" srcOrd="3" destOrd="0" presId="urn:microsoft.com/office/officeart/2005/8/layout/radial3"/>
    <dgm:cxn modelId="{7235EDE6-7869-4418-BFCB-61DCE71400EE}" type="presParOf" srcId="{835DBBB3-326F-4346-AB3E-F92CC5980FAF}" destId="{686DF1DD-46C5-4212-9308-37EE14663172}" srcOrd="4" destOrd="0" presId="urn:microsoft.com/office/officeart/2005/8/layout/radial3"/>
    <dgm:cxn modelId="{0EC9CDDE-AB35-49F1-8A02-D653DF3B4715}" type="presParOf" srcId="{835DBBB3-326F-4346-AB3E-F92CC5980FAF}" destId="{E85348D5-EA56-4A1F-A70B-D3AC2D98AA8C}" srcOrd="5" destOrd="0" presId="urn:microsoft.com/office/officeart/2005/8/layout/radial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5CEB54D-746F-4B8B-B246-7D41816B0058}" type="doc">
      <dgm:prSet loTypeId="urn:microsoft.com/office/officeart/2005/8/layout/hierarchy2" loCatId="hierarchy" qsTypeId="urn:microsoft.com/office/officeart/2005/8/quickstyle/3d5" qsCatId="3D" csTypeId="urn:microsoft.com/office/officeart/2005/8/colors/colorful1" csCatId="colorful" phldr="1"/>
      <dgm:spPr/>
      <dgm:t>
        <a:bodyPr/>
        <a:lstStyle/>
        <a:p>
          <a:endParaRPr lang="en-US"/>
        </a:p>
      </dgm:t>
    </dgm:pt>
    <dgm:pt modelId="{C6729CAB-DA61-41D2-92EC-D06617136721}">
      <dgm:prSet phldrT="[Text]">
        <dgm:style>
          <a:lnRef idx="2">
            <a:schemeClr val="accent1">
              <a:shade val="50000"/>
            </a:schemeClr>
          </a:lnRef>
          <a:fillRef idx="1">
            <a:schemeClr val="accent1"/>
          </a:fillRef>
          <a:effectRef idx="0">
            <a:schemeClr val="accent1"/>
          </a:effectRef>
          <a:fontRef idx="minor">
            <a:schemeClr val="lt1"/>
          </a:fontRef>
        </dgm:style>
      </dgm:prSet>
      <dgm:spPr>
        <a:xfrm>
          <a:off x="763934" y="949728"/>
          <a:ext cx="1649387" cy="824693"/>
        </a:xfrm>
        <a:prstGeom prst="roundRect">
          <a:avLst>
            <a:gd name="adj" fmla="val 10000"/>
          </a:avLst>
        </a:prstGeom>
        <a:solidFill>
          <a:srgbClr val="4472C4"/>
        </a:solidFill>
        <a:ln w="12700" cap="flat" cmpd="sng" algn="ctr">
          <a:solidFill>
            <a:srgbClr val="4472C4">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Savjetodavno-                -terapijske i socijalno- -edukativne usluge </a:t>
          </a:r>
          <a:endParaRPr lang="en-US">
            <a:solidFill>
              <a:sysClr val="window" lastClr="FFFFFF"/>
            </a:solidFill>
            <a:latin typeface="Calibri" panose="020F0502020204030204"/>
            <a:ea typeface="+mn-ea"/>
            <a:cs typeface="+mn-cs"/>
          </a:endParaRPr>
        </a:p>
      </dgm:t>
    </dgm:pt>
    <dgm:pt modelId="{93A6DE30-1A69-4CFD-8451-93C407046964}" type="parTrans" cxnId="{DABCF9C3-B606-49C7-AAED-AE2746A05341}">
      <dgm:prSet/>
      <dgm:spPr/>
      <dgm:t>
        <a:bodyPr/>
        <a:lstStyle/>
        <a:p>
          <a:endParaRPr lang="en-US"/>
        </a:p>
      </dgm:t>
    </dgm:pt>
    <dgm:pt modelId="{B8562E5B-0E8E-4948-88D4-582A06FBD171}" type="sibTrans" cxnId="{DABCF9C3-B606-49C7-AAED-AE2746A05341}">
      <dgm:prSet/>
      <dgm:spPr/>
      <dgm:t>
        <a:bodyPr/>
        <a:lstStyle/>
        <a:p>
          <a:endParaRPr lang="en-US"/>
        </a:p>
      </dgm:t>
    </dgm:pt>
    <dgm:pt modelId="{61253747-B1B5-4B53-8D89-BBB5B57B9DD4}">
      <dgm:prSet phldrT="[Text]">
        <dgm:style>
          <a:lnRef idx="2">
            <a:schemeClr val="accent2">
              <a:shade val="50000"/>
            </a:schemeClr>
          </a:lnRef>
          <a:fillRef idx="1">
            <a:schemeClr val="accent2"/>
          </a:fillRef>
          <a:effectRef idx="0">
            <a:schemeClr val="accent2"/>
          </a:effectRef>
          <a:fontRef idx="minor">
            <a:schemeClr val="lt1"/>
          </a:fontRef>
        </dgm:style>
      </dgm:prSet>
      <dgm:spPr>
        <a:xfrm>
          <a:off x="3073077" y="1330"/>
          <a:ext cx="1649387" cy="824693"/>
        </a:xfrm>
        <a:prstGeom prst="roundRect">
          <a:avLst>
            <a:gd name="adj" fmla="val 10000"/>
          </a:avLst>
        </a:prstGeom>
        <a:solidFill>
          <a:srgbClr val="ED7D31"/>
        </a:solidFill>
        <a:ln w="12700" cap="flat" cmpd="sng" algn="ctr">
          <a:solidFill>
            <a:srgbClr val="ED7D31">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Savjetovanje</a:t>
          </a:r>
          <a:endParaRPr lang="en-US">
            <a:solidFill>
              <a:sysClr val="window" lastClr="FFFFFF"/>
            </a:solidFill>
            <a:latin typeface="Calibri" panose="020F0502020204030204"/>
            <a:ea typeface="+mn-ea"/>
            <a:cs typeface="+mn-cs"/>
          </a:endParaRPr>
        </a:p>
      </dgm:t>
    </dgm:pt>
    <dgm:pt modelId="{3641EE75-D5EB-4BF4-A63A-F84561C7C035}" type="parTrans" cxnId="{ED10F016-68EA-460C-927D-8934BFFB655B}">
      <dgm:prSet/>
      <dgm:spPr>
        <a:xfrm rot="18289469">
          <a:off x="2165546" y="860629"/>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5155C83-52A6-4ADB-91FE-4768FD759830}" type="sibTrans" cxnId="{ED10F016-68EA-460C-927D-8934BFFB655B}">
      <dgm:prSet/>
      <dgm:spPr/>
      <dgm:t>
        <a:bodyPr/>
        <a:lstStyle/>
        <a:p>
          <a:endParaRPr lang="en-US"/>
        </a:p>
      </dgm:t>
    </dgm:pt>
    <dgm:pt modelId="{2F2830E4-480D-47C2-803F-3E5F1E53ED62}">
      <dgm:prSet phldrT="[Text]">
        <dgm:style>
          <a:lnRef idx="2">
            <a:schemeClr val="accent6">
              <a:shade val="50000"/>
            </a:schemeClr>
          </a:lnRef>
          <a:fillRef idx="1">
            <a:schemeClr val="accent6"/>
          </a:fillRef>
          <a:effectRef idx="0">
            <a:schemeClr val="accent6"/>
          </a:effectRef>
          <a:fontRef idx="minor">
            <a:schemeClr val="lt1"/>
          </a:fontRef>
        </dgm:style>
      </dgm:prSet>
      <dgm:spPr>
        <a:xfrm>
          <a:off x="3073077" y="949728"/>
          <a:ext cx="1649387" cy="824693"/>
        </a:xfrm>
        <a:prstGeom prst="roundRect">
          <a:avLst>
            <a:gd name="adj" fmla="val 10000"/>
          </a:avLst>
        </a:prstGeom>
        <a:solidFill>
          <a:srgbClr val="70AD47"/>
        </a:solidFill>
        <a:ln w="12700" cap="flat" cmpd="sng" algn="ctr">
          <a:solidFill>
            <a:srgbClr val="70AD47">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Terapija</a:t>
          </a:r>
          <a:endParaRPr lang="en-US">
            <a:solidFill>
              <a:sysClr val="window" lastClr="FFFFFF"/>
            </a:solidFill>
            <a:latin typeface="Calibri" panose="020F0502020204030204"/>
            <a:ea typeface="+mn-ea"/>
            <a:cs typeface="+mn-cs"/>
          </a:endParaRPr>
        </a:p>
      </dgm:t>
    </dgm:pt>
    <dgm:pt modelId="{FEF03279-EB03-4336-AEB0-6A87FC752399}" type="parTrans" cxnId="{FAA7BD7B-D770-4068-B66C-B3B4BE4644D7}">
      <dgm:prSet/>
      <dgm:spPr>
        <a:xfrm>
          <a:off x="2413322" y="1334828"/>
          <a:ext cx="659755" cy="54492"/>
        </a:xfrm>
        <a:custGeom>
          <a:avLst/>
          <a:gdLst/>
          <a:ahLst/>
          <a:cxnLst/>
          <a:rect l="0" t="0" r="0" b="0"/>
          <a:pathLst>
            <a:path>
              <a:moveTo>
                <a:pt x="0" y="27246"/>
              </a:moveTo>
              <a:lnTo>
                <a:pt x="775096" y="27246"/>
              </a:lnTo>
            </a:path>
          </a:pathLst>
        </a:custGeo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673D079-3F37-4A75-B9A9-BA54E350A484}" type="sibTrans" cxnId="{FAA7BD7B-D770-4068-B66C-B3B4BE4644D7}">
      <dgm:prSet/>
      <dgm:spPr/>
      <dgm:t>
        <a:bodyPr/>
        <a:lstStyle/>
        <a:p>
          <a:endParaRPr lang="en-US"/>
        </a:p>
      </dgm:t>
    </dgm:pt>
    <dgm:pt modelId="{82DB4A34-C470-4C66-B62F-A3370DA68959}">
      <dgm:prSet phldrT="[Text]">
        <dgm:style>
          <a:lnRef idx="2">
            <a:schemeClr val="accent4">
              <a:shade val="50000"/>
            </a:schemeClr>
          </a:lnRef>
          <a:fillRef idx="1">
            <a:schemeClr val="accent4"/>
          </a:fillRef>
          <a:effectRef idx="0">
            <a:schemeClr val="accent4"/>
          </a:effectRef>
          <a:fontRef idx="minor">
            <a:schemeClr val="lt1"/>
          </a:fontRef>
        </dgm:style>
      </dgm:prSet>
      <dgm:spPr>
        <a:xfrm>
          <a:off x="3073077" y="1898126"/>
          <a:ext cx="1649387" cy="824693"/>
        </a:xfrm>
        <a:prstGeom prst="roundRect">
          <a:avLst>
            <a:gd name="adj" fmla="val 10000"/>
          </a:avLst>
        </a:prstGeom>
        <a:solidFill>
          <a:srgbClr val="FFC000"/>
        </a:solidFill>
        <a:ln w="12700" cap="flat" cmpd="sng" algn="ctr">
          <a:solidFill>
            <a:srgbClr val="FFC000">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SOS telefon</a:t>
          </a:r>
        </a:p>
      </dgm:t>
    </dgm:pt>
    <dgm:pt modelId="{A7BF1D7F-B29C-4150-BB60-187D8B2286C6}" type="parTrans" cxnId="{2131BD0A-345F-4580-80AB-40394E1B9BFF}">
      <dgm:prSet/>
      <dgm:spPr>
        <a:xfrm rot="3310531">
          <a:off x="2165546" y="1809027"/>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A78F6DA-6F1F-476B-A20F-47B310614113}" type="sibTrans" cxnId="{2131BD0A-345F-4580-80AB-40394E1B9BFF}">
      <dgm:prSet/>
      <dgm:spPr/>
      <dgm:t>
        <a:bodyPr/>
        <a:lstStyle/>
        <a:p>
          <a:endParaRPr lang="en-US"/>
        </a:p>
      </dgm:t>
    </dgm:pt>
    <dgm:pt modelId="{8FB8DEE2-0112-4B8C-9F7B-AE1E77AD1BFB}" type="pres">
      <dgm:prSet presAssocID="{B5CEB54D-746F-4B8B-B246-7D41816B0058}" presName="diagram" presStyleCnt="0">
        <dgm:presLayoutVars>
          <dgm:chPref val="1"/>
          <dgm:dir/>
          <dgm:animOne val="branch"/>
          <dgm:animLvl val="lvl"/>
          <dgm:resizeHandles val="exact"/>
        </dgm:presLayoutVars>
      </dgm:prSet>
      <dgm:spPr/>
      <dgm:t>
        <a:bodyPr/>
        <a:lstStyle/>
        <a:p>
          <a:endParaRPr lang="en-US"/>
        </a:p>
      </dgm:t>
    </dgm:pt>
    <dgm:pt modelId="{7A923FE9-A1D9-4245-95B6-DE6DBABC66A5}" type="pres">
      <dgm:prSet presAssocID="{C6729CAB-DA61-41D2-92EC-D06617136721}" presName="root1" presStyleCnt="0"/>
      <dgm:spPr/>
    </dgm:pt>
    <dgm:pt modelId="{7C92F4A8-6199-482A-BE07-6DA5D8763FEE}" type="pres">
      <dgm:prSet presAssocID="{C6729CAB-DA61-41D2-92EC-D06617136721}" presName="LevelOneTextNode" presStyleLbl="node0" presStyleIdx="0" presStyleCnt="1">
        <dgm:presLayoutVars>
          <dgm:chPref val="3"/>
        </dgm:presLayoutVars>
      </dgm:prSet>
      <dgm:spPr/>
      <dgm:t>
        <a:bodyPr/>
        <a:lstStyle/>
        <a:p>
          <a:endParaRPr lang="en-US"/>
        </a:p>
      </dgm:t>
    </dgm:pt>
    <dgm:pt modelId="{9CEE1917-0377-4001-BFFD-FFB7934D5871}" type="pres">
      <dgm:prSet presAssocID="{C6729CAB-DA61-41D2-92EC-D06617136721}" presName="level2hierChild" presStyleCnt="0"/>
      <dgm:spPr/>
    </dgm:pt>
    <dgm:pt modelId="{A3BC6B55-C893-41E1-BB71-1F9AA71F6805}" type="pres">
      <dgm:prSet presAssocID="{3641EE75-D5EB-4BF4-A63A-F84561C7C035}" presName="conn2-1" presStyleLbl="parChTrans1D2" presStyleIdx="0" presStyleCnt="3"/>
      <dgm:spPr/>
      <dgm:t>
        <a:bodyPr/>
        <a:lstStyle/>
        <a:p>
          <a:endParaRPr lang="en-US"/>
        </a:p>
      </dgm:t>
    </dgm:pt>
    <dgm:pt modelId="{1DB380C8-5617-444B-A487-2CAE09CC2488}" type="pres">
      <dgm:prSet presAssocID="{3641EE75-D5EB-4BF4-A63A-F84561C7C035}" presName="connTx" presStyleLbl="parChTrans1D2" presStyleIdx="0" presStyleCnt="3"/>
      <dgm:spPr/>
      <dgm:t>
        <a:bodyPr/>
        <a:lstStyle/>
        <a:p>
          <a:endParaRPr lang="en-US"/>
        </a:p>
      </dgm:t>
    </dgm:pt>
    <dgm:pt modelId="{EF4EAEF5-A5A9-4C2D-8143-4192A3067A5A}" type="pres">
      <dgm:prSet presAssocID="{61253747-B1B5-4B53-8D89-BBB5B57B9DD4}" presName="root2" presStyleCnt="0"/>
      <dgm:spPr/>
    </dgm:pt>
    <dgm:pt modelId="{FC567460-D7AA-4777-9BD3-D1E341208BFE}" type="pres">
      <dgm:prSet presAssocID="{61253747-B1B5-4B53-8D89-BBB5B57B9DD4}" presName="LevelTwoTextNode" presStyleLbl="node2" presStyleIdx="0" presStyleCnt="3">
        <dgm:presLayoutVars>
          <dgm:chPref val="3"/>
        </dgm:presLayoutVars>
      </dgm:prSet>
      <dgm:spPr/>
      <dgm:t>
        <a:bodyPr/>
        <a:lstStyle/>
        <a:p>
          <a:endParaRPr lang="en-US"/>
        </a:p>
      </dgm:t>
    </dgm:pt>
    <dgm:pt modelId="{2461A188-427D-4C6C-BF0E-C944F5DD9532}" type="pres">
      <dgm:prSet presAssocID="{61253747-B1B5-4B53-8D89-BBB5B57B9DD4}" presName="level3hierChild" presStyleCnt="0"/>
      <dgm:spPr/>
    </dgm:pt>
    <dgm:pt modelId="{312A7FE7-61B7-45E8-8569-AE51B0368F53}" type="pres">
      <dgm:prSet presAssocID="{FEF03279-EB03-4336-AEB0-6A87FC752399}" presName="conn2-1" presStyleLbl="parChTrans1D2" presStyleIdx="1" presStyleCnt="3"/>
      <dgm:spPr/>
      <dgm:t>
        <a:bodyPr/>
        <a:lstStyle/>
        <a:p>
          <a:endParaRPr lang="en-US"/>
        </a:p>
      </dgm:t>
    </dgm:pt>
    <dgm:pt modelId="{65F2DD27-4C79-49BB-BEDB-A0C41FCBD765}" type="pres">
      <dgm:prSet presAssocID="{FEF03279-EB03-4336-AEB0-6A87FC752399}" presName="connTx" presStyleLbl="parChTrans1D2" presStyleIdx="1" presStyleCnt="3"/>
      <dgm:spPr/>
      <dgm:t>
        <a:bodyPr/>
        <a:lstStyle/>
        <a:p>
          <a:endParaRPr lang="en-US"/>
        </a:p>
      </dgm:t>
    </dgm:pt>
    <dgm:pt modelId="{0AAAEAF1-9A60-4C17-BFC8-D42E53D8C294}" type="pres">
      <dgm:prSet presAssocID="{2F2830E4-480D-47C2-803F-3E5F1E53ED62}" presName="root2" presStyleCnt="0"/>
      <dgm:spPr/>
    </dgm:pt>
    <dgm:pt modelId="{24605C67-7EA9-4B06-B13A-76807A85C5FA}" type="pres">
      <dgm:prSet presAssocID="{2F2830E4-480D-47C2-803F-3E5F1E53ED62}" presName="LevelTwoTextNode" presStyleLbl="node2" presStyleIdx="1" presStyleCnt="3">
        <dgm:presLayoutVars>
          <dgm:chPref val="3"/>
        </dgm:presLayoutVars>
      </dgm:prSet>
      <dgm:spPr/>
      <dgm:t>
        <a:bodyPr/>
        <a:lstStyle/>
        <a:p>
          <a:endParaRPr lang="en-US"/>
        </a:p>
      </dgm:t>
    </dgm:pt>
    <dgm:pt modelId="{1522C585-C2BB-46EB-92E4-BE41F7562367}" type="pres">
      <dgm:prSet presAssocID="{2F2830E4-480D-47C2-803F-3E5F1E53ED62}" presName="level3hierChild" presStyleCnt="0"/>
      <dgm:spPr/>
    </dgm:pt>
    <dgm:pt modelId="{8210CCC3-170B-49E4-897A-6274E5DEC603}" type="pres">
      <dgm:prSet presAssocID="{A7BF1D7F-B29C-4150-BB60-187D8B2286C6}" presName="conn2-1" presStyleLbl="parChTrans1D2" presStyleIdx="2" presStyleCnt="3"/>
      <dgm:spPr/>
      <dgm:t>
        <a:bodyPr/>
        <a:lstStyle/>
        <a:p>
          <a:endParaRPr lang="en-US"/>
        </a:p>
      </dgm:t>
    </dgm:pt>
    <dgm:pt modelId="{843C632A-BAA4-48F7-A6FA-301C7A24F0B4}" type="pres">
      <dgm:prSet presAssocID="{A7BF1D7F-B29C-4150-BB60-187D8B2286C6}" presName="connTx" presStyleLbl="parChTrans1D2" presStyleIdx="2" presStyleCnt="3"/>
      <dgm:spPr/>
      <dgm:t>
        <a:bodyPr/>
        <a:lstStyle/>
        <a:p>
          <a:endParaRPr lang="en-US"/>
        </a:p>
      </dgm:t>
    </dgm:pt>
    <dgm:pt modelId="{2465AE21-6527-4807-9000-796BC60F69B5}" type="pres">
      <dgm:prSet presAssocID="{82DB4A34-C470-4C66-B62F-A3370DA68959}" presName="root2" presStyleCnt="0"/>
      <dgm:spPr/>
    </dgm:pt>
    <dgm:pt modelId="{FC854CF2-5B16-470C-A233-5564D6EA25B1}" type="pres">
      <dgm:prSet presAssocID="{82DB4A34-C470-4C66-B62F-A3370DA68959}" presName="LevelTwoTextNode" presStyleLbl="node2" presStyleIdx="2" presStyleCnt="3">
        <dgm:presLayoutVars>
          <dgm:chPref val="3"/>
        </dgm:presLayoutVars>
      </dgm:prSet>
      <dgm:spPr/>
      <dgm:t>
        <a:bodyPr/>
        <a:lstStyle/>
        <a:p>
          <a:endParaRPr lang="en-US"/>
        </a:p>
      </dgm:t>
    </dgm:pt>
    <dgm:pt modelId="{6BD107C7-2F4B-44C3-8152-D4C89869AAEB}" type="pres">
      <dgm:prSet presAssocID="{82DB4A34-C470-4C66-B62F-A3370DA68959}" presName="level3hierChild" presStyleCnt="0"/>
      <dgm:spPr/>
    </dgm:pt>
  </dgm:ptLst>
  <dgm:cxnLst>
    <dgm:cxn modelId="{2131BD0A-345F-4580-80AB-40394E1B9BFF}" srcId="{C6729CAB-DA61-41D2-92EC-D06617136721}" destId="{82DB4A34-C470-4C66-B62F-A3370DA68959}" srcOrd="2" destOrd="0" parTransId="{A7BF1D7F-B29C-4150-BB60-187D8B2286C6}" sibTransId="{BA78F6DA-6F1F-476B-A20F-47B310614113}"/>
    <dgm:cxn modelId="{C1A629DA-865D-4FC2-92F0-8CB40110855F}" type="presOf" srcId="{C6729CAB-DA61-41D2-92EC-D06617136721}" destId="{7C92F4A8-6199-482A-BE07-6DA5D8763FEE}" srcOrd="0" destOrd="0" presId="urn:microsoft.com/office/officeart/2005/8/layout/hierarchy2"/>
    <dgm:cxn modelId="{0686C475-4802-4376-A216-6CFCC89BAD34}" type="presOf" srcId="{3641EE75-D5EB-4BF4-A63A-F84561C7C035}" destId="{A3BC6B55-C893-41E1-BB71-1F9AA71F6805}" srcOrd="0" destOrd="0" presId="urn:microsoft.com/office/officeart/2005/8/layout/hierarchy2"/>
    <dgm:cxn modelId="{DABCF9C3-B606-49C7-AAED-AE2746A05341}" srcId="{B5CEB54D-746F-4B8B-B246-7D41816B0058}" destId="{C6729CAB-DA61-41D2-92EC-D06617136721}" srcOrd="0" destOrd="0" parTransId="{93A6DE30-1A69-4CFD-8451-93C407046964}" sibTransId="{B8562E5B-0E8E-4948-88D4-582A06FBD171}"/>
    <dgm:cxn modelId="{74577B58-1301-4FB7-86BA-1A8F8BFEEF4E}" type="presOf" srcId="{2F2830E4-480D-47C2-803F-3E5F1E53ED62}" destId="{24605C67-7EA9-4B06-B13A-76807A85C5FA}" srcOrd="0" destOrd="0" presId="urn:microsoft.com/office/officeart/2005/8/layout/hierarchy2"/>
    <dgm:cxn modelId="{668F2B68-D677-4C68-A705-F213BDB73B51}" type="presOf" srcId="{82DB4A34-C470-4C66-B62F-A3370DA68959}" destId="{FC854CF2-5B16-470C-A233-5564D6EA25B1}" srcOrd="0" destOrd="0" presId="urn:microsoft.com/office/officeart/2005/8/layout/hierarchy2"/>
    <dgm:cxn modelId="{ED10F016-68EA-460C-927D-8934BFFB655B}" srcId="{C6729CAB-DA61-41D2-92EC-D06617136721}" destId="{61253747-B1B5-4B53-8D89-BBB5B57B9DD4}" srcOrd="0" destOrd="0" parTransId="{3641EE75-D5EB-4BF4-A63A-F84561C7C035}" sibTransId="{D5155C83-52A6-4ADB-91FE-4768FD759830}"/>
    <dgm:cxn modelId="{229BAD50-41F3-44E3-AF75-D145F58F9AF7}" type="presOf" srcId="{B5CEB54D-746F-4B8B-B246-7D41816B0058}" destId="{8FB8DEE2-0112-4B8C-9F7B-AE1E77AD1BFB}" srcOrd="0" destOrd="0" presId="urn:microsoft.com/office/officeart/2005/8/layout/hierarchy2"/>
    <dgm:cxn modelId="{EAB41024-2D89-4D4F-B5FF-68FFCC7D9644}" type="presOf" srcId="{FEF03279-EB03-4336-AEB0-6A87FC752399}" destId="{312A7FE7-61B7-45E8-8569-AE51B0368F53}" srcOrd="0" destOrd="0" presId="urn:microsoft.com/office/officeart/2005/8/layout/hierarchy2"/>
    <dgm:cxn modelId="{B21A24A9-A437-4061-8F61-28175977BCBC}" type="presOf" srcId="{3641EE75-D5EB-4BF4-A63A-F84561C7C035}" destId="{1DB380C8-5617-444B-A487-2CAE09CC2488}" srcOrd="1" destOrd="0" presId="urn:microsoft.com/office/officeart/2005/8/layout/hierarchy2"/>
    <dgm:cxn modelId="{9FE653DA-7318-4E8C-99D1-8D4D1D3C4174}" type="presOf" srcId="{A7BF1D7F-B29C-4150-BB60-187D8B2286C6}" destId="{843C632A-BAA4-48F7-A6FA-301C7A24F0B4}" srcOrd="1" destOrd="0" presId="urn:microsoft.com/office/officeart/2005/8/layout/hierarchy2"/>
    <dgm:cxn modelId="{101FAB7A-C956-4096-9A08-0F788C550B57}" type="presOf" srcId="{A7BF1D7F-B29C-4150-BB60-187D8B2286C6}" destId="{8210CCC3-170B-49E4-897A-6274E5DEC603}" srcOrd="0" destOrd="0" presId="urn:microsoft.com/office/officeart/2005/8/layout/hierarchy2"/>
    <dgm:cxn modelId="{5A272CB6-982F-42DC-A933-782E969987E0}" type="presOf" srcId="{FEF03279-EB03-4336-AEB0-6A87FC752399}" destId="{65F2DD27-4C79-49BB-BEDB-A0C41FCBD765}" srcOrd="1" destOrd="0" presId="urn:microsoft.com/office/officeart/2005/8/layout/hierarchy2"/>
    <dgm:cxn modelId="{FAA7BD7B-D770-4068-B66C-B3B4BE4644D7}" srcId="{C6729CAB-DA61-41D2-92EC-D06617136721}" destId="{2F2830E4-480D-47C2-803F-3E5F1E53ED62}" srcOrd="1" destOrd="0" parTransId="{FEF03279-EB03-4336-AEB0-6A87FC752399}" sibTransId="{7673D079-3F37-4A75-B9A9-BA54E350A484}"/>
    <dgm:cxn modelId="{4FCB0B0B-DB3E-4BDE-93EE-A1E7BEFDD0DB}" type="presOf" srcId="{61253747-B1B5-4B53-8D89-BBB5B57B9DD4}" destId="{FC567460-D7AA-4777-9BD3-D1E341208BFE}" srcOrd="0" destOrd="0" presId="urn:microsoft.com/office/officeart/2005/8/layout/hierarchy2"/>
    <dgm:cxn modelId="{7B91D20F-8D42-4234-8422-FA04D17884E5}" type="presParOf" srcId="{8FB8DEE2-0112-4B8C-9F7B-AE1E77AD1BFB}" destId="{7A923FE9-A1D9-4245-95B6-DE6DBABC66A5}" srcOrd="0" destOrd="0" presId="urn:microsoft.com/office/officeart/2005/8/layout/hierarchy2"/>
    <dgm:cxn modelId="{C4E6D7D1-314C-44E0-B838-51292C5B4165}" type="presParOf" srcId="{7A923FE9-A1D9-4245-95B6-DE6DBABC66A5}" destId="{7C92F4A8-6199-482A-BE07-6DA5D8763FEE}" srcOrd="0" destOrd="0" presId="urn:microsoft.com/office/officeart/2005/8/layout/hierarchy2"/>
    <dgm:cxn modelId="{26A9BA67-4019-425E-A574-5C710C84727E}" type="presParOf" srcId="{7A923FE9-A1D9-4245-95B6-DE6DBABC66A5}" destId="{9CEE1917-0377-4001-BFFD-FFB7934D5871}" srcOrd="1" destOrd="0" presId="urn:microsoft.com/office/officeart/2005/8/layout/hierarchy2"/>
    <dgm:cxn modelId="{F4AC8B15-38CE-490C-A94E-E5318686A68F}" type="presParOf" srcId="{9CEE1917-0377-4001-BFFD-FFB7934D5871}" destId="{A3BC6B55-C893-41E1-BB71-1F9AA71F6805}" srcOrd="0" destOrd="0" presId="urn:microsoft.com/office/officeart/2005/8/layout/hierarchy2"/>
    <dgm:cxn modelId="{9BE3A95E-12EF-46DF-BFCA-C311EB893B5A}" type="presParOf" srcId="{A3BC6B55-C893-41E1-BB71-1F9AA71F6805}" destId="{1DB380C8-5617-444B-A487-2CAE09CC2488}" srcOrd="0" destOrd="0" presId="urn:microsoft.com/office/officeart/2005/8/layout/hierarchy2"/>
    <dgm:cxn modelId="{863B7CBA-9681-4342-8F2E-26E08650A395}" type="presParOf" srcId="{9CEE1917-0377-4001-BFFD-FFB7934D5871}" destId="{EF4EAEF5-A5A9-4C2D-8143-4192A3067A5A}" srcOrd="1" destOrd="0" presId="urn:microsoft.com/office/officeart/2005/8/layout/hierarchy2"/>
    <dgm:cxn modelId="{21F4254C-FD4B-438C-9F6B-11E1AD148E2C}" type="presParOf" srcId="{EF4EAEF5-A5A9-4C2D-8143-4192A3067A5A}" destId="{FC567460-D7AA-4777-9BD3-D1E341208BFE}" srcOrd="0" destOrd="0" presId="urn:microsoft.com/office/officeart/2005/8/layout/hierarchy2"/>
    <dgm:cxn modelId="{12CDD8C2-7744-4AE9-A779-1452BCB0429E}" type="presParOf" srcId="{EF4EAEF5-A5A9-4C2D-8143-4192A3067A5A}" destId="{2461A188-427D-4C6C-BF0E-C944F5DD9532}" srcOrd="1" destOrd="0" presId="urn:microsoft.com/office/officeart/2005/8/layout/hierarchy2"/>
    <dgm:cxn modelId="{96B56758-2568-4AA1-AD96-284FDFD2AB5B}" type="presParOf" srcId="{9CEE1917-0377-4001-BFFD-FFB7934D5871}" destId="{312A7FE7-61B7-45E8-8569-AE51B0368F53}" srcOrd="2" destOrd="0" presId="urn:microsoft.com/office/officeart/2005/8/layout/hierarchy2"/>
    <dgm:cxn modelId="{38C158EC-E244-40FC-A4FE-1841BCDEC1EF}" type="presParOf" srcId="{312A7FE7-61B7-45E8-8569-AE51B0368F53}" destId="{65F2DD27-4C79-49BB-BEDB-A0C41FCBD765}" srcOrd="0" destOrd="0" presId="urn:microsoft.com/office/officeart/2005/8/layout/hierarchy2"/>
    <dgm:cxn modelId="{57F79E10-2689-43E6-825B-6CB1255F8D02}" type="presParOf" srcId="{9CEE1917-0377-4001-BFFD-FFB7934D5871}" destId="{0AAAEAF1-9A60-4C17-BFC8-D42E53D8C294}" srcOrd="3" destOrd="0" presId="urn:microsoft.com/office/officeart/2005/8/layout/hierarchy2"/>
    <dgm:cxn modelId="{C0B1FC28-0864-431D-B4D0-AA9B0CE9DA90}" type="presParOf" srcId="{0AAAEAF1-9A60-4C17-BFC8-D42E53D8C294}" destId="{24605C67-7EA9-4B06-B13A-76807A85C5FA}" srcOrd="0" destOrd="0" presId="urn:microsoft.com/office/officeart/2005/8/layout/hierarchy2"/>
    <dgm:cxn modelId="{65A46F95-503F-401F-A270-D88256E5B038}" type="presParOf" srcId="{0AAAEAF1-9A60-4C17-BFC8-D42E53D8C294}" destId="{1522C585-C2BB-46EB-92E4-BE41F7562367}" srcOrd="1" destOrd="0" presId="urn:microsoft.com/office/officeart/2005/8/layout/hierarchy2"/>
    <dgm:cxn modelId="{A5735240-F860-4DA5-B912-AD1571EDFA74}" type="presParOf" srcId="{9CEE1917-0377-4001-BFFD-FFB7934D5871}" destId="{8210CCC3-170B-49E4-897A-6274E5DEC603}" srcOrd="4" destOrd="0" presId="urn:microsoft.com/office/officeart/2005/8/layout/hierarchy2"/>
    <dgm:cxn modelId="{754DC454-B594-4354-A76A-6008B80218B2}" type="presParOf" srcId="{8210CCC3-170B-49E4-897A-6274E5DEC603}" destId="{843C632A-BAA4-48F7-A6FA-301C7A24F0B4}" srcOrd="0" destOrd="0" presId="urn:microsoft.com/office/officeart/2005/8/layout/hierarchy2"/>
    <dgm:cxn modelId="{DB468845-434A-43D0-B386-E122563BDA3F}" type="presParOf" srcId="{9CEE1917-0377-4001-BFFD-FFB7934D5871}" destId="{2465AE21-6527-4807-9000-796BC60F69B5}" srcOrd="5" destOrd="0" presId="urn:microsoft.com/office/officeart/2005/8/layout/hierarchy2"/>
    <dgm:cxn modelId="{C86753D9-5111-477D-AEDA-33B55320900C}" type="presParOf" srcId="{2465AE21-6527-4807-9000-796BC60F69B5}" destId="{FC854CF2-5B16-470C-A233-5564D6EA25B1}" srcOrd="0" destOrd="0" presId="urn:microsoft.com/office/officeart/2005/8/layout/hierarchy2"/>
    <dgm:cxn modelId="{26DF5410-A383-46B2-AFED-912CA31D2214}" type="presParOf" srcId="{2465AE21-6527-4807-9000-796BC60F69B5}" destId="{6BD107C7-2F4B-44C3-8152-D4C89869AAEB}"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90E75F-83E3-470F-A1CC-C5963BD167C4}">
      <dsp:nvSpPr>
        <dsp:cNvPr id="0" name=""/>
        <dsp:cNvSpPr/>
      </dsp:nvSpPr>
      <dsp:spPr>
        <a:xfrm>
          <a:off x="1036573" y="497043"/>
          <a:ext cx="2327635" cy="2397497"/>
        </a:xfrm>
        <a:prstGeom prst="blockArc">
          <a:avLst>
            <a:gd name="adj1" fmla="val 11379706"/>
            <a:gd name="adj2" fmla="val 16294793"/>
            <a:gd name="adj3" fmla="val 4636"/>
          </a:avLst>
        </a:prstGeom>
        <a:solidFill>
          <a:schemeClr val="accent5">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065F1A5-DB40-4157-A2E5-333F83D0D2D8}">
      <dsp:nvSpPr>
        <dsp:cNvPr id="0" name=""/>
        <dsp:cNvSpPr/>
      </dsp:nvSpPr>
      <dsp:spPr>
        <a:xfrm>
          <a:off x="1099805" y="193665"/>
          <a:ext cx="2197041" cy="2224755"/>
        </a:xfrm>
        <a:prstGeom prst="blockArc">
          <a:avLst>
            <a:gd name="adj1" fmla="val 5151762"/>
            <a:gd name="adj2" fmla="val 10183868"/>
            <a:gd name="adj3" fmla="val 4636"/>
          </a:avLst>
        </a:prstGeom>
        <a:solidFill>
          <a:schemeClr val="accent4">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664AEA3-8BA2-47A7-8505-99392488E7B0}">
      <dsp:nvSpPr>
        <dsp:cNvPr id="0" name=""/>
        <dsp:cNvSpPr/>
      </dsp:nvSpPr>
      <dsp:spPr>
        <a:xfrm>
          <a:off x="1300723" y="238538"/>
          <a:ext cx="2078621" cy="2132390"/>
        </a:xfrm>
        <a:prstGeom prst="blockArc">
          <a:avLst>
            <a:gd name="adj1" fmla="val 458212"/>
            <a:gd name="adj2" fmla="val 5584662"/>
            <a:gd name="adj3" fmla="val 4636"/>
          </a:avLst>
        </a:prstGeom>
        <a:solidFill>
          <a:schemeClr val="accent3">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DAD069E-3100-4872-A0B8-81F6A81067AE}">
      <dsp:nvSpPr>
        <dsp:cNvPr id="0" name=""/>
        <dsp:cNvSpPr/>
      </dsp:nvSpPr>
      <dsp:spPr>
        <a:xfrm>
          <a:off x="1246990" y="494101"/>
          <a:ext cx="2215717" cy="2390673"/>
        </a:xfrm>
        <a:prstGeom prst="blockArc">
          <a:avLst>
            <a:gd name="adj1" fmla="val 15822503"/>
            <a:gd name="adj2" fmla="val 20877138"/>
            <a:gd name="adj3" fmla="val 4636"/>
          </a:avLst>
        </a:prstGeom>
        <a:solidFill>
          <a:schemeClr val="accent2">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B30F2E3-90ED-4962-AE7A-41E3A688CCBA}">
      <dsp:nvSpPr>
        <dsp:cNvPr id="0" name=""/>
        <dsp:cNvSpPr/>
      </dsp:nvSpPr>
      <dsp:spPr>
        <a:xfrm>
          <a:off x="1615129" y="869051"/>
          <a:ext cx="1291109" cy="126035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t>Reformski procesi</a:t>
          </a:r>
          <a:endParaRPr lang="sr-Latn-ME" sz="1600" kern="1200"/>
        </a:p>
      </dsp:txBody>
      <dsp:txXfrm>
        <a:off x="1804208" y="1053626"/>
        <a:ext cx="912951" cy="891207"/>
      </dsp:txXfrm>
    </dsp:sp>
    <dsp:sp modelId="{1DC3A5DE-6D8B-4996-84E4-2DC72F933150}">
      <dsp:nvSpPr>
        <dsp:cNvPr id="0" name=""/>
        <dsp:cNvSpPr/>
      </dsp:nvSpPr>
      <dsp:spPr>
        <a:xfrm>
          <a:off x="1519351" y="149748"/>
          <a:ext cx="1424175" cy="840704"/>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Preve</a:t>
          </a:r>
          <a:r>
            <a:rPr lang="sr-Latn-ME" sz="900" kern="1200"/>
            <a:t>n</a:t>
          </a:r>
          <a:r>
            <a:rPr lang="en-GB" sz="900" kern="1200"/>
            <a:t>cija institucionalizacije i deinstitucionalizacija</a:t>
          </a:r>
          <a:endParaRPr lang="sr-Latn-ME" sz="900" kern="1200"/>
        </a:p>
      </dsp:txBody>
      <dsp:txXfrm>
        <a:off x="1727917" y="272866"/>
        <a:ext cx="1007043" cy="594468"/>
      </dsp:txXfrm>
    </dsp:sp>
    <dsp:sp modelId="{490AEF4D-4035-4794-93FB-CE51EA5C01A2}">
      <dsp:nvSpPr>
        <dsp:cNvPr id="0" name=""/>
        <dsp:cNvSpPr/>
      </dsp:nvSpPr>
      <dsp:spPr>
        <a:xfrm>
          <a:off x="2771769" y="1003108"/>
          <a:ext cx="1368792" cy="902559"/>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t>Decenetralizovano pružanje usluga u zajednici</a:t>
          </a:r>
        </a:p>
      </dsp:txBody>
      <dsp:txXfrm>
        <a:off x="2972224" y="1135285"/>
        <a:ext cx="967882" cy="638205"/>
      </dsp:txXfrm>
    </dsp:sp>
    <dsp:sp modelId="{044881F1-03D3-4D09-93E2-2AC9A37985D6}">
      <dsp:nvSpPr>
        <dsp:cNvPr id="0" name=""/>
        <dsp:cNvSpPr/>
      </dsp:nvSpPr>
      <dsp:spPr>
        <a:xfrm>
          <a:off x="1538268" y="2002136"/>
          <a:ext cx="1482608" cy="85418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t>Holističko-integrativni pristup u radu s korisnicima  </a:t>
          </a:r>
        </a:p>
      </dsp:txBody>
      <dsp:txXfrm>
        <a:off x="1755391" y="2127228"/>
        <a:ext cx="1048362" cy="604000"/>
      </dsp:txXfrm>
    </dsp:sp>
    <dsp:sp modelId="{23EFC4C1-E895-4E02-8AA5-D753BD0A51E9}">
      <dsp:nvSpPr>
        <dsp:cNvPr id="0" name=""/>
        <dsp:cNvSpPr/>
      </dsp:nvSpPr>
      <dsp:spPr>
        <a:xfrm>
          <a:off x="419866" y="1041882"/>
          <a:ext cx="1340756" cy="929824"/>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Za</a:t>
          </a:r>
          <a:r>
            <a:rPr lang="sr-Latn-ME" sz="800" kern="1200"/>
            <a:t>š</a:t>
          </a:r>
          <a:r>
            <a:rPr lang="en-GB" sz="800" kern="1200"/>
            <a:t>tita ljudskih prava i dru</a:t>
          </a:r>
          <a:r>
            <a:rPr lang="sr-Latn-ME" sz="800" kern="1200"/>
            <a:t>štvene uključenosti korisnika obuhvaćenih pravima i uslugama</a:t>
          </a:r>
        </a:p>
      </dsp:txBody>
      <dsp:txXfrm>
        <a:off x="616215" y="1178052"/>
        <a:ext cx="948058" cy="6574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F73B0-47FD-42C4-BF8B-E2BF4C8FE670}">
      <dsp:nvSpPr>
        <dsp:cNvPr id="0" name=""/>
        <dsp:cNvSpPr/>
      </dsp:nvSpPr>
      <dsp:spPr>
        <a:xfrm>
          <a:off x="0" y="1275360"/>
          <a:ext cx="1812726" cy="1087635"/>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oftEdge rad="533400"/>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sr-Latn-ME" sz="1500" kern="1200">
              <a:solidFill>
                <a:sysClr val="window" lastClr="FFFFFF"/>
              </a:solidFill>
              <a:latin typeface="Calibri" panose="020F0502020204030204"/>
              <a:ea typeface="+mn-ea"/>
              <a:cs typeface="+mn-cs"/>
            </a:rPr>
            <a:t>Materijalna davanja</a:t>
          </a:r>
          <a:endParaRPr lang="en-US" sz="1500" kern="1200">
            <a:solidFill>
              <a:sysClr val="window" lastClr="FFFFFF"/>
            </a:solidFill>
            <a:latin typeface="Calibri" panose="020F0502020204030204"/>
            <a:ea typeface="+mn-ea"/>
            <a:cs typeface="+mn-cs"/>
          </a:endParaRPr>
        </a:p>
      </dsp:txBody>
      <dsp:txXfrm>
        <a:off x="53094" y="1328454"/>
        <a:ext cx="1706538" cy="981447"/>
      </dsp:txXfrm>
    </dsp:sp>
    <dsp:sp modelId="{6B5B779F-44B2-4C44-901E-FCC410D42EAB}">
      <dsp:nvSpPr>
        <dsp:cNvPr id="0" name=""/>
        <dsp:cNvSpPr/>
      </dsp:nvSpPr>
      <dsp:spPr>
        <a:xfrm>
          <a:off x="727483" y="0"/>
          <a:ext cx="1812726" cy="1087635"/>
        </a:xfrm>
        <a:prstGeom prst="roundRec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Pristup uslugama socijalne i dječje zaštite</a:t>
          </a:r>
        </a:p>
      </dsp:txBody>
      <dsp:txXfrm>
        <a:off x="780577" y="53094"/>
        <a:ext cx="1706538" cy="981447"/>
      </dsp:txXfrm>
    </dsp:sp>
    <dsp:sp modelId="{0C6BB08D-D921-483C-9092-C8385297A862}">
      <dsp:nvSpPr>
        <dsp:cNvPr id="0" name=""/>
        <dsp:cNvSpPr/>
      </dsp:nvSpPr>
      <dsp:spPr>
        <a:xfrm>
          <a:off x="3270539" y="0"/>
          <a:ext cx="1812726" cy="1087635"/>
        </a:xfrm>
        <a:prstGeom prst="round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innerShdw blurRad="63500" dist="50800" dir="5400000">
            <a:prstClr val="black">
              <a:alpha val="50000"/>
            </a:prstClr>
          </a:innerShdw>
          <a:softEdge rad="0"/>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sr-Latn-ME" sz="1500" kern="1200">
              <a:solidFill>
                <a:sysClr val="window" lastClr="FFFFFF"/>
              </a:solidFill>
              <a:latin typeface="Calibri" panose="020F0502020204030204"/>
              <a:ea typeface="+mn-ea"/>
              <a:cs typeface="+mn-cs"/>
            </a:rPr>
            <a:t>Kvalitet upravljanja u sistemu socijalne i dječje zaštite</a:t>
          </a:r>
          <a:endParaRPr lang="en-US" sz="1500" kern="1200">
            <a:solidFill>
              <a:sysClr val="window" lastClr="FFFFFF"/>
            </a:solidFill>
            <a:latin typeface="Calibri" panose="020F0502020204030204"/>
            <a:ea typeface="+mn-ea"/>
            <a:cs typeface="+mn-cs"/>
          </a:endParaRPr>
        </a:p>
      </dsp:txBody>
      <dsp:txXfrm>
        <a:off x="3323633" y="53094"/>
        <a:ext cx="1706538" cy="981447"/>
      </dsp:txXfrm>
    </dsp:sp>
    <dsp:sp modelId="{3D06FC32-DE3A-4F7C-B618-1D7E911ED8A8}">
      <dsp:nvSpPr>
        <dsp:cNvPr id="0" name=""/>
        <dsp:cNvSpPr/>
      </dsp:nvSpPr>
      <dsp:spPr>
        <a:xfrm>
          <a:off x="1915236" y="2099250"/>
          <a:ext cx="1993999" cy="1196399"/>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oftEdge rad="0"/>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sr-Latn-ME" sz="1500" kern="1200">
              <a:solidFill>
                <a:sysClr val="window" lastClr="FFFFFF"/>
              </a:solidFill>
              <a:latin typeface="Calibri" panose="020F0502020204030204"/>
              <a:ea typeface="+mn-ea"/>
              <a:cs typeface="+mn-cs"/>
            </a:rPr>
            <a:t>Razvoj sistema socijalne i dječje zaštite</a:t>
          </a:r>
          <a:endParaRPr lang="en-US" sz="1500" kern="1200">
            <a:solidFill>
              <a:sysClr val="window" lastClr="FFFFFF"/>
            </a:solidFill>
            <a:latin typeface="Calibri" panose="020F0502020204030204"/>
            <a:ea typeface="+mn-ea"/>
            <a:cs typeface="+mn-cs"/>
          </a:endParaRPr>
        </a:p>
      </dsp:txBody>
      <dsp:txXfrm>
        <a:off x="2207250" y="2274459"/>
        <a:ext cx="1409971" cy="845981"/>
      </dsp:txXfrm>
    </dsp:sp>
    <dsp:sp modelId="{2EABF350-56B0-4B6B-AB0B-050B1D52EC75}">
      <dsp:nvSpPr>
        <dsp:cNvPr id="0" name=""/>
        <dsp:cNvSpPr/>
      </dsp:nvSpPr>
      <dsp:spPr>
        <a:xfrm>
          <a:off x="3987998" y="1301938"/>
          <a:ext cx="1812726" cy="1087635"/>
        </a:xfrm>
        <a:prstGeom prst="round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sr-Latn-ME" sz="1500" kern="1200">
              <a:solidFill>
                <a:sysClr val="window" lastClr="FFFFFF"/>
              </a:solidFill>
              <a:latin typeface="Calibri" panose="020F0502020204030204"/>
              <a:ea typeface="+mn-ea"/>
              <a:cs typeface="+mn-cs"/>
            </a:rPr>
            <a:t>Informacioni sistem socijalnog staranja (e-Socijala)</a:t>
          </a:r>
          <a:endParaRPr lang="en-US" sz="1500" kern="1200">
            <a:solidFill>
              <a:sysClr val="window" lastClr="FFFFFF"/>
            </a:solidFill>
            <a:latin typeface="Calibri" panose="020F0502020204030204"/>
            <a:ea typeface="+mn-ea"/>
            <a:cs typeface="+mn-cs"/>
          </a:endParaRPr>
        </a:p>
      </dsp:txBody>
      <dsp:txXfrm>
        <a:off x="4041092" y="1355032"/>
        <a:ext cx="1706538" cy="9814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9188D-F922-47AB-8F24-CD79CB9BF72B}">
      <dsp:nvSpPr>
        <dsp:cNvPr id="0" name=""/>
        <dsp:cNvSpPr/>
      </dsp:nvSpPr>
      <dsp:spPr>
        <a:xfrm>
          <a:off x="2343694" y="735041"/>
          <a:ext cx="1703886" cy="1703886"/>
        </a:xfrm>
        <a:prstGeom prst="ellipse">
          <a:avLst/>
        </a:prstGeom>
        <a:solidFill>
          <a:srgbClr val="FFC000"/>
        </a:solidFill>
        <a:ln w="19050" cap="flat" cmpd="sng" algn="ctr">
          <a:solidFill>
            <a:sysClr val="window" lastClr="FFFFFF"/>
          </a:solidFill>
          <a:prstDash val="solid"/>
          <a:miter lim="800000"/>
        </a:ln>
        <a:effectLst/>
      </dsp:spPr>
      <dsp:style>
        <a:lnRef idx="3">
          <a:schemeClr val="lt1"/>
        </a:lnRef>
        <a:fillRef idx="1">
          <a:schemeClr val="accent4"/>
        </a:fillRef>
        <a:effectRef idx="1">
          <a:schemeClr val="accent4"/>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sr-Latn-ME" sz="2000" kern="1200">
              <a:solidFill>
                <a:sysClr val="window" lastClr="FFFFFF"/>
              </a:solidFill>
              <a:latin typeface="Calibri" panose="020F0502020204030204"/>
              <a:ea typeface="+mn-ea"/>
              <a:cs typeface="+mn-cs"/>
            </a:rPr>
            <a:t>Usluge podrške za život u zajednici</a:t>
          </a:r>
          <a:endParaRPr lang="en-US" sz="2000" kern="1200">
            <a:solidFill>
              <a:sysClr val="window" lastClr="FFFFFF"/>
            </a:solidFill>
            <a:latin typeface="Calibri" panose="020F0502020204030204"/>
            <a:ea typeface="+mn-ea"/>
            <a:cs typeface="+mn-cs"/>
          </a:endParaRPr>
        </a:p>
      </dsp:txBody>
      <dsp:txXfrm>
        <a:off x="2593222" y="984569"/>
        <a:ext cx="1204830" cy="1204830"/>
      </dsp:txXfrm>
    </dsp:sp>
    <dsp:sp modelId="{31907827-31EF-4FD2-B9E6-35B2E351537D}">
      <dsp:nvSpPr>
        <dsp:cNvPr id="0" name=""/>
        <dsp:cNvSpPr/>
      </dsp:nvSpPr>
      <dsp:spPr>
        <a:xfrm>
          <a:off x="2769665" y="52568"/>
          <a:ext cx="851943" cy="85194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Dnevni boravak</a:t>
          </a:r>
          <a:endParaRPr lang="en-US" sz="900" kern="1200">
            <a:solidFill>
              <a:sysClr val="window" lastClr="FFFFFF"/>
            </a:solidFill>
            <a:latin typeface="Calibri" panose="020F0502020204030204"/>
            <a:ea typeface="+mn-ea"/>
            <a:cs typeface="+mn-cs"/>
          </a:endParaRPr>
        </a:p>
      </dsp:txBody>
      <dsp:txXfrm>
        <a:off x="2894429" y="177332"/>
        <a:ext cx="602415" cy="602415"/>
      </dsp:txXfrm>
    </dsp:sp>
    <dsp:sp modelId="{E12EF807-8155-4C04-AAB5-670183FB544A}">
      <dsp:nvSpPr>
        <dsp:cNvPr id="0" name=""/>
        <dsp:cNvSpPr/>
      </dsp:nvSpPr>
      <dsp:spPr>
        <a:xfrm>
          <a:off x="3823858" y="818484"/>
          <a:ext cx="851943" cy="85194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Personalna asistencija</a:t>
          </a:r>
          <a:endParaRPr lang="en-US" sz="900" kern="1200">
            <a:solidFill>
              <a:sysClr val="window" lastClr="FFFFFF"/>
            </a:solidFill>
            <a:latin typeface="Calibri" panose="020F0502020204030204"/>
            <a:ea typeface="+mn-ea"/>
            <a:cs typeface="+mn-cs"/>
          </a:endParaRPr>
        </a:p>
      </dsp:txBody>
      <dsp:txXfrm>
        <a:off x="3948622" y="943248"/>
        <a:ext cx="602415" cy="602415"/>
      </dsp:txXfrm>
    </dsp:sp>
    <dsp:sp modelId="{53511D3A-FD1A-4AC2-A6E2-30BBA4443A4D}">
      <dsp:nvSpPr>
        <dsp:cNvPr id="0" name=""/>
        <dsp:cNvSpPr/>
      </dsp:nvSpPr>
      <dsp:spPr>
        <a:xfrm>
          <a:off x="3421192" y="2057762"/>
          <a:ext cx="851943" cy="85194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Tumačenje prevođenja na znakovni jezik</a:t>
          </a:r>
          <a:endParaRPr lang="en-US" sz="900" kern="1200">
            <a:solidFill>
              <a:sysClr val="window" lastClr="FFFFFF"/>
            </a:solidFill>
            <a:latin typeface="Calibri" panose="020F0502020204030204"/>
            <a:ea typeface="+mn-ea"/>
            <a:cs typeface="+mn-cs"/>
          </a:endParaRPr>
        </a:p>
      </dsp:txBody>
      <dsp:txXfrm>
        <a:off x="3545956" y="2182526"/>
        <a:ext cx="602415" cy="602415"/>
      </dsp:txXfrm>
    </dsp:sp>
    <dsp:sp modelId="{686DF1DD-46C5-4212-9308-37EE14663172}">
      <dsp:nvSpPr>
        <dsp:cNvPr id="0" name=""/>
        <dsp:cNvSpPr/>
      </dsp:nvSpPr>
      <dsp:spPr>
        <a:xfrm>
          <a:off x="2118138" y="2057762"/>
          <a:ext cx="851943" cy="85194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Svratišta</a:t>
          </a:r>
          <a:endParaRPr lang="en-US" sz="900" kern="1200">
            <a:solidFill>
              <a:sysClr val="window" lastClr="FFFFFF"/>
            </a:solidFill>
            <a:latin typeface="Calibri" panose="020F0502020204030204"/>
            <a:ea typeface="+mn-ea"/>
            <a:cs typeface="+mn-cs"/>
          </a:endParaRPr>
        </a:p>
      </dsp:txBody>
      <dsp:txXfrm>
        <a:off x="2242902" y="2182526"/>
        <a:ext cx="602415" cy="602415"/>
      </dsp:txXfrm>
    </dsp:sp>
    <dsp:sp modelId="{E85348D5-EA56-4A1F-A70B-D3AC2D98AA8C}">
      <dsp:nvSpPr>
        <dsp:cNvPr id="0" name=""/>
        <dsp:cNvSpPr/>
      </dsp:nvSpPr>
      <dsp:spPr>
        <a:xfrm>
          <a:off x="1715473" y="818484"/>
          <a:ext cx="851943" cy="851943"/>
        </a:xfrm>
        <a:prstGeom prst="ellipse">
          <a:avLst/>
        </a:prstGeom>
        <a:solidFill>
          <a:srgbClr val="44546A">
            <a:lumMod val="40000"/>
            <a:lumOff val="60000"/>
          </a:srgb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Pomoć u kući</a:t>
          </a:r>
          <a:endParaRPr lang="en-US" sz="900" kern="1200">
            <a:solidFill>
              <a:sysClr val="window" lastClr="FFFFFF"/>
            </a:solidFill>
            <a:latin typeface="Calibri" panose="020F0502020204030204"/>
            <a:ea typeface="+mn-ea"/>
            <a:cs typeface="+mn-cs"/>
          </a:endParaRPr>
        </a:p>
      </dsp:txBody>
      <dsp:txXfrm>
        <a:off x="1840237" y="943248"/>
        <a:ext cx="602415" cy="6024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F4A8-6199-482A-BE07-6DA5D8763FEE}">
      <dsp:nvSpPr>
        <dsp:cNvPr id="0" name=""/>
        <dsp:cNvSpPr/>
      </dsp:nvSpPr>
      <dsp:spPr>
        <a:xfrm>
          <a:off x="763934" y="949728"/>
          <a:ext cx="1649387" cy="824693"/>
        </a:xfrm>
        <a:prstGeom prst="roundRect">
          <a:avLst>
            <a:gd name="adj" fmla="val 10000"/>
          </a:avLst>
        </a:prstGeom>
        <a:solidFill>
          <a:srgbClr val="4472C4"/>
        </a:solidFill>
        <a:ln w="12700" cap="flat" cmpd="sng" algn="ctr">
          <a:solidFill>
            <a:srgbClr val="4472C4">
              <a:shade val="50000"/>
            </a:srgbClr>
          </a:solidFill>
          <a:prstDash val="solid"/>
          <a:miter lim="800000"/>
        </a:ln>
        <a:effectLst/>
        <a:sp3d extrusionH="381000"/>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sr-Latn-ME" sz="1400" kern="1200">
              <a:solidFill>
                <a:sysClr val="window" lastClr="FFFFFF"/>
              </a:solidFill>
              <a:latin typeface="Calibri" panose="020F0502020204030204"/>
              <a:ea typeface="+mn-ea"/>
              <a:cs typeface="+mn-cs"/>
            </a:rPr>
            <a:t>Savjetodavno-                -terapijske i socijalno- -edukativne usluge </a:t>
          </a:r>
          <a:endParaRPr lang="en-US" sz="1400" kern="1200">
            <a:solidFill>
              <a:sysClr val="window" lastClr="FFFFFF"/>
            </a:solidFill>
            <a:latin typeface="Calibri" panose="020F0502020204030204"/>
            <a:ea typeface="+mn-ea"/>
            <a:cs typeface="+mn-cs"/>
          </a:endParaRPr>
        </a:p>
      </dsp:txBody>
      <dsp:txXfrm>
        <a:off x="788088" y="973882"/>
        <a:ext cx="1601079" cy="776385"/>
      </dsp:txXfrm>
    </dsp:sp>
    <dsp:sp modelId="{A3BC6B55-C893-41E1-BB71-1F9AA71F6805}">
      <dsp:nvSpPr>
        <dsp:cNvPr id="0" name=""/>
        <dsp:cNvSpPr/>
      </dsp:nvSpPr>
      <dsp:spPr>
        <a:xfrm rot="18289469">
          <a:off x="2165546" y="860629"/>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02996" y="895092"/>
        <a:ext cx="0" cy="0"/>
      </dsp:txXfrm>
    </dsp:sp>
    <dsp:sp modelId="{FC567460-D7AA-4777-9BD3-D1E341208BFE}">
      <dsp:nvSpPr>
        <dsp:cNvPr id="0" name=""/>
        <dsp:cNvSpPr/>
      </dsp:nvSpPr>
      <dsp:spPr>
        <a:xfrm>
          <a:off x="3073077" y="1330"/>
          <a:ext cx="1649387" cy="824693"/>
        </a:xfrm>
        <a:prstGeom prst="roundRect">
          <a:avLst>
            <a:gd name="adj" fmla="val 10000"/>
          </a:avLst>
        </a:prstGeom>
        <a:solidFill>
          <a:srgbClr val="ED7D31"/>
        </a:solidFill>
        <a:ln w="12700" cap="flat" cmpd="sng" algn="ctr">
          <a:solidFill>
            <a:srgbClr val="ED7D31">
              <a:shade val="50000"/>
            </a:srgbClr>
          </a:solidFill>
          <a:prstDash val="solid"/>
          <a:miter lim="800000"/>
        </a:ln>
        <a:effectLst/>
        <a:sp3d extrusionH="381000"/>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sr-Latn-ME" sz="1400" kern="1200">
              <a:solidFill>
                <a:sysClr val="window" lastClr="FFFFFF"/>
              </a:solidFill>
              <a:latin typeface="Calibri" panose="020F0502020204030204"/>
              <a:ea typeface="+mn-ea"/>
              <a:cs typeface="+mn-cs"/>
            </a:rPr>
            <a:t>Savjetovanje</a:t>
          </a:r>
          <a:endParaRPr lang="en-US" sz="1400" kern="1200">
            <a:solidFill>
              <a:sysClr val="window" lastClr="FFFFFF"/>
            </a:solidFill>
            <a:latin typeface="Calibri" panose="020F0502020204030204"/>
            <a:ea typeface="+mn-ea"/>
            <a:cs typeface="+mn-cs"/>
          </a:endParaRPr>
        </a:p>
      </dsp:txBody>
      <dsp:txXfrm>
        <a:off x="3097231" y="25484"/>
        <a:ext cx="1601079" cy="776385"/>
      </dsp:txXfrm>
    </dsp:sp>
    <dsp:sp modelId="{312A7FE7-61B7-45E8-8569-AE51B0368F53}">
      <dsp:nvSpPr>
        <dsp:cNvPr id="0" name=""/>
        <dsp:cNvSpPr/>
      </dsp:nvSpPr>
      <dsp:spPr>
        <a:xfrm>
          <a:off x="2413322" y="1334828"/>
          <a:ext cx="659755" cy="54492"/>
        </a:xfrm>
        <a:custGeom>
          <a:avLst/>
          <a:gdLst/>
          <a:ahLst/>
          <a:cxnLst/>
          <a:rect l="0" t="0" r="0" b="0"/>
          <a:pathLst>
            <a:path>
              <a:moveTo>
                <a:pt x="0" y="27246"/>
              </a:moveTo>
              <a:lnTo>
                <a:pt x="775096"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26706" y="1345581"/>
        <a:ext cx="0" cy="0"/>
      </dsp:txXfrm>
    </dsp:sp>
    <dsp:sp modelId="{24605C67-7EA9-4B06-B13A-76807A85C5FA}">
      <dsp:nvSpPr>
        <dsp:cNvPr id="0" name=""/>
        <dsp:cNvSpPr/>
      </dsp:nvSpPr>
      <dsp:spPr>
        <a:xfrm>
          <a:off x="3073077" y="949728"/>
          <a:ext cx="1649387" cy="824693"/>
        </a:xfrm>
        <a:prstGeom prst="roundRect">
          <a:avLst>
            <a:gd name="adj" fmla="val 10000"/>
          </a:avLst>
        </a:prstGeom>
        <a:solidFill>
          <a:srgbClr val="70AD47"/>
        </a:solidFill>
        <a:ln w="12700" cap="flat" cmpd="sng" algn="ctr">
          <a:solidFill>
            <a:srgbClr val="70AD47">
              <a:shade val="50000"/>
            </a:srgbClr>
          </a:solidFill>
          <a:prstDash val="solid"/>
          <a:miter lim="800000"/>
        </a:ln>
        <a:effectLst/>
        <a:sp3d extrusionH="381000"/>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sr-Latn-ME" sz="1400" kern="1200">
              <a:solidFill>
                <a:sysClr val="window" lastClr="FFFFFF"/>
              </a:solidFill>
              <a:latin typeface="Calibri" panose="020F0502020204030204"/>
              <a:ea typeface="+mn-ea"/>
              <a:cs typeface="+mn-cs"/>
            </a:rPr>
            <a:t>Terapija</a:t>
          </a:r>
          <a:endParaRPr lang="en-US" sz="1400" kern="1200">
            <a:solidFill>
              <a:sysClr val="window" lastClr="FFFFFF"/>
            </a:solidFill>
            <a:latin typeface="Calibri" panose="020F0502020204030204"/>
            <a:ea typeface="+mn-ea"/>
            <a:cs typeface="+mn-cs"/>
          </a:endParaRPr>
        </a:p>
      </dsp:txBody>
      <dsp:txXfrm>
        <a:off x="3097231" y="973882"/>
        <a:ext cx="1601079" cy="776385"/>
      </dsp:txXfrm>
    </dsp:sp>
    <dsp:sp modelId="{8210CCC3-170B-49E4-897A-6274E5DEC603}">
      <dsp:nvSpPr>
        <dsp:cNvPr id="0" name=""/>
        <dsp:cNvSpPr/>
      </dsp:nvSpPr>
      <dsp:spPr>
        <a:xfrm rot="3310531">
          <a:off x="2165546" y="1809027"/>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50416" y="1796070"/>
        <a:ext cx="0" cy="0"/>
      </dsp:txXfrm>
    </dsp:sp>
    <dsp:sp modelId="{FC854CF2-5B16-470C-A233-5564D6EA25B1}">
      <dsp:nvSpPr>
        <dsp:cNvPr id="0" name=""/>
        <dsp:cNvSpPr/>
      </dsp:nvSpPr>
      <dsp:spPr>
        <a:xfrm>
          <a:off x="3073077" y="1898126"/>
          <a:ext cx="1649387" cy="824693"/>
        </a:xfrm>
        <a:prstGeom prst="roundRect">
          <a:avLst>
            <a:gd name="adj" fmla="val 10000"/>
          </a:avLst>
        </a:prstGeom>
        <a:solidFill>
          <a:srgbClr val="FFC000"/>
        </a:solidFill>
        <a:ln w="12700" cap="flat" cmpd="sng" algn="ctr">
          <a:solidFill>
            <a:srgbClr val="FFC000">
              <a:shade val="50000"/>
            </a:srgbClr>
          </a:solidFill>
          <a:prstDash val="solid"/>
          <a:miter lim="800000"/>
        </a:ln>
        <a:effectLst/>
        <a:sp3d extrusionH="381000"/>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sr-Latn-ME" sz="1400" kern="1200">
              <a:solidFill>
                <a:sysClr val="window" lastClr="FFFFFF"/>
              </a:solidFill>
              <a:latin typeface="Calibri" panose="020F0502020204030204"/>
              <a:ea typeface="+mn-ea"/>
              <a:cs typeface="+mn-cs"/>
            </a:rPr>
            <a:t>SOS telefon</a:t>
          </a:r>
        </a:p>
      </dsp:txBody>
      <dsp:txXfrm>
        <a:off x="3097231" y="1922280"/>
        <a:ext cx="1601079" cy="7763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w="12700" cap="flat" cmpd="sng" algn="ctr">
          <a:solidFill>
            <a:srgbClr val="4472C4">
              <a:shade val="50000"/>
            </a:srgbClr>
          </a:solidFill>
          <a:prstDash val="solid"/>
          <a:miter lim="800000"/>
        </a:ln>
        <a:effectLst>
          <a:innerShdw blurRad="63500" dist="50800" dir="13500000">
            <a:prstClr val="black">
              <a:alpha val="50000"/>
            </a:prstClr>
          </a:innerShdw>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888B-9D46-4FA7-B56D-1FC2D2D9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27199</Words>
  <Characters>155035</Characters>
  <Application>Microsoft Office Word</Application>
  <DocSecurity>0</DocSecurity>
  <Lines>1291</Lines>
  <Paragraphs>363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Dujović</dc:creator>
  <cp:keywords/>
  <dc:description/>
  <cp:lastModifiedBy>HP</cp:lastModifiedBy>
  <cp:revision>3</cp:revision>
  <cp:lastPrinted>2024-07-09T11:51:00Z</cp:lastPrinted>
  <dcterms:created xsi:type="dcterms:W3CDTF">2024-12-20T11:39:00Z</dcterms:created>
  <dcterms:modified xsi:type="dcterms:W3CDTF">2024-12-20T11:39:00Z</dcterms:modified>
</cp:coreProperties>
</file>