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4804" w:rsidRDefault="00E47E1B">
      <w:pPr>
        <w:pBdr>
          <w:top w:val="nil"/>
          <w:left w:val="nil"/>
          <w:bottom w:val="nil"/>
          <w:right w:val="nil"/>
          <w:between w:val="nil"/>
        </w:pBdr>
        <w:spacing w:after="0"/>
        <w:jc w:val="right"/>
        <w:rPr>
          <w:rFonts w:ascii="Arial" w:eastAsia="Arial" w:hAnsi="Arial" w:cs="Arial"/>
          <w:b/>
          <w:bCs/>
          <w:color w:val="000000"/>
          <w:sz w:val="28"/>
          <w:szCs w:val="28"/>
          <w:u w:val="single"/>
        </w:rPr>
      </w:pPr>
      <w:bookmarkStart w:id="0" w:name="_heading=h.qxnc5knk7f5o" w:colFirst="0" w:colLast="0"/>
      <w:bookmarkEnd w:id="0"/>
      <w:r>
        <w:rPr>
          <w:rFonts w:ascii="Arial" w:eastAsia="Arial" w:hAnsi="Arial" w:cs="Arial"/>
          <w:b/>
          <w:bCs/>
          <w:color w:val="000000"/>
          <w:sz w:val="28"/>
          <w:szCs w:val="28"/>
          <w:u w:val="single"/>
        </w:rPr>
        <w:t>NACRT</w:t>
      </w: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D14804">
      <w:pPr>
        <w:pBdr>
          <w:top w:val="nil"/>
          <w:left w:val="nil"/>
          <w:bottom w:val="nil"/>
          <w:right w:val="nil"/>
          <w:between w:val="nil"/>
        </w:pBdr>
        <w:spacing w:after="0" w:line="240" w:lineRule="auto"/>
        <w:jc w:val="center"/>
        <w:rPr>
          <w:rFonts w:ascii="Arial" w:eastAsia="Arial" w:hAnsi="Arial" w:cs="Arial"/>
          <w:b/>
          <w:bCs/>
          <w:color w:val="000000"/>
          <w:sz w:val="30"/>
          <w:szCs w:val="30"/>
        </w:rPr>
      </w:pPr>
    </w:p>
    <w:p w:rsidR="00D14804" w:rsidRDefault="00E47E1B">
      <w:pPr>
        <w:pBdr>
          <w:top w:val="nil"/>
          <w:left w:val="nil"/>
          <w:bottom w:val="nil"/>
          <w:right w:val="nil"/>
          <w:between w:val="nil"/>
        </w:pBdr>
        <w:spacing w:after="0" w:line="240" w:lineRule="auto"/>
        <w:jc w:val="center"/>
        <w:rPr>
          <w:rFonts w:ascii="Arial" w:eastAsia="Arial" w:hAnsi="Arial" w:cs="Arial"/>
          <w:b/>
          <w:bCs/>
          <w:color w:val="000000"/>
          <w:sz w:val="32"/>
          <w:szCs w:val="32"/>
        </w:rPr>
      </w:pPr>
      <w:r>
        <w:rPr>
          <w:rFonts w:ascii="Arial" w:eastAsia="Arial" w:hAnsi="Arial" w:cs="Arial"/>
          <w:b/>
          <w:bCs/>
          <w:color w:val="000000"/>
          <w:sz w:val="32"/>
          <w:szCs w:val="32"/>
        </w:rPr>
        <w:t>Nacionalna stategija biodiverziteta 2026-2031. godine</w:t>
      </w:r>
    </w:p>
    <w:p w:rsidR="00D14804" w:rsidRDefault="00E47E1B">
      <w:pPr>
        <w:pBdr>
          <w:top w:val="nil"/>
          <w:left w:val="nil"/>
          <w:bottom w:val="nil"/>
          <w:right w:val="nil"/>
          <w:between w:val="nil"/>
        </w:pBdr>
        <w:spacing w:after="0" w:line="240" w:lineRule="auto"/>
        <w:jc w:val="center"/>
        <w:rPr>
          <w:rFonts w:ascii="Arial" w:eastAsia="Arial" w:hAnsi="Arial" w:cs="Arial"/>
          <w:b/>
          <w:bCs/>
          <w:color w:val="000000"/>
          <w:sz w:val="32"/>
          <w:szCs w:val="32"/>
        </w:rPr>
      </w:pPr>
      <w:r>
        <w:rPr>
          <w:rFonts w:ascii="Arial" w:eastAsia="Arial" w:hAnsi="Arial" w:cs="Arial"/>
          <w:b/>
          <w:bCs/>
          <w:color w:val="000000"/>
          <w:sz w:val="32"/>
          <w:szCs w:val="32"/>
        </w:rPr>
        <w:t xml:space="preserve">sa Akcionim planom </w:t>
      </w:r>
      <w:r w:rsidRPr="00E60CD7">
        <w:rPr>
          <w:rFonts w:ascii="Arial" w:eastAsia="Arial" w:hAnsi="Arial" w:cs="Arial"/>
          <w:b/>
          <w:bCs/>
          <w:color w:val="000000"/>
          <w:sz w:val="32"/>
          <w:szCs w:val="32"/>
        </w:rPr>
        <w:t>2026-2028. godine</w:t>
      </w: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D14804">
      <w:pPr>
        <w:pBdr>
          <w:top w:val="nil"/>
          <w:left w:val="nil"/>
          <w:bottom w:val="nil"/>
          <w:right w:val="nil"/>
          <w:between w:val="nil"/>
        </w:pBdr>
        <w:spacing w:after="0" w:line="240" w:lineRule="auto"/>
        <w:jc w:val="center"/>
        <w:rPr>
          <w:rFonts w:ascii="Arial" w:eastAsia="Arial" w:hAnsi="Arial" w:cs="Arial"/>
          <w:b/>
          <w:bCs/>
          <w:sz w:val="26"/>
          <w:szCs w:val="26"/>
          <w:u w:val="single"/>
        </w:rPr>
      </w:pPr>
    </w:p>
    <w:p w:rsidR="00D14804" w:rsidRDefault="00E47E1B">
      <w:pPr>
        <w:pBdr>
          <w:top w:val="nil"/>
          <w:left w:val="nil"/>
          <w:bottom w:val="nil"/>
          <w:right w:val="nil"/>
          <w:between w:val="nil"/>
        </w:pBdr>
        <w:spacing w:after="0" w:line="240" w:lineRule="auto"/>
        <w:jc w:val="center"/>
        <w:rPr>
          <w:rFonts w:ascii="Arial" w:eastAsia="Arial" w:hAnsi="Arial" w:cs="Arial"/>
          <w:b/>
          <w:bCs/>
          <w:color w:val="000000"/>
          <w:sz w:val="46"/>
          <w:szCs w:val="46"/>
        </w:rPr>
      </w:pPr>
      <w:r>
        <w:rPr>
          <w:rFonts w:ascii="Arial" w:eastAsia="Arial" w:hAnsi="Arial" w:cs="Arial"/>
          <w:b/>
          <w:bCs/>
          <w:sz w:val="46"/>
          <w:szCs w:val="46"/>
        </w:rPr>
        <w:t xml:space="preserve">NSBAP </w:t>
      </w:r>
      <w:r>
        <w:rPr>
          <w:rFonts w:ascii="Arial" w:eastAsia="Arial" w:hAnsi="Arial" w:cs="Arial"/>
          <w:b/>
          <w:bCs/>
          <w:color w:val="000000"/>
          <w:sz w:val="46"/>
          <w:szCs w:val="46"/>
        </w:rPr>
        <w:t>2026-2031</w:t>
      </w:r>
    </w:p>
    <w:p w:rsidR="00D14804" w:rsidRDefault="00D14804">
      <w:pPr>
        <w:pBdr>
          <w:top w:val="nil"/>
          <w:left w:val="nil"/>
          <w:bottom w:val="nil"/>
          <w:right w:val="nil"/>
          <w:between w:val="nil"/>
        </w:pBdr>
        <w:spacing w:after="0"/>
        <w:jc w:val="center"/>
        <w:rPr>
          <w:rFonts w:ascii="Arial" w:eastAsia="Arial" w:hAnsi="Arial" w:cs="Arial"/>
          <w:b/>
          <w:bCs/>
          <w:color w:val="000000"/>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65284B" w:rsidRDefault="0065284B">
      <w:pPr>
        <w:pBdr>
          <w:top w:val="nil"/>
          <w:left w:val="nil"/>
          <w:bottom w:val="nil"/>
          <w:right w:val="nil"/>
          <w:between w:val="nil"/>
        </w:pBdr>
        <w:spacing w:after="0"/>
        <w:jc w:val="center"/>
        <w:rPr>
          <w:rFonts w:ascii="Arial" w:eastAsia="Arial" w:hAnsi="Arial" w:cs="Arial"/>
          <w:b/>
          <w:bCs/>
        </w:rPr>
      </w:pPr>
    </w:p>
    <w:p w:rsidR="00D14804" w:rsidRDefault="00E47E1B">
      <w:pPr>
        <w:pBdr>
          <w:top w:val="nil"/>
          <w:left w:val="nil"/>
          <w:bottom w:val="nil"/>
          <w:right w:val="nil"/>
          <w:between w:val="nil"/>
        </w:pBdr>
        <w:spacing w:after="0"/>
        <w:jc w:val="center"/>
        <w:rPr>
          <w:rFonts w:ascii="Arial" w:eastAsia="Arial" w:hAnsi="Arial" w:cs="Arial"/>
          <w:b/>
          <w:bCs/>
          <w:color w:val="000000"/>
        </w:rPr>
      </w:pPr>
      <w:r>
        <w:rPr>
          <w:rFonts w:ascii="Arial" w:eastAsia="Arial" w:hAnsi="Arial" w:cs="Arial"/>
          <w:b/>
          <w:bCs/>
        </w:rPr>
        <w:t>Februar</w:t>
      </w:r>
      <w:r>
        <w:rPr>
          <w:rFonts w:ascii="Arial" w:eastAsia="Arial" w:hAnsi="Arial" w:cs="Arial"/>
          <w:b/>
          <w:bCs/>
          <w:color w:val="000000"/>
        </w:rPr>
        <w:t xml:space="preserve"> 2026. godine</w:t>
      </w:r>
    </w:p>
    <w:p w:rsidR="0065284B" w:rsidRDefault="0065284B">
      <w:pPr>
        <w:spacing w:after="0"/>
        <w:jc w:val="both"/>
        <w:rPr>
          <w:rFonts w:ascii="Arial" w:eastAsia="Arial" w:hAnsi="Arial" w:cs="Arial"/>
          <w:b/>
          <w:bCs/>
        </w:rPr>
      </w:pPr>
    </w:p>
    <w:p w:rsidR="0065284B" w:rsidRDefault="0065284B">
      <w:pPr>
        <w:spacing w:after="0"/>
        <w:jc w:val="both"/>
        <w:rPr>
          <w:rFonts w:ascii="Arial" w:eastAsia="Arial" w:hAnsi="Arial" w:cs="Arial"/>
          <w:b/>
          <w:bCs/>
        </w:rPr>
      </w:pPr>
    </w:p>
    <w:p w:rsidR="0065284B" w:rsidRDefault="0065284B">
      <w:pPr>
        <w:spacing w:after="0"/>
        <w:jc w:val="both"/>
        <w:rPr>
          <w:rFonts w:ascii="Arial" w:eastAsia="Arial" w:hAnsi="Arial" w:cs="Arial"/>
          <w:b/>
          <w:bCs/>
        </w:rPr>
      </w:pPr>
    </w:p>
    <w:p w:rsidR="0065284B" w:rsidRDefault="0065284B">
      <w:pPr>
        <w:spacing w:after="0"/>
        <w:jc w:val="both"/>
        <w:rPr>
          <w:rFonts w:ascii="Arial" w:eastAsia="Arial" w:hAnsi="Arial" w:cs="Arial"/>
          <w:b/>
          <w:bCs/>
        </w:rPr>
      </w:pPr>
    </w:p>
    <w:p w:rsidR="00D14804" w:rsidRDefault="00E47E1B">
      <w:pPr>
        <w:spacing w:after="0"/>
        <w:jc w:val="both"/>
        <w:rPr>
          <w:rFonts w:ascii="Arial" w:eastAsia="Arial" w:hAnsi="Arial" w:cs="Arial"/>
          <w:bCs/>
          <w:sz w:val="20"/>
          <w:szCs w:val="20"/>
        </w:rPr>
      </w:pPr>
      <w:r w:rsidRPr="00DE51A4">
        <w:rPr>
          <w:rFonts w:ascii="Arial" w:eastAsia="Arial" w:hAnsi="Arial" w:cs="Arial"/>
          <w:b/>
          <w:bCs/>
          <w:sz w:val="20"/>
          <w:szCs w:val="20"/>
        </w:rPr>
        <w:lastRenderedPageBreak/>
        <w:t xml:space="preserve">Naziv dokumenta: </w:t>
      </w:r>
      <w:r w:rsidRPr="00DE51A4">
        <w:rPr>
          <w:rFonts w:ascii="Arial" w:eastAsia="Arial" w:hAnsi="Arial" w:cs="Arial"/>
          <w:bCs/>
          <w:sz w:val="20"/>
          <w:szCs w:val="20"/>
        </w:rPr>
        <w:t>Nacionalna stategija biodiverziteta 2026-2031. godine</w:t>
      </w:r>
      <w:r w:rsidR="00E939EB">
        <w:rPr>
          <w:rFonts w:ascii="Arial" w:eastAsia="Arial" w:hAnsi="Arial" w:cs="Arial"/>
          <w:bCs/>
          <w:sz w:val="20"/>
          <w:szCs w:val="20"/>
        </w:rPr>
        <w:t xml:space="preserve"> (NSBAP 2026-2031)</w:t>
      </w:r>
      <w:r w:rsidRPr="00DE51A4">
        <w:rPr>
          <w:rFonts w:ascii="Arial" w:eastAsia="Arial" w:hAnsi="Arial" w:cs="Arial"/>
          <w:bCs/>
          <w:sz w:val="20"/>
          <w:szCs w:val="20"/>
        </w:rPr>
        <w:t xml:space="preserve"> sa Akcionim planom 2026-2028. godine</w:t>
      </w:r>
    </w:p>
    <w:p w:rsidR="00DE51A4" w:rsidRPr="00DE51A4" w:rsidRDefault="00DE51A4">
      <w:pPr>
        <w:spacing w:after="0"/>
        <w:jc w:val="both"/>
        <w:rPr>
          <w:rFonts w:ascii="Arial" w:eastAsia="Arial" w:hAnsi="Arial" w:cs="Arial"/>
          <w:b/>
          <w:bCs/>
          <w:sz w:val="20"/>
          <w:szCs w:val="20"/>
        </w:rPr>
      </w:pPr>
    </w:p>
    <w:p w:rsidR="00D14804" w:rsidRPr="00DE51A4" w:rsidRDefault="00D14804">
      <w:pPr>
        <w:spacing w:after="0"/>
        <w:jc w:val="both"/>
        <w:rPr>
          <w:rFonts w:ascii="Arial" w:eastAsia="Arial" w:hAnsi="Arial" w:cs="Arial"/>
          <w:b/>
          <w:bCs/>
          <w:sz w:val="20"/>
          <w:szCs w:val="20"/>
        </w:rPr>
      </w:pPr>
    </w:p>
    <w:p w:rsidR="00D14804" w:rsidRDefault="00E47E1B">
      <w:pPr>
        <w:spacing w:after="0"/>
        <w:jc w:val="both"/>
        <w:rPr>
          <w:rFonts w:ascii="Arial" w:eastAsia="Arial" w:hAnsi="Arial" w:cs="Arial"/>
          <w:bCs/>
          <w:sz w:val="20"/>
          <w:szCs w:val="20"/>
        </w:rPr>
      </w:pPr>
      <w:r w:rsidRPr="00DE51A4">
        <w:rPr>
          <w:rFonts w:ascii="Arial" w:eastAsia="Arial" w:hAnsi="Arial" w:cs="Arial"/>
          <w:b/>
          <w:bCs/>
          <w:sz w:val="20"/>
          <w:szCs w:val="20"/>
        </w:rPr>
        <w:t xml:space="preserve">Nadležna institucija za izradu: </w:t>
      </w:r>
      <w:r w:rsidRPr="00DE51A4">
        <w:rPr>
          <w:rFonts w:ascii="Arial" w:eastAsia="Arial" w:hAnsi="Arial" w:cs="Arial"/>
          <w:bCs/>
          <w:sz w:val="20"/>
          <w:szCs w:val="20"/>
        </w:rPr>
        <w:t>Ministarstvo ekologije, održivog razvoja i razvoja sjevera Crne Gore</w:t>
      </w:r>
      <w:r w:rsidR="004B1989">
        <w:rPr>
          <w:rFonts w:ascii="Arial" w:eastAsia="Arial" w:hAnsi="Arial" w:cs="Arial"/>
          <w:bCs/>
          <w:sz w:val="20"/>
          <w:szCs w:val="20"/>
        </w:rPr>
        <w:t xml:space="preserve"> (MERS)</w:t>
      </w:r>
    </w:p>
    <w:p w:rsidR="00DE51A4" w:rsidRPr="00DE51A4" w:rsidRDefault="00DE51A4">
      <w:pPr>
        <w:spacing w:after="0"/>
        <w:jc w:val="both"/>
        <w:rPr>
          <w:rFonts w:ascii="Arial" w:eastAsia="Arial" w:hAnsi="Arial" w:cs="Arial"/>
          <w:bCs/>
          <w:sz w:val="20"/>
          <w:szCs w:val="20"/>
        </w:rPr>
      </w:pPr>
    </w:p>
    <w:p w:rsidR="00D14804" w:rsidRPr="00DE51A4" w:rsidRDefault="00D14804">
      <w:pPr>
        <w:spacing w:after="0"/>
        <w:rPr>
          <w:rFonts w:ascii="Arial" w:eastAsia="Arial" w:hAnsi="Arial" w:cs="Arial"/>
          <w:b/>
          <w:bCs/>
          <w:sz w:val="20"/>
          <w:szCs w:val="20"/>
        </w:rPr>
      </w:pPr>
    </w:p>
    <w:p w:rsidR="00D14804" w:rsidRDefault="00D5462A">
      <w:pPr>
        <w:spacing w:after="0"/>
        <w:jc w:val="both"/>
        <w:rPr>
          <w:rFonts w:ascii="Arial" w:eastAsia="Arial" w:hAnsi="Arial" w:cs="Arial"/>
          <w:bCs/>
          <w:sz w:val="20"/>
          <w:szCs w:val="20"/>
        </w:rPr>
      </w:pPr>
      <w:r>
        <w:rPr>
          <w:rFonts w:ascii="Arial" w:eastAsia="Arial" w:hAnsi="Arial" w:cs="Arial"/>
          <w:b/>
          <w:bCs/>
          <w:sz w:val="20"/>
          <w:szCs w:val="20"/>
        </w:rPr>
        <w:t>Finansijska podrš</w:t>
      </w:r>
      <w:r w:rsidR="00E47E1B" w:rsidRPr="00DE51A4">
        <w:rPr>
          <w:rFonts w:ascii="Arial" w:eastAsia="Arial" w:hAnsi="Arial" w:cs="Arial"/>
          <w:b/>
          <w:bCs/>
          <w:sz w:val="20"/>
          <w:szCs w:val="20"/>
        </w:rPr>
        <w:t xml:space="preserve">ka: </w:t>
      </w:r>
      <w:r w:rsidR="001C7869" w:rsidRPr="00DE51A4">
        <w:rPr>
          <w:rFonts w:ascii="Arial" w:eastAsia="Arial" w:hAnsi="Arial" w:cs="Arial"/>
          <w:bCs/>
          <w:sz w:val="20"/>
          <w:szCs w:val="20"/>
        </w:rPr>
        <w:t>Priprema NSBAP 2026-2031</w:t>
      </w:r>
      <w:r w:rsidR="00FA3CDD" w:rsidRPr="00DE51A4">
        <w:rPr>
          <w:rFonts w:ascii="Arial" w:eastAsia="Arial" w:hAnsi="Arial" w:cs="Arial"/>
          <w:bCs/>
          <w:sz w:val="20"/>
          <w:szCs w:val="20"/>
        </w:rPr>
        <w:t xml:space="preserve"> realizovana je u okviru globalnog programa finansiranog od strane Globalnog fonda za životnu sredinu (GEF), koji implementira Program Ujedinjenih nacija za životnu sredinu (UNEP), sa ciljem usklađivanja nacionalnih politika i strateškog okvira u oblasti biodiverziteta sa Kunming–Montreal Global Biodiversity Framework (KM GBF) i obavezama koje proističu iz </w:t>
      </w:r>
      <w:r w:rsidR="001C7869" w:rsidRPr="00DE51A4">
        <w:rPr>
          <w:rFonts w:ascii="Arial" w:eastAsia="Arial" w:hAnsi="Arial" w:cs="Arial"/>
          <w:bCs/>
          <w:sz w:val="20"/>
          <w:szCs w:val="20"/>
        </w:rPr>
        <w:t>Konvencija o biološkoj raznovrsnosti (CBD)</w:t>
      </w:r>
      <w:r w:rsidR="00FA3CDD" w:rsidRPr="00DE51A4">
        <w:rPr>
          <w:rFonts w:ascii="Arial" w:eastAsia="Arial" w:hAnsi="Arial" w:cs="Arial"/>
          <w:bCs/>
          <w:sz w:val="20"/>
          <w:szCs w:val="20"/>
        </w:rPr>
        <w:t>.</w:t>
      </w:r>
    </w:p>
    <w:p w:rsidR="00DE51A4" w:rsidRPr="00DE51A4" w:rsidRDefault="00DE51A4">
      <w:pPr>
        <w:spacing w:after="0"/>
        <w:jc w:val="both"/>
        <w:rPr>
          <w:rFonts w:ascii="Arial" w:eastAsia="Arial" w:hAnsi="Arial" w:cs="Arial"/>
          <w:bCs/>
          <w:sz w:val="20"/>
          <w:szCs w:val="20"/>
        </w:rPr>
      </w:pPr>
    </w:p>
    <w:p w:rsidR="00D14804" w:rsidRPr="00DE51A4" w:rsidRDefault="00D14804">
      <w:pPr>
        <w:spacing w:after="0"/>
        <w:jc w:val="both"/>
        <w:rPr>
          <w:rFonts w:ascii="Arial" w:eastAsia="Arial" w:hAnsi="Arial" w:cs="Arial"/>
          <w:bCs/>
          <w:sz w:val="20"/>
          <w:szCs w:val="20"/>
        </w:rPr>
      </w:pPr>
    </w:p>
    <w:p w:rsidR="00D14804" w:rsidRPr="00DE51A4" w:rsidRDefault="00E47E1B">
      <w:pPr>
        <w:spacing w:after="0"/>
        <w:rPr>
          <w:rFonts w:ascii="Arial" w:eastAsia="Arial" w:hAnsi="Arial" w:cs="Arial"/>
          <w:b/>
          <w:bCs/>
          <w:sz w:val="20"/>
          <w:szCs w:val="20"/>
        </w:rPr>
      </w:pPr>
      <w:r w:rsidRPr="00DE51A4">
        <w:rPr>
          <w:rFonts w:ascii="Arial" w:eastAsia="Arial" w:hAnsi="Arial" w:cs="Arial"/>
          <w:b/>
          <w:bCs/>
          <w:sz w:val="20"/>
          <w:szCs w:val="20"/>
        </w:rPr>
        <w:t>Autori</w:t>
      </w:r>
      <w:r w:rsidR="00B75CD4" w:rsidRPr="00DE51A4">
        <w:rPr>
          <w:rFonts w:ascii="Arial" w:eastAsia="Arial" w:hAnsi="Arial" w:cs="Arial"/>
          <w:b/>
          <w:bCs/>
          <w:sz w:val="20"/>
          <w:szCs w:val="20"/>
        </w:rPr>
        <w:t xml:space="preserve"> koordinacije i izrade NSBAP 2026-2031</w:t>
      </w:r>
      <w:r w:rsidR="00074E79">
        <w:rPr>
          <w:rFonts w:ascii="Arial" w:eastAsia="Arial" w:hAnsi="Arial" w:cs="Arial"/>
          <w:b/>
          <w:bCs/>
          <w:sz w:val="20"/>
          <w:szCs w:val="20"/>
        </w:rPr>
        <w:t xml:space="preserve"> sa AP 2026-2028</w:t>
      </w:r>
      <w:r w:rsidRPr="00DE51A4">
        <w:rPr>
          <w:rFonts w:ascii="Arial" w:eastAsia="Arial" w:hAnsi="Arial" w:cs="Arial"/>
          <w:b/>
          <w:bCs/>
          <w:sz w:val="20"/>
          <w:szCs w:val="20"/>
        </w:rPr>
        <w:t xml:space="preserve">: </w:t>
      </w:r>
    </w:p>
    <w:p w:rsidR="00D14804" w:rsidRPr="00DE51A4" w:rsidRDefault="00D14804">
      <w:pPr>
        <w:spacing w:after="0"/>
        <w:rPr>
          <w:rFonts w:ascii="Arial" w:eastAsia="Arial" w:hAnsi="Arial" w:cs="Arial"/>
          <w:bCs/>
          <w:sz w:val="20"/>
          <w:szCs w:val="20"/>
        </w:rPr>
      </w:pPr>
    </w:p>
    <w:p w:rsidR="00D14804" w:rsidRPr="00DE51A4" w:rsidRDefault="00E47E1B" w:rsidP="00E47E1B">
      <w:pPr>
        <w:spacing w:after="0"/>
        <w:rPr>
          <w:rFonts w:ascii="Arial" w:eastAsia="Arial" w:hAnsi="Arial" w:cs="Arial"/>
          <w:bCs/>
          <w:i/>
          <w:iCs/>
          <w:sz w:val="20"/>
          <w:szCs w:val="20"/>
        </w:rPr>
      </w:pPr>
      <w:r w:rsidRPr="00DE51A4">
        <w:rPr>
          <w:rFonts w:ascii="Arial" w:eastAsia="Arial" w:hAnsi="Arial" w:cs="Arial"/>
          <w:bCs/>
          <w:i/>
          <w:iCs/>
          <w:sz w:val="20"/>
          <w:szCs w:val="20"/>
        </w:rPr>
        <w:t xml:space="preserve">Tamara Brajović, </w:t>
      </w:r>
      <w:r w:rsidR="008B019D" w:rsidRPr="00DE51A4">
        <w:rPr>
          <w:rFonts w:ascii="Arial" w:eastAsia="Arial" w:hAnsi="Arial" w:cs="Arial"/>
          <w:bCs/>
          <w:i/>
          <w:iCs/>
          <w:sz w:val="20"/>
          <w:szCs w:val="20"/>
        </w:rPr>
        <w:t>i</w:t>
      </w:r>
      <w:r w:rsidR="00DB79F2" w:rsidRPr="00DE51A4">
        <w:rPr>
          <w:rFonts w:ascii="Arial" w:eastAsia="Arial" w:hAnsi="Arial" w:cs="Arial"/>
          <w:bCs/>
          <w:i/>
          <w:iCs/>
          <w:sz w:val="20"/>
          <w:szCs w:val="20"/>
        </w:rPr>
        <w:t>nstitucionalna koordinacija i usaglašavanje procesa izrade NSBAP, MERS</w:t>
      </w:r>
    </w:p>
    <w:p w:rsidR="00E47E1B" w:rsidRPr="005F1501" w:rsidRDefault="0000537F" w:rsidP="009F27B7">
      <w:pPr>
        <w:spacing w:after="0"/>
        <w:rPr>
          <w:rFonts w:ascii="Arial" w:eastAsia="Arial" w:hAnsi="Arial" w:cs="Arial"/>
          <w:bCs/>
          <w:i/>
          <w:iCs/>
          <w:sz w:val="20"/>
          <w:szCs w:val="20"/>
        </w:rPr>
      </w:pPr>
      <w:r>
        <w:rPr>
          <w:rFonts w:ascii="Arial" w:eastAsia="Arial" w:hAnsi="Arial" w:cs="Arial"/>
          <w:bCs/>
          <w:i/>
          <w:iCs/>
          <w:sz w:val="20"/>
          <w:szCs w:val="20"/>
        </w:rPr>
        <w:t>p</w:t>
      </w:r>
      <w:r w:rsidR="00E47E1B" w:rsidRPr="005F1501">
        <w:rPr>
          <w:rFonts w:ascii="Arial" w:eastAsia="Arial" w:hAnsi="Arial" w:cs="Arial"/>
          <w:bCs/>
          <w:i/>
          <w:iCs/>
          <w:sz w:val="20"/>
          <w:szCs w:val="20"/>
        </w:rPr>
        <w:t>rof dr Danka Caković</w:t>
      </w:r>
      <w:r w:rsidR="00087BB3" w:rsidRPr="005F1501">
        <w:rPr>
          <w:rFonts w:ascii="Arial" w:eastAsia="Arial" w:hAnsi="Arial" w:cs="Arial"/>
          <w:bCs/>
          <w:i/>
          <w:iCs/>
          <w:sz w:val="20"/>
          <w:szCs w:val="20"/>
        </w:rPr>
        <w:t xml:space="preserve">, </w:t>
      </w:r>
      <w:r w:rsidR="009F27B7" w:rsidRPr="005F1501">
        <w:rPr>
          <w:rFonts w:ascii="Arial" w:eastAsia="Arial" w:hAnsi="Arial" w:cs="Arial"/>
          <w:bCs/>
          <w:i/>
          <w:iCs/>
          <w:sz w:val="20"/>
          <w:szCs w:val="20"/>
        </w:rPr>
        <w:t xml:space="preserve">nezavisna </w:t>
      </w:r>
      <w:r w:rsidR="00142615" w:rsidRPr="005F1501">
        <w:rPr>
          <w:rFonts w:ascii="Arial" w:eastAsia="Arial" w:hAnsi="Arial" w:cs="Arial"/>
          <w:bCs/>
          <w:i/>
          <w:iCs/>
          <w:sz w:val="20"/>
          <w:szCs w:val="20"/>
        </w:rPr>
        <w:t xml:space="preserve">konsultantkinja </w:t>
      </w:r>
      <w:r w:rsidR="00AE1CAD" w:rsidRPr="005F1501">
        <w:rPr>
          <w:rFonts w:ascii="Arial" w:eastAsia="Arial" w:hAnsi="Arial" w:cs="Arial"/>
          <w:bCs/>
          <w:i/>
          <w:iCs/>
          <w:sz w:val="20"/>
          <w:szCs w:val="20"/>
        </w:rPr>
        <w:t>–</w:t>
      </w:r>
      <w:r w:rsidR="00142615" w:rsidRPr="005F1501">
        <w:rPr>
          <w:rFonts w:ascii="Arial" w:eastAsia="Arial" w:hAnsi="Arial" w:cs="Arial"/>
          <w:bCs/>
          <w:i/>
          <w:iCs/>
          <w:sz w:val="20"/>
          <w:szCs w:val="20"/>
        </w:rPr>
        <w:t xml:space="preserve"> </w:t>
      </w:r>
      <w:r w:rsidR="00AE1CAD" w:rsidRPr="005F1501">
        <w:rPr>
          <w:rFonts w:ascii="Arial" w:eastAsia="Arial" w:hAnsi="Arial" w:cs="Arial"/>
          <w:bCs/>
          <w:i/>
          <w:iCs/>
          <w:sz w:val="20"/>
          <w:szCs w:val="20"/>
        </w:rPr>
        <w:t>procjena stanja faune</w:t>
      </w:r>
    </w:p>
    <w:p w:rsidR="00E47E1B" w:rsidRPr="005F1501" w:rsidRDefault="00087BB3">
      <w:pPr>
        <w:spacing w:after="0"/>
        <w:rPr>
          <w:rFonts w:ascii="Arial" w:eastAsia="Arial" w:hAnsi="Arial" w:cs="Arial"/>
          <w:bCs/>
          <w:i/>
          <w:iCs/>
          <w:sz w:val="20"/>
          <w:szCs w:val="20"/>
        </w:rPr>
      </w:pPr>
      <w:r w:rsidRPr="005F1501">
        <w:rPr>
          <w:rFonts w:ascii="Arial" w:eastAsia="Arial" w:hAnsi="Arial" w:cs="Arial"/>
          <w:bCs/>
          <w:i/>
          <w:iCs/>
          <w:sz w:val="20"/>
          <w:szCs w:val="20"/>
        </w:rPr>
        <w:t>d</w:t>
      </w:r>
      <w:r w:rsidR="00E47E1B" w:rsidRPr="005F1501">
        <w:rPr>
          <w:rFonts w:ascii="Arial" w:eastAsia="Arial" w:hAnsi="Arial" w:cs="Arial"/>
          <w:bCs/>
          <w:i/>
          <w:iCs/>
          <w:sz w:val="20"/>
          <w:szCs w:val="20"/>
        </w:rPr>
        <w:t>r Bogić Gligorović,</w:t>
      </w:r>
      <w:r w:rsidR="009F27B7" w:rsidRPr="005F1501">
        <w:rPr>
          <w:rFonts w:ascii="Arial" w:eastAsia="Arial" w:hAnsi="Arial" w:cs="Arial"/>
          <w:bCs/>
          <w:i/>
          <w:iCs/>
          <w:sz w:val="20"/>
          <w:szCs w:val="20"/>
        </w:rPr>
        <w:t xml:space="preserve"> nezavisni </w:t>
      </w:r>
      <w:r w:rsidR="00AE1CAD" w:rsidRPr="005F1501">
        <w:rPr>
          <w:rFonts w:ascii="Arial" w:eastAsia="Arial" w:hAnsi="Arial" w:cs="Arial"/>
          <w:bCs/>
          <w:i/>
          <w:iCs/>
          <w:sz w:val="20"/>
          <w:szCs w:val="20"/>
        </w:rPr>
        <w:t>konsultant</w:t>
      </w:r>
      <w:r w:rsidR="009F27B7" w:rsidRPr="005F1501">
        <w:rPr>
          <w:rFonts w:ascii="Arial" w:eastAsia="Arial" w:hAnsi="Arial" w:cs="Arial"/>
          <w:bCs/>
          <w:i/>
          <w:iCs/>
          <w:sz w:val="20"/>
          <w:szCs w:val="20"/>
        </w:rPr>
        <w:t xml:space="preserve"> </w:t>
      </w:r>
      <w:r w:rsidR="00AE1CAD" w:rsidRPr="005F1501">
        <w:rPr>
          <w:rFonts w:ascii="Arial" w:eastAsia="Arial" w:hAnsi="Arial" w:cs="Arial"/>
          <w:bCs/>
          <w:i/>
          <w:iCs/>
          <w:sz w:val="20"/>
          <w:szCs w:val="20"/>
        </w:rPr>
        <w:t>- p</w:t>
      </w:r>
      <w:r w:rsidR="00AE1CAD" w:rsidRPr="007F2ADC">
        <w:rPr>
          <w:rFonts w:ascii="Arial" w:eastAsia="Arial" w:hAnsi="Arial" w:cs="Arial"/>
          <w:bCs/>
          <w:i/>
          <w:iCs/>
          <w:sz w:val="20"/>
          <w:szCs w:val="20"/>
        </w:rPr>
        <w:t>rocjena stanja flore</w:t>
      </w:r>
    </w:p>
    <w:p w:rsidR="00E47E1B" w:rsidRPr="005F1501" w:rsidRDefault="006148AF" w:rsidP="009F27B7">
      <w:pPr>
        <w:spacing w:after="0"/>
        <w:rPr>
          <w:rFonts w:ascii="Arial" w:eastAsia="Arial" w:hAnsi="Arial" w:cs="Arial"/>
          <w:bCs/>
          <w:i/>
          <w:iCs/>
          <w:sz w:val="20"/>
          <w:szCs w:val="20"/>
        </w:rPr>
      </w:pPr>
      <w:r>
        <w:rPr>
          <w:rFonts w:ascii="Arial" w:eastAsia="Arial" w:hAnsi="Arial" w:cs="Arial"/>
          <w:bCs/>
          <w:i/>
          <w:iCs/>
          <w:sz w:val="20"/>
          <w:szCs w:val="20"/>
        </w:rPr>
        <w:t>m</w:t>
      </w:r>
      <w:r w:rsidR="00087BB3" w:rsidRPr="005F1501">
        <w:rPr>
          <w:rFonts w:ascii="Arial" w:eastAsia="Arial" w:hAnsi="Arial" w:cs="Arial"/>
          <w:bCs/>
          <w:i/>
          <w:iCs/>
          <w:sz w:val="20"/>
          <w:szCs w:val="20"/>
        </w:rPr>
        <w:t xml:space="preserve">r </w:t>
      </w:r>
      <w:r w:rsidR="00E47E1B" w:rsidRPr="005F1501">
        <w:rPr>
          <w:rFonts w:ascii="Arial" w:eastAsia="Arial" w:hAnsi="Arial" w:cs="Arial"/>
          <w:bCs/>
          <w:i/>
          <w:iCs/>
          <w:sz w:val="20"/>
          <w:szCs w:val="20"/>
        </w:rPr>
        <w:t>Ana Katnić,</w:t>
      </w:r>
      <w:r w:rsidR="009F27B7" w:rsidRPr="005F1501">
        <w:rPr>
          <w:rFonts w:ascii="Arial" w:eastAsia="Arial" w:hAnsi="Arial" w:cs="Arial"/>
          <w:bCs/>
          <w:i/>
          <w:iCs/>
          <w:sz w:val="20"/>
          <w:szCs w:val="20"/>
        </w:rPr>
        <w:t xml:space="preserve"> nezavisna </w:t>
      </w:r>
      <w:r w:rsidR="00AE1CAD" w:rsidRPr="005F1501">
        <w:rPr>
          <w:rFonts w:ascii="Arial" w:eastAsia="Arial" w:hAnsi="Arial" w:cs="Arial"/>
          <w:bCs/>
          <w:i/>
          <w:iCs/>
          <w:sz w:val="20"/>
          <w:szCs w:val="20"/>
        </w:rPr>
        <w:t>konsultantkinja</w:t>
      </w:r>
      <w:r w:rsidR="00B66597" w:rsidRPr="005F1501">
        <w:rPr>
          <w:rFonts w:ascii="Arial" w:eastAsia="Arial" w:hAnsi="Arial" w:cs="Arial"/>
          <w:bCs/>
          <w:i/>
          <w:iCs/>
          <w:sz w:val="20"/>
          <w:szCs w:val="20"/>
        </w:rPr>
        <w:t xml:space="preserve"> </w:t>
      </w:r>
      <w:r w:rsidR="00754664" w:rsidRPr="005F1501">
        <w:rPr>
          <w:rFonts w:ascii="Arial" w:eastAsia="Arial" w:hAnsi="Arial" w:cs="Arial"/>
          <w:bCs/>
          <w:i/>
          <w:iCs/>
          <w:sz w:val="20"/>
          <w:szCs w:val="20"/>
        </w:rPr>
        <w:t>-</w:t>
      </w:r>
      <w:r w:rsidR="00B66597" w:rsidRPr="005F1501">
        <w:rPr>
          <w:rFonts w:ascii="Arial" w:eastAsia="Arial" w:hAnsi="Arial" w:cs="Arial"/>
          <w:bCs/>
          <w:i/>
          <w:iCs/>
          <w:sz w:val="20"/>
          <w:szCs w:val="20"/>
        </w:rPr>
        <w:t xml:space="preserve"> zaštićena područja</w:t>
      </w:r>
    </w:p>
    <w:p w:rsidR="00E47E1B" w:rsidRPr="005F1501" w:rsidRDefault="00D920FA" w:rsidP="009F27B7">
      <w:pPr>
        <w:spacing w:after="0"/>
        <w:rPr>
          <w:rFonts w:ascii="Arial" w:eastAsia="Arial" w:hAnsi="Arial" w:cs="Arial"/>
          <w:bCs/>
          <w:i/>
          <w:iCs/>
          <w:sz w:val="20"/>
          <w:szCs w:val="20"/>
        </w:rPr>
      </w:pPr>
      <w:r w:rsidRPr="005F1501">
        <w:rPr>
          <w:rFonts w:ascii="Arial" w:eastAsia="Arial" w:hAnsi="Arial" w:cs="Arial"/>
          <w:bCs/>
          <w:i/>
          <w:iCs/>
          <w:sz w:val="20"/>
          <w:szCs w:val="20"/>
        </w:rPr>
        <w:t>d</w:t>
      </w:r>
      <w:r w:rsidR="00087BB3" w:rsidRPr="005F1501">
        <w:rPr>
          <w:rFonts w:ascii="Arial" w:eastAsia="Arial" w:hAnsi="Arial" w:cs="Arial"/>
          <w:bCs/>
          <w:i/>
          <w:iCs/>
          <w:sz w:val="20"/>
          <w:szCs w:val="20"/>
        </w:rPr>
        <w:t xml:space="preserve">r </w:t>
      </w:r>
      <w:r w:rsidR="00E47E1B" w:rsidRPr="005F1501">
        <w:rPr>
          <w:rFonts w:ascii="Arial" w:eastAsia="Arial" w:hAnsi="Arial" w:cs="Arial"/>
          <w:bCs/>
          <w:i/>
          <w:iCs/>
          <w:sz w:val="20"/>
          <w:szCs w:val="20"/>
        </w:rPr>
        <w:t>Marija Vugdelić,</w:t>
      </w:r>
      <w:r w:rsidR="009F27B7" w:rsidRPr="005F1501">
        <w:rPr>
          <w:rFonts w:ascii="Arial" w:eastAsia="Arial" w:hAnsi="Arial" w:cs="Arial"/>
          <w:bCs/>
          <w:i/>
          <w:iCs/>
          <w:sz w:val="20"/>
          <w:szCs w:val="20"/>
        </w:rPr>
        <w:t xml:space="preserve"> nezavisna </w:t>
      </w:r>
      <w:r w:rsidR="00AE1CAD" w:rsidRPr="005F1501">
        <w:rPr>
          <w:rFonts w:ascii="Arial" w:eastAsia="Arial" w:hAnsi="Arial" w:cs="Arial"/>
          <w:bCs/>
          <w:i/>
          <w:iCs/>
          <w:sz w:val="20"/>
          <w:szCs w:val="20"/>
        </w:rPr>
        <w:t>konsultantkinja</w:t>
      </w:r>
      <w:r w:rsidR="00754664" w:rsidRPr="005F1501">
        <w:rPr>
          <w:rFonts w:ascii="Arial" w:eastAsia="Arial" w:hAnsi="Arial" w:cs="Arial"/>
          <w:bCs/>
          <w:i/>
          <w:iCs/>
          <w:sz w:val="20"/>
          <w:szCs w:val="20"/>
        </w:rPr>
        <w:t xml:space="preserve"> - sistemi</w:t>
      </w:r>
      <w:r w:rsidR="00AE1CAD" w:rsidRPr="005F1501">
        <w:rPr>
          <w:rFonts w:ascii="Arial" w:eastAsia="Arial" w:hAnsi="Arial" w:cs="Arial"/>
          <w:bCs/>
          <w:i/>
          <w:iCs/>
          <w:sz w:val="20"/>
          <w:szCs w:val="20"/>
        </w:rPr>
        <w:t xml:space="preserve"> </w:t>
      </w:r>
      <w:r w:rsidR="00B66597" w:rsidRPr="005F1501">
        <w:rPr>
          <w:rFonts w:ascii="Arial" w:eastAsia="Arial" w:hAnsi="Arial" w:cs="Arial"/>
          <w:bCs/>
          <w:i/>
          <w:iCs/>
          <w:sz w:val="20"/>
          <w:szCs w:val="20"/>
        </w:rPr>
        <w:t>monitoring</w:t>
      </w:r>
      <w:r w:rsidR="00754664" w:rsidRPr="005F1501">
        <w:rPr>
          <w:rFonts w:ascii="Arial" w:eastAsia="Arial" w:hAnsi="Arial" w:cs="Arial"/>
          <w:bCs/>
          <w:i/>
          <w:iCs/>
          <w:sz w:val="20"/>
          <w:szCs w:val="20"/>
        </w:rPr>
        <w:t>a</w:t>
      </w:r>
    </w:p>
    <w:p w:rsidR="008B019D" w:rsidRPr="005F1501" w:rsidRDefault="006148AF" w:rsidP="009F27B7">
      <w:pPr>
        <w:spacing w:after="0"/>
        <w:rPr>
          <w:rFonts w:ascii="Arial" w:eastAsia="Arial" w:hAnsi="Arial" w:cs="Arial"/>
          <w:bCs/>
          <w:i/>
          <w:iCs/>
          <w:sz w:val="20"/>
          <w:szCs w:val="20"/>
        </w:rPr>
      </w:pPr>
      <w:r>
        <w:rPr>
          <w:rFonts w:ascii="Arial" w:eastAsia="Arial" w:hAnsi="Arial" w:cs="Arial"/>
          <w:bCs/>
          <w:i/>
          <w:iCs/>
          <w:sz w:val="20"/>
          <w:szCs w:val="20"/>
        </w:rPr>
        <w:t>m</w:t>
      </w:r>
      <w:r w:rsidR="00E47E1B" w:rsidRPr="005F1501">
        <w:rPr>
          <w:rFonts w:ascii="Arial" w:eastAsia="Arial" w:hAnsi="Arial" w:cs="Arial"/>
          <w:bCs/>
          <w:i/>
          <w:iCs/>
          <w:sz w:val="20"/>
          <w:szCs w:val="20"/>
        </w:rPr>
        <w:t xml:space="preserve">r Ivana Stojanović, </w:t>
      </w:r>
      <w:r w:rsidR="009F27B7" w:rsidRPr="005F1501">
        <w:rPr>
          <w:rFonts w:ascii="Arial" w:eastAsia="Arial" w:hAnsi="Arial" w:cs="Arial"/>
          <w:bCs/>
          <w:i/>
          <w:iCs/>
          <w:sz w:val="20"/>
          <w:szCs w:val="20"/>
        </w:rPr>
        <w:t xml:space="preserve">nezavisna </w:t>
      </w:r>
      <w:r w:rsidR="00754664" w:rsidRPr="005F1501">
        <w:rPr>
          <w:rFonts w:ascii="Arial" w:eastAsia="Arial" w:hAnsi="Arial" w:cs="Arial"/>
          <w:bCs/>
          <w:i/>
          <w:iCs/>
          <w:sz w:val="20"/>
          <w:szCs w:val="20"/>
        </w:rPr>
        <w:t xml:space="preserve">konsultantkinja - </w:t>
      </w:r>
      <w:r w:rsidR="00544096">
        <w:rPr>
          <w:rFonts w:ascii="Arial" w:eastAsia="Arial" w:hAnsi="Arial" w:cs="Arial"/>
          <w:bCs/>
          <w:i/>
          <w:iCs/>
          <w:sz w:val="20"/>
          <w:szCs w:val="20"/>
        </w:rPr>
        <w:t>u</w:t>
      </w:r>
      <w:r w:rsidR="00754664" w:rsidRPr="007F2ADC">
        <w:rPr>
          <w:rFonts w:ascii="Arial" w:eastAsia="Arial" w:hAnsi="Arial" w:cs="Arial"/>
          <w:bCs/>
          <w:i/>
          <w:iCs/>
          <w:sz w:val="20"/>
          <w:szCs w:val="20"/>
        </w:rPr>
        <w:t>sklađivanje ciljeva, politika i institucionalnog okvira</w:t>
      </w:r>
      <w:r w:rsidR="00754664" w:rsidRPr="005F1501">
        <w:rPr>
          <w:rFonts w:ascii="Arial" w:eastAsia="Arial" w:hAnsi="Arial" w:cs="Arial"/>
          <w:bCs/>
          <w:i/>
          <w:iCs/>
          <w:sz w:val="20"/>
          <w:szCs w:val="20"/>
        </w:rPr>
        <w:t xml:space="preserve"> </w:t>
      </w:r>
      <w:r>
        <w:rPr>
          <w:rFonts w:ascii="Arial" w:eastAsia="Arial" w:hAnsi="Arial" w:cs="Arial"/>
          <w:bCs/>
          <w:i/>
          <w:iCs/>
          <w:sz w:val="20"/>
          <w:szCs w:val="20"/>
        </w:rPr>
        <w:t>m</w:t>
      </w:r>
      <w:r w:rsidR="008B019D" w:rsidRPr="005F1501">
        <w:rPr>
          <w:rFonts w:ascii="Arial" w:eastAsia="Arial" w:hAnsi="Arial" w:cs="Arial"/>
          <w:bCs/>
          <w:i/>
          <w:iCs/>
          <w:sz w:val="20"/>
          <w:szCs w:val="20"/>
        </w:rPr>
        <w:t xml:space="preserve">r Marina Marković,nezavisna </w:t>
      </w:r>
      <w:r w:rsidR="005F1501" w:rsidRPr="005F1501">
        <w:rPr>
          <w:rFonts w:ascii="Arial" w:eastAsia="Arial" w:hAnsi="Arial" w:cs="Arial"/>
          <w:bCs/>
          <w:i/>
          <w:iCs/>
          <w:sz w:val="20"/>
          <w:szCs w:val="20"/>
        </w:rPr>
        <w:t>konsultantkinja</w:t>
      </w:r>
      <w:r w:rsidR="008B019D" w:rsidRPr="005F1501">
        <w:rPr>
          <w:rFonts w:ascii="Arial" w:eastAsia="Arial" w:hAnsi="Arial" w:cs="Arial"/>
          <w:bCs/>
          <w:i/>
          <w:iCs/>
          <w:sz w:val="20"/>
          <w:szCs w:val="20"/>
        </w:rPr>
        <w:t xml:space="preserve"> </w:t>
      </w:r>
      <w:r w:rsidR="005F1501" w:rsidRPr="005F1501">
        <w:rPr>
          <w:rFonts w:ascii="Arial" w:eastAsia="Arial" w:hAnsi="Arial" w:cs="Arial"/>
          <w:bCs/>
          <w:i/>
          <w:iCs/>
          <w:sz w:val="20"/>
          <w:szCs w:val="20"/>
        </w:rPr>
        <w:t>-</w:t>
      </w:r>
      <w:r w:rsidR="008B019D" w:rsidRPr="005F1501">
        <w:rPr>
          <w:rFonts w:ascii="Arial" w:eastAsia="Arial" w:hAnsi="Arial" w:cs="Arial"/>
          <w:bCs/>
          <w:i/>
          <w:iCs/>
          <w:sz w:val="20"/>
          <w:szCs w:val="20"/>
        </w:rPr>
        <w:t xml:space="preserve"> finansiranje biodiverziteta</w:t>
      </w:r>
    </w:p>
    <w:p w:rsidR="00E47E1B" w:rsidRPr="00544096" w:rsidRDefault="006148AF">
      <w:pPr>
        <w:spacing w:after="0"/>
        <w:rPr>
          <w:rFonts w:ascii="Arial" w:eastAsia="Arial" w:hAnsi="Arial" w:cs="Arial"/>
          <w:bCs/>
          <w:i/>
          <w:iCs/>
          <w:sz w:val="20"/>
          <w:szCs w:val="20"/>
        </w:rPr>
      </w:pPr>
      <w:r>
        <w:rPr>
          <w:rFonts w:ascii="Arial" w:eastAsia="Arial" w:hAnsi="Arial" w:cs="Arial"/>
          <w:bCs/>
          <w:i/>
          <w:iCs/>
          <w:sz w:val="20"/>
          <w:szCs w:val="20"/>
        </w:rPr>
        <w:t>m</w:t>
      </w:r>
      <w:r w:rsidR="00087BB3" w:rsidRPr="005F1501">
        <w:rPr>
          <w:rFonts w:ascii="Arial" w:eastAsia="Arial" w:hAnsi="Arial" w:cs="Arial"/>
          <w:bCs/>
          <w:i/>
          <w:iCs/>
          <w:sz w:val="20"/>
          <w:szCs w:val="20"/>
        </w:rPr>
        <w:t xml:space="preserve">r </w:t>
      </w:r>
      <w:r w:rsidR="00E47E1B" w:rsidRPr="005F1501">
        <w:rPr>
          <w:rFonts w:ascii="Arial" w:eastAsia="Arial" w:hAnsi="Arial" w:cs="Arial"/>
          <w:bCs/>
          <w:i/>
          <w:iCs/>
          <w:sz w:val="20"/>
          <w:szCs w:val="20"/>
        </w:rPr>
        <w:t xml:space="preserve">Sanja </w:t>
      </w:r>
      <w:r w:rsidR="00E47E1B" w:rsidRPr="00544096">
        <w:rPr>
          <w:rFonts w:ascii="Arial" w:eastAsia="Arial" w:hAnsi="Arial" w:cs="Arial"/>
          <w:bCs/>
          <w:i/>
          <w:iCs/>
          <w:sz w:val="20"/>
          <w:szCs w:val="20"/>
        </w:rPr>
        <w:t>Elezović,</w:t>
      </w:r>
      <w:r w:rsidR="00087BB3" w:rsidRPr="00544096">
        <w:rPr>
          <w:rFonts w:ascii="Arial" w:eastAsia="Arial" w:hAnsi="Arial" w:cs="Arial"/>
          <w:bCs/>
          <w:i/>
          <w:iCs/>
          <w:sz w:val="20"/>
          <w:szCs w:val="20"/>
        </w:rPr>
        <w:t xml:space="preserve">nezavisna </w:t>
      </w:r>
      <w:r w:rsidR="005F1501" w:rsidRPr="00544096">
        <w:rPr>
          <w:rFonts w:ascii="Arial" w:eastAsia="Arial" w:hAnsi="Arial" w:cs="Arial"/>
          <w:bCs/>
          <w:i/>
          <w:iCs/>
          <w:sz w:val="20"/>
          <w:szCs w:val="20"/>
        </w:rPr>
        <w:t>konsultantkinja</w:t>
      </w:r>
      <w:r w:rsidR="00087BB3" w:rsidRPr="00544096">
        <w:rPr>
          <w:rFonts w:ascii="Arial" w:eastAsia="Arial" w:hAnsi="Arial" w:cs="Arial"/>
          <w:bCs/>
          <w:i/>
          <w:iCs/>
          <w:sz w:val="20"/>
          <w:szCs w:val="20"/>
        </w:rPr>
        <w:t xml:space="preserve"> </w:t>
      </w:r>
      <w:r w:rsidR="005F1501" w:rsidRPr="00544096">
        <w:rPr>
          <w:rFonts w:ascii="Arial" w:eastAsia="Arial" w:hAnsi="Arial" w:cs="Arial"/>
          <w:bCs/>
          <w:i/>
          <w:iCs/>
          <w:sz w:val="20"/>
          <w:szCs w:val="20"/>
        </w:rPr>
        <w:t>- rodna</w:t>
      </w:r>
      <w:r w:rsidR="00544096" w:rsidRPr="00544096">
        <w:rPr>
          <w:rFonts w:ascii="Arial" w:eastAsia="Arial" w:hAnsi="Arial" w:cs="Arial"/>
          <w:bCs/>
          <w:i/>
          <w:iCs/>
          <w:sz w:val="20"/>
          <w:szCs w:val="20"/>
        </w:rPr>
        <w:t xml:space="preserve"> ravnopravnost i inkluzija</w:t>
      </w:r>
      <w:r w:rsidR="00E47E1B" w:rsidRPr="00544096">
        <w:rPr>
          <w:rFonts w:ascii="Arial" w:eastAsia="Arial" w:hAnsi="Arial" w:cs="Arial"/>
          <w:bCs/>
          <w:i/>
          <w:iCs/>
          <w:sz w:val="20"/>
          <w:szCs w:val="20"/>
        </w:rPr>
        <w:t xml:space="preserve"> </w:t>
      </w:r>
    </w:p>
    <w:p w:rsidR="00E47E1B" w:rsidRPr="00544096" w:rsidRDefault="00E47E1B">
      <w:pPr>
        <w:spacing w:after="0"/>
        <w:rPr>
          <w:rFonts w:ascii="Arial" w:eastAsia="Arial" w:hAnsi="Arial" w:cs="Arial"/>
          <w:bCs/>
          <w:i/>
          <w:iCs/>
          <w:sz w:val="20"/>
          <w:szCs w:val="20"/>
        </w:rPr>
      </w:pPr>
      <w:r w:rsidRPr="00544096">
        <w:rPr>
          <w:rFonts w:ascii="Arial" w:eastAsia="Arial" w:hAnsi="Arial" w:cs="Arial"/>
          <w:bCs/>
          <w:i/>
          <w:iCs/>
          <w:sz w:val="20"/>
          <w:szCs w:val="20"/>
        </w:rPr>
        <w:t xml:space="preserve">Aneta Kankaraš, nezavisni </w:t>
      </w:r>
      <w:r w:rsidR="005F1501" w:rsidRPr="00544096">
        <w:rPr>
          <w:rFonts w:ascii="Arial" w:eastAsia="Arial" w:hAnsi="Arial" w:cs="Arial"/>
          <w:bCs/>
          <w:i/>
          <w:iCs/>
          <w:sz w:val="20"/>
          <w:szCs w:val="20"/>
        </w:rPr>
        <w:t>konsultantkinja</w:t>
      </w:r>
      <w:r w:rsidRPr="00544096">
        <w:rPr>
          <w:rFonts w:ascii="Arial" w:eastAsia="Arial" w:hAnsi="Arial" w:cs="Arial"/>
          <w:bCs/>
          <w:i/>
          <w:iCs/>
          <w:sz w:val="20"/>
          <w:szCs w:val="20"/>
        </w:rPr>
        <w:t xml:space="preserve"> </w:t>
      </w:r>
      <w:r w:rsidR="005F1501" w:rsidRPr="00544096">
        <w:rPr>
          <w:rFonts w:ascii="Arial" w:eastAsia="Arial" w:hAnsi="Arial" w:cs="Arial"/>
          <w:bCs/>
          <w:i/>
          <w:iCs/>
          <w:sz w:val="20"/>
          <w:szCs w:val="20"/>
        </w:rPr>
        <w:t>-</w:t>
      </w:r>
      <w:r w:rsidR="009F27B7" w:rsidRPr="00544096">
        <w:rPr>
          <w:rFonts w:ascii="Arial" w:eastAsia="Arial" w:hAnsi="Arial" w:cs="Arial"/>
          <w:bCs/>
          <w:i/>
          <w:iCs/>
          <w:sz w:val="20"/>
          <w:szCs w:val="20"/>
        </w:rPr>
        <w:t xml:space="preserve"> održivi razvoj i</w:t>
      </w:r>
      <w:r w:rsidRPr="00544096">
        <w:rPr>
          <w:rFonts w:ascii="Arial" w:eastAsia="Arial" w:hAnsi="Arial" w:cs="Arial"/>
          <w:bCs/>
          <w:i/>
          <w:iCs/>
          <w:sz w:val="20"/>
          <w:szCs w:val="20"/>
        </w:rPr>
        <w:t xml:space="preserve"> strateško planiranje</w:t>
      </w:r>
    </w:p>
    <w:p w:rsidR="006148AF" w:rsidRDefault="00E47E1B">
      <w:pPr>
        <w:spacing w:after="0"/>
        <w:rPr>
          <w:rFonts w:ascii="Arial" w:eastAsia="Arial" w:hAnsi="Arial" w:cs="Arial"/>
          <w:bCs/>
          <w:i/>
          <w:iCs/>
          <w:sz w:val="20"/>
          <w:szCs w:val="20"/>
        </w:rPr>
      </w:pPr>
      <w:r w:rsidRPr="00544096">
        <w:rPr>
          <w:rFonts w:ascii="Arial" w:eastAsia="Arial" w:hAnsi="Arial" w:cs="Arial"/>
          <w:bCs/>
          <w:i/>
          <w:iCs/>
          <w:sz w:val="20"/>
          <w:szCs w:val="20"/>
        </w:rPr>
        <w:t>D</w:t>
      </w:r>
      <w:r w:rsidR="006148AF">
        <w:rPr>
          <w:rFonts w:ascii="Arial" w:eastAsia="Arial" w:hAnsi="Arial" w:cs="Arial"/>
          <w:bCs/>
          <w:i/>
          <w:iCs/>
          <w:sz w:val="20"/>
          <w:szCs w:val="20"/>
        </w:rPr>
        <w:t>ina Skarep, menadžerka projekta</w:t>
      </w:r>
    </w:p>
    <w:p w:rsidR="00E47E1B" w:rsidRPr="00DE51A4" w:rsidRDefault="00DB79F2">
      <w:pPr>
        <w:spacing w:after="0"/>
        <w:rPr>
          <w:rFonts w:ascii="Arial" w:eastAsia="Arial" w:hAnsi="Arial" w:cs="Arial"/>
          <w:b/>
          <w:bCs/>
          <w:i/>
          <w:iCs/>
          <w:sz w:val="20"/>
          <w:szCs w:val="20"/>
        </w:rPr>
      </w:pPr>
      <w:r w:rsidRPr="00544096">
        <w:rPr>
          <w:rFonts w:ascii="Arial" w:eastAsia="Arial" w:hAnsi="Arial" w:cs="Arial"/>
          <w:bCs/>
          <w:i/>
          <w:iCs/>
          <w:sz w:val="20"/>
          <w:szCs w:val="20"/>
        </w:rPr>
        <w:t xml:space="preserve">Sanja </w:t>
      </w:r>
      <w:r w:rsidR="00702C95" w:rsidRPr="00544096">
        <w:rPr>
          <w:rFonts w:ascii="Arial" w:eastAsia="Arial" w:hAnsi="Arial" w:cs="Arial"/>
          <w:bCs/>
          <w:i/>
          <w:iCs/>
          <w:sz w:val="20"/>
          <w:szCs w:val="20"/>
        </w:rPr>
        <w:t>Šćepanović, asistent</w:t>
      </w:r>
      <w:r w:rsidR="007F2ADC" w:rsidRPr="00544096">
        <w:rPr>
          <w:rFonts w:ascii="Arial" w:eastAsia="Arial" w:hAnsi="Arial" w:cs="Arial"/>
          <w:bCs/>
          <w:i/>
          <w:iCs/>
          <w:sz w:val="20"/>
          <w:szCs w:val="20"/>
        </w:rPr>
        <w:t>kinja</w:t>
      </w:r>
      <w:r w:rsidR="00702C95" w:rsidRPr="00544096">
        <w:rPr>
          <w:rFonts w:ascii="Arial" w:eastAsia="Arial" w:hAnsi="Arial" w:cs="Arial"/>
          <w:bCs/>
          <w:i/>
          <w:iCs/>
          <w:sz w:val="20"/>
          <w:szCs w:val="20"/>
        </w:rPr>
        <w:t xml:space="preserve"> </w:t>
      </w:r>
      <w:r w:rsidR="007F2ADC" w:rsidRPr="00544096">
        <w:rPr>
          <w:rFonts w:ascii="Arial" w:eastAsia="Arial" w:hAnsi="Arial" w:cs="Arial"/>
          <w:bCs/>
          <w:i/>
          <w:iCs/>
          <w:sz w:val="20"/>
          <w:szCs w:val="20"/>
        </w:rPr>
        <w:t>za koordinaciju</w:t>
      </w:r>
      <w:bookmarkStart w:id="1" w:name="_GoBack"/>
      <w:bookmarkEnd w:id="1"/>
    </w:p>
    <w:p w:rsidR="00E47E1B" w:rsidRPr="00DE51A4" w:rsidRDefault="00E47E1B">
      <w:pPr>
        <w:spacing w:after="0"/>
        <w:rPr>
          <w:rFonts w:ascii="Arial" w:eastAsia="Arial" w:hAnsi="Arial" w:cs="Arial"/>
          <w:b/>
          <w:bCs/>
          <w:i/>
          <w:iCs/>
          <w:sz w:val="20"/>
          <w:szCs w:val="20"/>
        </w:rPr>
      </w:pPr>
    </w:p>
    <w:p w:rsidR="00E47E1B" w:rsidRPr="00DE51A4" w:rsidRDefault="00E47E1B">
      <w:pPr>
        <w:spacing w:after="0"/>
        <w:rPr>
          <w:rFonts w:ascii="Arial" w:eastAsia="Arial" w:hAnsi="Arial" w:cs="Arial"/>
          <w:b/>
          <w:bCs/>
          <w:i/>
          <w:iCs/>
          <w:sz w:val="20"/>
          <w:szCs w:val="20"/>
        </w:rPr>
      </w:pPr>
    </w:p>
    <w:p w:rsidR="00D14804" w:rsidRPr="00DE51A4" w:rsidRDefault="00D14804">
      <w:pPr>
        <w:spacing w:after="0"/>
        <w:rPr>
          <w:rFonts w:ascii="Arial" w:eastAsia="Arial" w:hAnsi="Arial" w:cs="Arial"/>
          <w:b/>
          <w:bCs/>
          <w:sz w:val="20"/>
          <w:szCs w:val="20"/>
        </w:rPr>
      </w:pPr>
    </w:p>
    <w:p w:rsidR="00D14804" w:rsidRPr="00DE51A4" w:rsidRDefault="00D14804">
      <w:pPr>
        <w:spacing w:after="0"/>
        <w:rPr>
          <w:rFonts w:ascii="Arial" w:eastAsia="Arial" w:hAnsi="Arial" w:cs="Arial"/>
          <w:b/>
          <w:bCs/>
          <w:sz w:val="20"/>
          <w:szCs w:val="20"/>
        </w:rPr>
      </w:pPr>
    </w:p>
    <w:p w:rsidR="004B4C80" w:rsidRPr="00DE51A4" w:rsidRDefault="004B4C80">
      <w:pPr>
        <w:spacing w:after="0"/>
        <w:rPr>
          <w:rFonts w:ascii="Arial" w:eastAsia="Arial" w:hAnsi="Arial" w:cs="Arial"/>
          <w:bCs/>
          <w:sz w:val="20"/>
          <w:szCs w:val="20"/>
        </w:rPr>
      </w:pPr>
    </w:p>
    <w:p w:rsidR="00142615" w:rsidRPr="007F2ADC" w:rsidRDefault="004B4C80" w:rsidP="00142615">
      <w:pPr>
        <w:spacing w:before="100" w:beforeAutospacing="1" w:after="100" w:afterAutospacing="1" w:line="240" w:lineRule="auto"/>
        <w:rPr>
          <w:rFonts w:ascii="Arial" w:eastAsia="Arial" w:hAnsi="Arial" w:cs="Arial"/>
          <w:bCs/>
          <w:i/>
          <w:iCs/>
          <w:sz w:val="20"/>
          <w:szCs w:val="20"/>
        </w:rPr>
      </w:pPr>
      <w:r w:rsidRPr="00DE51A4">
        <w:rPr>
          <w:rFonts w:ascii="Arial" w:eastAsia="Arial" w:hAnsi="Arial" w:cs="Arial"/>
          <w:bCs/>
          <w:sz w:val="20"/>
          <w:szCs w:val="20"/>
        </w:rPr>
        <w:t>Lektura i prevod</w:t>
      </w:r>
      <w:r w:rsidR="00B65735" w:rsidRPr="00DE51A4">
        <w:rPr>
          <w:rFonts w:ascii="Arial" w:eastAsia="Arial" w:hAnsi="Arial" w:cs="Arial"/>
          <w:bCs/>
          <w:sz w:val="20"/>
          <w:szCs w:val="20"/>
        </w:rPr>
        <w:t>, dizajn i priprema za štampu</w:t>
      </w:r>
      <w:r w:rsidRPr="00DE51A4">
        <w:rPr>
          <w:rFonts w:ascii="Arial" w:eastAsia="Arial" w:hAnsi="Arial" w:cs="Arial"/>
          <w:bCs/>
          <w:sz w:val="20"/>
          <w:szCs w:val="20"/>
        </w:rPr>
        <w:t>:</w:t>
      </w:r>
      <w:r w:rsidR="00C53792" w:rsidRPr="00DE51A4">
        <w:rPr>
          <w:rFonts w:ascii="Arial" w:eastAsia="Arial" w:hAnsi="Arial" w:cs="Arial"/>
          <w:bCs/>
          <w:sz w:val="20"/>
          <w:szCs w:val="20"/>
        </w:rPr>
        <w:t xml:space="preserve"> </w:t>
      </w:r>
      <w:r w:rsidR="00C53792" w:rsidRPr="00544096">
        <w:rPr>
          <w:rFonts w:ascii="Arial" w:eastAsia="Arial" w:hAnsi="Arial" w:cs="Arial"/>
          <w:bCs/>
          <w:i/>
          <w:sz w:val="20"/>
          <w:szCs w:val="20"/>
        </w:rPr>
        <w:t>Ana Ponoš</w:t>
      </w:r>
    </w:p>
    <w:p w:rsidR="004B4C80" w:rsidRPr="00DE51A4" w:rsidRDefault="004B4C80">
      <w:pPr>
        <w:spacing w:after="0"/>
        <w:rPr>
          <w:rFonts w:ascii="Arial" w:eastAsia="Arial" w:hAnsi="Arial" w:cs="Arial"/>
          <w:bCs/>
          <w:sz w:val="20"/>
          <w:szCs w:val="20"/>
        </w:rPr>
      </w:pPr>
    </w:p>
    <w:p w:rsidR="00B65735" w:rsidRPr="00DE51A4" w:rsidRDefault="00B65735">
      <w:pPr>
        <w:spacing w:after="0"/>
        <w:rPr>
          <w:rFonts w:ascii="Arial" w:eastAsia="Arial" w:hAnsi="Arial" w:cs="Arial"/>
          <w:bCs/>
          <w:sz w:val="20"/>
          <w:szCs w:val="20"/>
        </w:rPr>
      </w:pPr>
    </w:p>
    <w:p w:rsidR="00D14804" w:rsidRPr="00DE51A4" w:rsidRDefault="00D14804">
      <w:pPr>
        <w:spacing w:after="0"/>
        <w:rPr>
          <w:rFonts w:ascii="Arial" w:eastAsia="Arial" w:hAnsi="Arial" w:cs="Arial"/>
          <w:bCs/>
          <w:sz w:val="20"/>
          <w:szCs w:val="20"/>
        </w:rPr>
      </w:pPr>
    </w:p>
    <w:p w:rsidR="00D14804" w:rsidRPr="00DE51A4" w:rsidRDefault="00D14804">
      <w:pPr>
        <w:spacing w:after="0"/>
        <w:rPr>
          <w:rFonts w:ascii="Arial" w:eastAsia="Arial" w:hAnsi="Arial" w:cs="Arial"/>
          <w:bCs/>
          <w:sz w:val="20"/>
          <w:szCs w:val="20"/>
        </w:rPr>
      </w:pPr>
    </w:p>
    <w:p w:rsidR="00D14804" w:rsidRPr="00DE51A4" w:rsidRDefault="00E47E1B">
      <w:pPr>
        <w:spacing w:after="0"/>
        <w:rPr>
          <w:rFonts w:ascii="Arial" w:eastAsia="Arial" w:hAnsi="Arial" w:cs="Arial"/>
          <w:bCs/>
          <w:sz w:val="20"/>
          <w:szCs w:val="20"/>
        </w:rPr>
      </w:pPr>
      <w:r w:rsidRPr="006148AF">
        <w:rPr>
          <w:rFonts w:ascii="Arial" w:eastAsia="Arial" w:hAnsi="Arial" w:cs="Arial"/>
          <w:bCs/>
          <w:sz w:val="20"/>
          <w:szCs w:val="20"/>
        </w:rPr>
        <w:t>Godina izrade:</w:t>
      </w:r>
      <w:r w:rsidR="004B4C80" w:rsidRPr="006148AF">
        <w:rPr>
          <w:rFonts w:ascii="Arial" w:eastAsia="Arial" w:hAnsi="Arial" w:cs="Arial"/>
          <w:bCs/>
          <w:sz w:val="20"/>
          <w:szCs w:val="20"/>
        </w:rPr>
        <w:t xml:space="preserve"> 2025/</w:t>
      </w:r>
      <w:r w:rsidRPr="006148AF">
        <w:rPr>
          <w:rFonts w:ascii="Arial" w:eastAsia="Arial" w:hAnsi="Arial" w:cs="Arial"/>
          <w:bCs/>
          <w:sz w:val="20"/>
          <w:szCs w:val="20"/>
        </w:rPr>
        <w:t>26</w:t>
      </w:r>
      <w:r w:rsidR="004B4C80" w:rsidRPr="006148AF">
        <w:rPr>
          <w:rFonts w:ascii="Arial" w:eastAsia="Arial" w:hAnsi="Arial" w:cs="Arial"/>
          <w:bCs/>
          <w:sz w:val="20"/>
          <w:szCs w:val="20"/>
        </w:rPr>
        <w:t>. godina</w:t>
      </w:r>
    </w:p>
    <w:p w:rsidR="00D14804" w:rsidRPr="00DE51A4" w:rsidRDefault="00D14804">
      <w:pPr>
        <w:spacing w:after="0"/>
        <w:rPr>
          <w:rFonts w:ascii="Arial" w:eastAsia="Arial" w:hAnsi="Arial" w:cs="Arial"/>
          <w:b/>
          <w:bCs/>
          <w:sz w:val="20"/>
          <w:szCs w:val="20"/>
        </w:rPr>
      </w:pPr>
    </w:p>
    <w:p w:rsidR="00D14804" w:rsidRPr="00DE51A4" w:rsidRDefault="00D14804">
      <w:pPr>
        <w:pBdr>
          <w:top w:val="nil"/>
          <w:left w:val="nil"/>
          <w:bottom w:val="nil"/>
          <w:right w:val="nil"/>
          <w:between w:val="nil"/>
        </w:pBdr>
        <w:spacing w:after="0"/>
        <w:rPr>
          <w:rFonts w:ascii="Arial" w:eastAsia="Arial" w:hAnsi="Arial" w:cs="Arial"/>
          <w:b/>
          <w:bCs/>
          <w:sz w:val="20"/>
          <w:szCs w:val="20"/>
        </w:rPr>
      </w:pPr>
    </w:p>
    <w:p w:rsidR="00D14804" w:rsidRDefault="00D14804">
      <w:pPr>
        <w:pBdr>
          <w:top w:val="nil"/>
          <w:left w:val="nil"/>
          <w:bottom w:val="nil"/>
          <w:right w:val="nil"/>
          <w:between w:val="nil"/>
        </w:pBdr>
        <w:spacing w:after="0"/>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color w:val="000000"/>
        </w:rPr>
      </w:pPr>
    </w:p>
    <w:p w:rsidR="00D14804" w:rsidRDefault="00D14804"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1C6D7D" w:rsidRDefault="001C6D7D" w:rsidP="007F2ADC">
      <w:pPr>
        <w:pBdr>
          <w:top w:val="nil"/>
          <w:left w:val="nil"/>
          <w:bottom w:val="nil"/>
          <w:right w:val="nil"/>
          <w:between w:val="nil"/>
        </w:pBdr>
        <w:spacing w:after="0"/>
        <w:rPr>
          <w:rFonts w:ascii="Arial" w:eastAsia="Arial" w:hAnsi="Arial" w:cs="Arial"/>
          <w:b/>
          <w:bCs/>
          <w:color w:val="000000"/>
        </w:rPr>
      </w:pPr>
    </w:p>
    <w:p w:rsidR="00D14804" w:rsidRDefault="00D14804" w:rsidP="00E47E1B">
      <w:pPr>
        <w:pBdr>
          <w:top w:val="nil"/>
          <w:left w:val="nil"/>
          <w:bottom w:val="nil"/>
          <w:right w:val="nil"/>
          <w:between w:val="nil"/>
        </w:pBdr>
        <w:spacing w:after="0"/>
        <w:rPr>
          <w:rFonts w:ascii="Arial" w:eastAsia="Arial" w:hAnsi="Arial" w:cs="Arial"/>
          <w:b/>
          <w:bCs/>
          <w:color w:val="000000"/>
        </w:rPr>
      </w:pPr>
    </w:p>
    <w:p w:rsidR="00D14804" w:rsidRDefault="00A26374">
      <w:pPr>
        <w:pBdr>
          <w:top w:val="nil"/>
          <w:left w:val="nil"/>
          <w:bottom w:val="nil"/>
          <w:right w:val="nil"/>
          <w:between w:val="nil"/>
        </w:pBdr>
        <w:spacing w:after="0"/>
        <w:rPr>
          <w:rFonts w:ascii="Arial" w:eastAsia="Arial" w:hAnsi="Arial" w:cs="Arial"/>
          <w:b/>
          <w:bCs/>
          <w:color w:val="000000"/>
        </w:rPr>
      </w:pPr>
      <w:sdt>
        <w:sdtPr>
          <w:tag w:val="goog_rdk_0"/>
          <w:id w:val="-2068797661"/>
        </w:sdtPr>
        <w:sdtEndPr/>
        <w:sdtContent/>
      </w:sdt>
      <w:r w:rsidR="00E47E1B">
        <w:rPr>
          <w:rFonts w:ascii="Arial" w:eastAsia="Arial" w:hAnsi="Arial" w:cs="Arial"/>
          <w:b/>
          <w:bCs/>
          <w:color w:val="000000"/>
        </w:rPr>
        <w:t>GLOSAR POJMOVA</w:t>
      </w:r>
    </w:p>
    <w:tbl>
      <w:tblPr>
        <w:tblStyle w:val="a"/>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7"/>
        <w:gridCol w:w="6704"/>
      </w:tblGrid>
      <w:tr w:rsidR="00E47E1B" w:rsidTr="00E47E1B">
        <w:tc>
          <w:tcPr>
            <w:tcW w:w="2357" w:type="dxa"/>
            <w:shd w:val="clear" w:color="auto" w:fill="F2F2F2" w:themeFill="background1" w:themeFillShade="F2"/>
            <w:vAlign w:val="bottom"/>
          </w:tcPr>
          <w:p w:rsidR="00E47E1B"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Naziv</w:t>
            </w:r>
          </w:p>
        </w:tc>
        <w:tc>
          <w:tcPr>
            <w:tcW w:w="6704" w:type="dxa"/>
            <w:shd w:val="clear" w:color="auto" w:fill="F2F2F2" w:themeFill="background1" w:themeFillShade="F2"/>
            <w:vAlign w:val="bottom"/>
          </w:tcPr>
          <w:p w:rsidR="00E47E1B" w:rsidRPr="0065284B" w:rsidRDefault="00E47E1B" w:rsidP="00E47E1B">
            <w:pPr>
              <w:pBdr>
                <w:top w:val="nil"/>
                <w:left w:val="nil"/>
                <w:bottom w:val="nil"/>
                <w:right w:val="nil"/>
                <w:between w:val="nil"/>
              </w:pBdr>
              <w:spacing w:after="200" w:line="276" w:lineRule="auto"/>
              <w:rPr>
                <w:rFonts w:ascii="Arial" w:eastAsia="Arial" w:hAnsi="Arial" w:cs="Arial"/>
                <w:b/>
                <w:color w:val="000000"/>
                <w:sz w:val="18"/>
                <w:szCs w:val="18"/>
              </w:rPr>
            </w:pPr>
            <w:r w:rsidRPr="0065284B">
              <w:rPr>
                <w:rFonts w:ascii="Arial" w:eastAsia="Arial" w:hAnsi="Arial" w:cs="Arial"/>
                <w:b/>
                <w:color w:val="000000"/>
                <w:sz w:val="18"/>
                <w:szCs w:val="18"/>
              </w:rPr>
              <w:t xml:space="preserve">Definicija </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 xml:space="preserve">Endemske vrste </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koje se prirodn</w:t>
            </w:r>
            <w:r>
              <w:rPr>
                <w:rFonts w:ascii="Arial" w:eastAsia="Arial" w:hAnsi="Arial" w:cs="Arial"/>
                <w:sz w:val="18"/>
                <w:szCs w:val="18"/>
              </w:rPr>
              <w:t xml:space="preserve">o </w:t>
            </w:r>
            <w:r>
              <w:rPr>
                <w:rFonts w:ascii="Arial" w:eastAsia="Arial" w:hAnsi="Arial" w:cs="Arial"/>
                <w:color w:val="000000"/>
                <w:sz w:val="18"/>
                <w:szCs w:val="18"/>
              </w:rPr>
              <w:t xml:space="preserve">javljaju samo na određenom geografskom području. Ove vrste često imaju jedinstvene adaptacije </w:t>
            </w:r>
            <w:r>
              <w:rPr>
                <w:rFonts w:ascii="Arial" w:eastAsia="Arial" w:hAnsi="Arial" w:cs="Arial"/>
                <w:sz w:val="18"/>
                <w:szCs w:val="18"/>
              </w:rPr>
              <w:t>sto doprinosi genetskom diverzitetu</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Indikatorske vrste</w:t>
            </w:r>
          </w:p>
        </w:tc>
        <w:tc>
          <w:tcPr>
            <w:tcW w:w="6704" w:type="dxa"/>
            <w:vAlign w:val="center"/>
          </w:tcPr>
          <w:p w:rsidR="00D14804" w:rsidRDefault="00E47E1B" w:rsidP="00E47E1B">
            <w:pPr>
              <w:rPr>
                <w:rFonts w:ascii="Arial" w:eastAsia="Arial" w:hAnsi="Arial" w:cs="Arial"/>
                <w:color w:val="000000"/>
                <w:sz w:val="18"/>
                <w:szCs w:val="18"/>
              </w:rPr>
            </w:pPr>
            <w:r>
              <w:rPr>
                <w:rFonts w:ascii="Arial" w:eastAsia="Arial" w:hAnsi="Arial" w:cs="Arial"/>
                <w:color w:val="000000"/>
                <w:sz w:val="18"/>
                <w:szCs w:val="18"/>
              </w:rPr>
              <w:t xml:space="preserve">Vrste koje mogu ukazivati na stanje ekosistema.  </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Invazivne vrste</w:t>
            </w:r>
          </w:p>
        </w:tc>
        <w:tc>
          <w:tcPr>
            <w:tcW w:w="6704" w:type="dxa"/>
            <w:vAlign w:val="center"/>
          </w:tcPr>
          <w:p w:rsidR="00D14804" w:rsidRDefault="00E47E1B" w:rsidP="00E47E1B">
            <w:pPr>
              <w:rPr>
                <w:rFonts w:ascii="Arial" w:eastAsia="Arial" w:hAnsi="Arial" w:cs="Arial"/>
                <w:color w:val="000000"/>
                <w:sz w:val="18"/>
                <w:szCs w:val="18"/>
              </w:rPr>
            </w:pPr>
            <w:r>
              <w:rPr>
                <w:rFonts w:ascii="Arial" w:eastAsia="Arial" w:hAnsi="Arial" w:cs="Arial"/>
                <w:sz w:val="18"/>
                <w:szCs w:val="18"/>
              </w:rPr>
              <w:t>Vrsta koja nije domaća na nekom području, a nakon unošenje u to područje brzo se razmnožava i ima negativan uticaj na ekosistem</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Krovne/kišobran vrste (umbrela species)</w:t>
            </w:r>
          </w:p>
        </w:tc>
        <w:tc>
          <w:tcPr>
            <w:tcW w:w="6704" w:type="dxa"/>
            <w:vAlign w:val="center"/>
          </w:tcPr>
          <w:p w:rsidR="00D14804" w:rsidRDefault="00E47E1B" w:rsidP="00E47E1B">
            <w:pPr>
              <w:rPr>
                <w:rFonts w:ascii="Arial" w:eastAsia="Arial" w:hAnsi="Arial" w:cs="Arial"/>
                <w:color w:val="000000"/>
                <w:sz w:val="18"/>
                <w:szCs w:val="18"/>
              </w:rPr>
            </w:pPr>
            <w:r>
              <w:rPr>
                <w:rFonts w:ascii="Arial" w:eastAsia="Arial" w:hAnsi="Arial" w:cs="Arial"/>
                <w:color w:val="000000"/>
                <w:sz w:val="18"/>
                <w:szCs w:val="18"/>
              </w:rPr>
              <w:t>Vrste koje imaju važnu ulogu u očuvanju ekosistema. Njihovo očuvanje pomaže u zaštiti i drugih vrsta i njihovih staništa, jer često zahtevaju velike ili specifične površine staništa.</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Ključne vrste (keystone species)</w:t>
            </w:r>
          </w:p>
        </w:tc>
        <w:tc>
          <w:tcPr>
            <w:tcW w:w="6704" w:type="dxa"/>
            <w:vAlign w:val="center"/>
          </w:tcPr>
          <w:p w:rsidR="00D14804" w:rsidRDefault="00E47E1B" w:rsidP="00E47E1B">
            <w:pPr>
              <w:rPr>
                <w:rFonts w:ascii="Arial" w:eastAsia="Arial" w:hAnsi="Arial" w:cs="Arial"/>
                <w:color w:val="000000"/>
                <w:sz w:val="18"/>
                <w:szCs w:val="18"/>
              </w:rPr>
            </w:pPr>
            <w:r>
              <w:rPr>
                <w:rFonts w:ascii="Arial" w:eastAsia="Arial" w:hAnsi="Arial" w:cs="Arial"/>
                <w:color w:val="000000"/>
                <w:sz w:val="18"/>
                <w:szCs w:val="18"/>
              </w:rPr>
              <w:t xml:space="preserve">Vrste koje su od izuzetne važnosti za očuvanje strukture i funkcije ekosistema, a njihovo prisustvo ili odsustvo može značajno uticati na ostale organizme i cjelokupno zdravlje eksosistema. </w:t>
            </w:r>
          </w:p>
        </w:tc>
      </w:tr>
      <w:tr w:rsidR="00D14804" w:rsidTr="00E47E1B">
        <w:tc>
          <w:tcPr>
            <w:tcW w:w="2357" w:type="dxa"/>
            <w:vAlign w:val="center"/>
          </w:tcPr>
          <w:p w:rsidR="00D14804" w:rsidRDefault="00E47E1B" w:rsidP="00D02DC0">
            <w:pPr>
              <w:spacing w:line="240" w:lineRule="auto"/>
              <w:rPr>
                <w:rFonts w:ascii="Arial" w:eastAsia="Arial" w:hAnsi="Arial" w:cs="Arial"/>
                <w:b/>
                <w:bCs/>
                <w:color w:val="000000"/>
                <w:sz w:val="18"/>
                <w:szCs w:val="18"/>
              </w:rPr>
            </w:pPr>
            <w:r>
              <w:rPr>
                <w:rFonts w:ascii="Arial" w:eastAsia="Arial" w:hAnsi="Arial" w:cs="Arial"/>
                <w:b/>
                <w:bCs/>
                <w:color w:val="000000"/>
                <w:sz w:val="18"/>
                <w:szCs w:val="18"/>
              </w:rPr>
              <w:t xml:space="preserve">Konzervaciono značajne vrste </w:t>
            </w:r>
          </w:p>
          <w:p w:rsidR="00D14804" w:rsidRDefault="00D14804" w:rsidP="00D02DC0">
            <w:pPr>
              <w:pBdr>
                <w:top w:val="nil"/>
                <w:left w:val="nil"/>
                <w:bottom w:val="nil"/>
                <w:right w:val="nil"/>
                <w:between w:val="nil"/>
              </w:pBdr>
              <w:spacing w:after="200" w:line="240" w:lineRule="auto"/>
              <w:rPr>
                <w:rFonts w:ascii="Arial" w:eastAsia="Arial" w:hAnsi="Arial" w:cs="Arial"/>
                <w:b/>
                <w:bCs/>
                <w:color w:val="000000"/>
                <w:sz w:val="18"/>
                <w:szCs w:val="18"/>
              </w:rPr>
            </w:pP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koje su od posebnog značaja za očuvanje biodiverziteta zbog svog statusa ugroženosti, endemizma, ili ekološke uloge u staništu. Ove vrste su često predmet zaštitnih mjera i strategija očuvanja. U konzervaciono značajne vrste spadaju: zaštićene vrste, ugrožene vrste, endemske vrste, reliktne vrste, ključne vrsta, bioindikatorske vrsta, krovne/kišobran vrste (umbrela species)</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Kunming–Montreal globalni okvir (Kunnming Montreal Global Biodiversit</w:t>
            </w:r>
            <w:r>
              <w:rPr>
                <w:rFonts w:ascii="Arial" w:eastAsia="Arial" w:hAnsi="Arial" w:cs="Arial"/>
                <w:b/>
                <w:bCs/>
                <w:sz w:val="18"/>
                <w:szCs w:val="18"/>
              </w:rPr>
              <w:t>y</w:t>
            </w:r>
            <w:r>
              <w:rPr>
                <w:rFonts w:ascii="Arial" w:eastAsia="Arial" w:hAnsi="Arial" w:cs="Arial"/>
                <w:b/>
                <w:bCs/>
                <w:color w:val="000000"/>
                <w:sz w:val="18"/>
                <w:szCs w:val="18"/>
              </w:rPr>
              <w:t xml:space="preserve"> Framework - KM GBF)</w:t>
            </w:r>
          </w:p>
        </w:tc>
        <w:tc>
          <w:tcPr>
            <w:tcW w:w="6704" w:type="dxa"/>
            <w:vAlign w:val="center"/>
          </w:tcPr>
          <w:p w:rsidR="00D14804" w:rsidRDefault="00E47E1B" w:rsidP="008722E0">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M</w:t>
            </w:r>
            <w:r w:rsidRPr="00E47E1B">
              <w:rPr>
                <w:rFonts w:ascii="Arial" w:eastAsia="Arial" w:hAnsi="Arial" w:cs="Arial"/>
                <w:color w:val="000000"/>
                <w:sz w:val="18"/>
                <w:szCs w:val="18"/>
              </w:rPr>
              <w:t xml:space="preserve">eđunarodni strateški okvir usvojen 2022. godine na 15. Konferenciji strana Konvencija o biološkoj raznovrsnosti (CBD), kojim se utvrđuju </w:t>
            </w:r>
            <w:r>
              <w:rPr>
                <w:rFonts w:ascii="Arial" w:eastAsia="Arial" w:hAnsi="Arial" w:cs="Arial"/>
                <w:color w:val="000000"/>
                <w:sz w:val="18"/>
                <w:szCs w:val="18"/>
              </w:rPr>
              <w:t>globalni ciljevi i 23 operativna</w:t>
            </w:r>
            <w:r w:rsidRPr="00E47E1B">
              <w:rPr>
                <w:rFonts w:ascii="Arial" w:eastAsia="Arial" w:hAnsi="Arial" w:cs="Arial"/>
                <w:color w:val="000000"/>
                <w:sz w:val="18"/>
                <w:szCs w:val="18"/>
              </w:rPr>
              <w:t xml:space="preserve"> </w:t>
            </w:r>
            <w:r>
              <w:rPr>
                <w:rFonts w:ascii="Arial" w:eastAsia="Arial" w:hAnsi="Arial" w:cs="Arial"/>
                <w:color w:val="000000"/>
                <w:sz w:val="18"/>
                <w:szCs w:val="18"/>
              </w:rPr>
              <w:t>„</w:t>
            </w:r>
            <w:r w:rsidRPr="008722E0">
              <w:rPr>
                <w:rFonts w:ascii="Arial" w:eastAsia="Arial" w:hAnsi="Arial" w:cs="Arial"/>
                <w:i/>
                <w:color w:val="000000"/>
                <w:sz w:val="18"/>
                <w:szCs w:val="18"/>
              </w:rPr>
              <w:t>target</w:t>
            </w:r>
            <w:r w:rsidR="008722E0" w:rsidRPr="008722E0">
              <w:rPr>
                <w:rFonts w:ascii="Arial" w:eastAsia="Arial" w:hAnsi="Arial" w:cs="Arial"/>
                <w:i/>
                <w:color w:val="000000"/>
                <w:sz w:val="18"/>
                <w:szCs w:val="18"/>
              </w:rPr>
              <w:t>s</w:t>
            </w:r>
            <w:r>
              <w:rPr>
                <w:rFonts w:ascii="Arial" w:eastAsia="Arial" w:hAnsi="Arial" w:cs="Arial"/>
                <w:color w:val="000000"/>
                <w:sz w:val="18"/>
                <w:szCs w:val="18"/>
              </w:rPr>
              <w:t xml:space="preserve">“ (ciljna ishoda) </w:t>
            </w:r>
            <w:r w:rsidRPr="00E47E1B">
              <w:rPr>
                <w:rFonts w:ascii="Arial" w:eastAsia="Arial" w:hAnsi="Arial" w:cs="Arial"/>
                <w:color w:val="000000"/>
                <w:sz w:val="18"/>
                <w:szCs w:val="18"/>
              </w:rPr>
              <w:t>do 2030. godine radi zaustavljanja i preokretanja gubitka biodiverziteta, uključujući zaštitu najmanje 30% kopnenih i morskih područja, obnovu degradiranih ekosistema i integraciju biodiverziteta u sve sektorske politike i razvojne procese, uz viziju života u skladu s prirodom do 2050. godine.</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Međunarodno zaštićene vrste</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zaštićene odgovarajućim međunarodnim sporazumima (npr. konvencije Bernska, Bonska, O biološkoj raznovrsnosti...), i EU Direktivama o staništima i vrstama</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 xml:space="preserve">Nacionalno zaštitićene vrste </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koji su zakonski zaštićeni u nekoj državi, kako bi se očuvale njihove populacija i staništa</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Područaja sa efikasnim mjerama zaštite (Other effective area-based conservation measures - OECMs)</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Geografski definisana područja koja nijesu formalno proglašena zaštićenim područjima, ali se njima upravlja i ona se koriste na način koji obezbjeđuje pozitivne i dugoročno održive rezultate za in situ očuvanje biodiverziteta, uz očuvanje povezanih funkcija i usluga ekosistema, kao i, gdje je primjenjivo, kulturnih, duhovnih, socio-ekonomskih i drugih lokalno značajnih vrijednosti.</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 xml:space="preserve">Reliktne vrste </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koje su preživele promjene u ekosistemima i koje su ostale u ograničenim geografskim područjima</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Ugrožene vrste</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sidRPr="00E47E1B">
              <w:rPr>
                <w:rFonts w:ascii="Arial" w:eastAsia="Arial" w:hAnsi="Arial" w:cs="Arial"/>
                <w:bCs/>
                <w:color w:val="000000"/>
                <w:sz w:val="18"/>
                <w:szCs w:val="18"/>
              </w:rPr>
              <w:t>V</w:t>
            </w:r>
            <w:r>
              <w:rPr>
                <w:rFonts w:ascii="Arial" w:eastAsia="Arial" w:hAnsi="Arial" w:cs="Arial"/>
                <w:color w:val="000000"/>
                <w:sz w:val="18"/>
                <w:szCs w:val="18"/>
              </w:rPr>
              <w:t>rste koje se suočavaju sa visokim rizikom od izumiranja u divljini.</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Usluge ekosistema</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b/>
                <w:bCs/>
                <w:color w:val="000000"/>
                <w:sz w:val="18"/>
                <w:szCs w:val="18"/>
              </w:rPr>
            </w:pPr>
            <w:r w:rsidRPr="00E47E1B">
              <w:rPr>
                <w:rFonts w:ascii="Arial" w:eastAsia="Arial" w:hAnsi="Arial" w:cs="Arial"/>
                <w:color w:val="000000"/>
                <w:sz w:val="18"/>
                <w:szCs w:val="18"/>
              </w:rPr>
              <w:t>Usluge ekosistema predstavljaju direktne i indirektne doprinose ekosistema ljudskom blagostanju</w:t>
            </w:r>
            <w:r>
              <w:rPr>
                <w:rStyle w:val="FootnoteReference"/>
                <w:rFonts w:ascii="Arial" w:eastAsia="Arial" w:hAnsi="Arial"/>
                <w:color w:val="000000"/>
                <w:sz w:val="18"/>
                <w:szCs w:val="18"/>
              </w:rPr>
              <w:footnoteReference w:id="1"/>
            </w:r>
            <w:r w:rsidRPr="00E47E1B">
              <w:rPr>
                <w:rFonts w:ascii="Arial" w:eastAsia="Arial" w:hAnsi="Arial" w:cs="Arial"/>
                <w:color w:val="000000"/>
                <w:sz w:val="18"/>
                <w:szCs w:val="18"/>
              </w:rPr>
              <w:t>.</w:t>
            </w:r>
          </w:p>
        </w:tc>
      </w:tr>
      <w:tr w:rsidR="00D14804" w:rsidTr="00E47E1B">
        <w:tc>
          <w:tcPr>
            <w:tcW w:w="2357" w:type="dxa"/>
            <w:vAlign w:val="center"/>
          </w:tcPr>
          <w:p w:rsidR="00D14804" w:rsidRDefault="00E47E1B"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bCs/>
                <w:color w:val="000000"/>
                <w:sz w:val="18"/>
                <w:szCs w:val="18"/>
              </w:rPr>
              <w:t xml:space="preserve">Zaštićene vrste </w:t>
            </w:r>
          </w:p>
        </w:tc>
        <w:tc>
          <w:tcPr>
            <w:tcW w:w="6704" w:type="dxa"/>
            <w:vAlign w:val="center"/>
          </w:tcPr>
          <w:p w:rsidR="00D14804" w:rsidRDefault="00E47E1B" w:rsidP="00E47E1B">
            <w:pPr>
              <w:pBdr>
                <w:top w:val="nil"/>
                <w:left w:val="nil"/>
                <w:bottom w:val="nil"/>
                <w:right w:val="nil"/>
                <w:between w:val="nil"/>
              </w:pBdr>
              <w:spacing w:after="200" w:line="276" w:lineRule="auto"/>
              <w:rPr>
                <w:rFonts w:ascii="Arial" w:eastAsia="Arial" w:hAnsi="Arial" w:cs="Arial"/>
                <w:color w:val="000000"/>
                <w:sz w:val="18"/>
                <w:szCs w:val="18"/>
              </w:rPr>
            </w:pPr>
            <w:r>
              <w:rPr>
                <w:rFonts w:ascii="Arial" w:eastAsia="Arial" w:hAnsi="Arial" w:cs="Arial"/>
                <w:color w:val="000000"/>
                <w:sz w:val="18"/>
                <w:szCs w:val="18"/>
              </w:rPr>
              <w:t>Vrste su one koje su klasifikovane kao ugrožene ili ranjive od strane nacionalnih ili međunarodnih zakona i konvencija. One zahtijevaju posebne mjere zaštite da bi se očuvale u prirodi. Ove vrste ne smiju biti ubijene, uzimane iz prirode ili uništavane bez posebnih dozvola</w:t>
            </w:r>
          </w:p>
        </w:tc>
      </w:tr>
      <w:tr w:rsidR="00D14804">
        <w:tc>
          <w:tcPr>
            <w:tcW w:w="2357" w:type="dxa"/>
          </w:tcPr>
          <w:p w:rsidR="00D14804" w:rsidRPr="00D02DC0" w:rsidRDefault="00D02DC0" w:rsidP="00D02DC0">
            <w:pPr>
              <w:pBdr>
                <w:top w:val="nil"/>
                <w:left w:val="nil"/>
                <w:bottom w:val="nil"/>
                <w:right w:val="nil"/>
                <w:between w:val="nil"/>
              </w:pBdr>
              <w:spacing w:after="200" w:line="240" w:lineRule="auto"/>
              <w:rPr>
                <w:rFonts w:ascii="Arial" w:eastAsia="Arial" w:hAnsi="Arial" w:cs="Arial"/>
                <w:b/>
                <w:bCs/>
                <w:color w:val="000000"/>
                <w:sz w:val="18"/>
                <w:szCs w:val="18"/>
              </w:rPr>
            </w:pPr>
            <w:r>
              <w:rPr>
                <w:rFonts w:ascii="Arial" w:eastAsia="Arial" w:hAnsi="Arial" w:cs="Arial"/>
                <w:b/>
                <w:color w:val="000000"/>
                <w:sz w:val="18"/>
                <w:szCs w:val="18"/>
              </w:rPr>
              <w:lastRenderedPageBreak/>
              <w:t>Nb</w:t>
            </w:r>
            <w:r w:rsidRPr="00D02DC0">
              <w:rPr>
                <w:rFonts w:ascii="Arial" w:eastAsia="Arial" w:hAnsi="Arial" w:cs="Arial"/>
                <w:b/>
                <w:color w:val="000000"/>
                <w:sz w:val="18"/>
                <w:szCs w:val="18"/>
              </w:rPr>
              <w:t>S (Nature-based Solutions / Rješenja zasnovana na prirodi)</w:t>
            </w:r>
          </w:p>
        </w:tc>
        <w:tc>
          <w:tcPr>
            <w:tcW w:w="6704" w:type="dxa"/>
          </w:tcPr>
          <w:p w:rsidR="00D14804" w:rsidRDefault="00D02DC0">
            <w:pPr>
              <w:pBdr>
                <w:top w:val="nil"/>
                <w:left w:val="nil"/>
                <w:bottom w:val="nil"/>
                <w:right w:val="nil"/>
                <w:between w:val="nil"/>
              </w:pBdr>
              <w:spacing w:after="200" w:line="276" w:lineRule="auto"/>
              <w:rPr>
                <w:rFonts w:ascii="Arial" w:eastAsia="Arial" w:hAnsi="Arial" w:cs="Arial"/>
                <w:color w:val="000000"/>
                <w:sz w:val="18"/>
                <w:szCs w:val="18"/>
              </w:rPr>
            </w:pPr>
            <w:r w:rsidRPr="00D02DC0">
              <w:rPr>
                <w:rFonts w:ascii="Arial" w:eastAsia="Arial" w:hAnsi="Arial" w:cs="Arial"/>
                <w:color w:val="000000"/>
                <w:sz w:val="18"/>
                <w:szCs w:val="18"/>
              </w:rPr>
              <w:t>Pristup planiranju i upravljanju koji koristi očuvanje, obnovu i održivo korišćenje prirodnih ekosistema radi rješavanja društvenih izazova (npr. klimatskih promjena, rizika od poplava, degradacije zemljišta, gubitka biodiverziteta), istovremeno obezbjeđujući koristi za prirodu i dobrobit ljudi.</w:t>
            </w:r>
          </w:p>
        </w:tc>
      </w:tr>
      <w:tr w:rsidR="00D14804">
        <w:tc>
          <w:tcPr>
            <w:tcW w:w="2357" w:type="dxa"/>
          </w:tcPr>
          <w:p w:rsidR="00D14804" w:rsidRPr="007F751E" w:rsidRDefault="00D02DC0">
            <w:pPr>
              <w:pBdr>
                <w:top w:val="nil"/>
                <w:left w:val="nil"/>
                <w:bottom w:val="nil"/>
                <w:right w:val="nil"/>
                <w:between w:val="nil"/>
              </w:pBdr>
              <w:spacing w:after="200" w:line="276" w:lineRule="auto"/>
              <w:rPr>
                <w:rFonts w:ascii="Arial" w:eastAsia="Arial" w:hAnsi="Arial" w:cs="Arial"/>
                <w:b/>
                <w:bCs/>
                <w:sz w:val="18"/>
                <w:szCs w:val="18"/>
              </w:rPr>
            </w:pPr>
            <w:r w:rsidRPr="007F751E">
              <w:rPr>
                <w:rFonts w:ascii="Arial" w:eastAsia="Arial" w:hAnsi="Arial" w:cs="Arial"/>
                <w:b/>
                <w:bCs/>
                <w:sz w:val="18"/>
                <w:szCs w:val="18"/>
              </w:rPr>
              <w:t>Provjera usklađenosti s ciljevima očuvanja biodiverziteta</w:t>
            </w:r>
            <w:r w:rsidR="007F751E" w:rsidRPr="007F751E">
              <w:rPr>
                <w:rFonts w:ascii="Arial" w:eastAsia="Arial" w:hAnsi="Arial" w:cs="Arial"/>
                <w:b/>
                <w:bCs/>
                <w:sz w:val="18"/>
                <w:szCs w:val="18"/>
              </w:rPr>
              <w:t xml:space="preserve"> (eng. Biodiversity proofing)</w:t>
            </w:r>
          </w:p>
        </w:tc>
        <w:tc>
          <w:tcPr>
            <w:tcW w:w="6704" w:type="dxa"/>
          </w:tcPr>
          <w:p w:rsidR="007F751E" w:rsidRPr="007F751E" w:rsidRDefault="007F751E" w:rsidP="007F751E">
            <w:pPr>
              <w:pStyle w:val="NormalWeb"/>
              <w:spacing w:after="200"/>
            </w:pPr>
            <w:r w:rsidRPr="007F751E">
              <w:rPr>
                <w:rFonts w:ascii="Arial" w:hAnsi="Arial" w:cs="Arial"/>
                <w:sz w:val="18"/>
                <w:szCs w:val="18"/>
              </w:rPr>
              <w:t>Proces provjere integracije biodiverziteta u sektorske strategije, planove i programe sa ciljem da se smanje uticaji i spriječi gubitak biodiverziteta</w:t>
            </w:r>
            <w:r>
              <w:rPr>
                <w:rFonts w:ascii="Arial" w:hAnsi="Arial" w:cs="Arial"/>
                <w:sz w:val="18"/>
                <w:szCs w:val="18"/>
              </w:rPr>
              <w:t>.</w:t>
            </w:r>
          </w:p>
          <w:p w:rsidR="00D14804" w:rsidRPr="007F751E" w:rsidRDefault="00D14804">
            <w:pPr>
              <w:spacing w:after="200" w:line="276" w:lineRule="auto"/>
              <w:rPr>
                <w:rFonts w:ascii="Arial" w:eastAsia="Arial" w:hAnsi="Arial" w:cs="Arial"/>
                <w:sz w:val="18"/>
                <w:szCs w:val="18"/>
              </w:rPr>
            </w:pPr>
          </w:p>
        </w:tc>
      </w:tr>
      <w:tr w:rsidR="000B4004">
        <w:tc>
          <w:tcPr>
            <w:tcW w:w="2357" w:type="dxa"/>
          </w:tcPr>
          <w:p w:rsidR="000B4004" w:rsidRPr="003E64CF" w:rsidRDefault="000B4004">
            <w:pPr>
              <w:pBdr>
                <w:top w:val="nil"/>
                <w:left w:val="nil"/>
                <w:bottom w:val="nil"/>
                <w:right w:val="nil"/>
                <w:between w:val="nil"/>
              </w:pBdr>
              <w:spacing w:after="200" w:line="276" w:lineRule="auto"/>
              <w:rPr>
                <w:rFonts w:ascii="Arial" w:eastAsia="Times New Roman" w:hAnsi="Arial" w:cs="Arial"/>
                <w:b/>
                <w:sz w:val="18"/>
                <w:szCs w:val="18"/>
              </w:rPr>
            </w:pPr>
            <w:r w:rsidRPr="003E64CF">
              <w:rPr>
                <w:rFonts w:ascii="Arial" w:eastAsia="Times New Roman" w:hAnsi="Arial" w:cs="Arial"/>
                <w:b/>
                <w:sz w:val="18"/>
                <w:szCs w:val="18"/>
              </w:rPr>
              <w:t>Pravična raspodjela koristi (</w:t>
            </w:r>
            <w:r w:rsidR="003E64CF" w:rsidRPr="003E64CF">
              <w:rPr>
                <w:rFonts w:ascii="Arial" w:eastAsia="Times New Roman" w:hAnsi="Arial" w:cs="Arial"/>
                <w:b/>
                <w:sz w:val="18"/>
                <w:szCs w:val="18"/>
              </w:rPr>
              <w:t xml:space="preserve">eng. Access and Benefit-Sharing </w:t>
            </w:r>
            <w:r w:rsidRPr="003E64CF">
              <w:rPr>
                <w:rFonts w:ascii="Arial" w:eastAsia="Times New Roman" w:hAnsi="Arial" w:cs="Arial"/>
                <w:b/>
                <w:sz w:val="18"/>
                <w:szCs w:val="18"/>
              </w:rPr>
              <w:t>ABS)</w:t>
            </w:r>
          </w:p>
        </w:tc>
        <w:tc>
          <w:tcPr>
            <w:tcW w:w="6704" w:type="dxa"/>
          </w:tcPr>
          <w:p w:rsidR="000B4004" w:rsidRPr="003E64CF" w:rsidRDefault="003E64CF" w:rsidP="003E64CF">
            <w:pPr>
              <w:spacing w:after="200" w:line="276" w:lineRule="auto"/>
              <w:rPr>
                <w:rFonts w:ascii="Arial" w:eastAsia="Times New Roman" w:hAnsi="Arial" w:cs="Arial"/>
                <w:sz w:val="18"/>
                <w:szCs w:val="18"/>
              </w:rPr>
            </w:pPr>
            <w:r w:rsidRPr="003E64CF">
              <w:rPr>
                <w:rFonts w:ascii="Arial" w:eastAsia="Times New Roman" w:hAnsi="Arial" w:cs="Arial"/>
                <w:sz w:val="18"/>
                <w:szCs w:val="18"/>
              </w:rPr>
              <w:t>Pristup genetičkim resursima i pravična i ravnopravna raspodjela koristi od njihovog korišćenja ()</w:t>
            </w:r>
          </w:p>
        </w:tc>
      </w:tr>
      <w:tr w:rsidR="009C1704" w:rsidTr="009C1704">
        <w:tc>
          <w:tcPr>
            <w:tcW w:w="2357" w:type="dxa"/>
            <w:vAlign w:val="center"/>
          </w:tcPr>
          <w:p w:rsidR="009C1704" w:rsidRPr="007F751E" w:rsidRDefault="009C1704" w:rsidP="009C1704">
            <w:pPr>
              <w:pBdr>
                <w:top w:val="nil"/>
                <w:left w:val="nil"/>
                <w:bottom w:val="nil"/>
                <w:right w:val="nil"/>
                <w:between w:val="nil"/>
              </w:pBdr>
              <w:spacing w:after="0"/>
              <w:rPr>
                <w:rFonts w:ascii="Arial" w:eastAsia="Arial" w:hAnsi="Arial" w:cs="Arial"/>
                <w:b/>
                <w:bCs/>
              </w:rPr>
            </w:pPr>
            <w:r w:rsidRPr="007F751E">
              <w:rPr>
                <w:rFonts w:ascii="Arial" w:hAnsi="Arial" w:cs="Arial"/>
                <w:b/>
                <w:bCs/>
                <w:sz w:val="18"/>
                <w:szCs w:val="18"/>
              </w:rPr>
              <w:t>Kompenzacije za biodiverzitet (engl. biodiversity offsets)</w:t>
            </w:r>
          </w:p>
        </w:tc>
        <w:tc>
          <w:tcPr>
            <w:tcW w:w="6704" w:type="dxa"/>
          </w:tcPr>
          <w:p w:rsidR="009C1704" w:rsidRPr="007F751E" w:rsidRDefault="009C1704">
            <w:pPr>
              <w:spacing w:after="200" w:line="276" w:lineRule="auto"/>
              <w:rPr>
                <w:rFonts w:ascii="Arial" w:eastAsia="Arial" w:hAnsi="Arial" w:cs="Arial"/>
                <w:sz w:val="18"/>
                <w:szCs w:val="18"/>
              </w:rPr>
            </w:pPr>
            <w:r w:rsidRPr="007F751E">
              <w:rPr>
                <w:rFonts w:ascii="Arial" w:hAnsi="Arial" w:cs="Arial"/>
                <w:bCs/>
                <w:sz w:val="18"/>
                <w:szCs w:val="18"/>
              </w:rPr>
              <w:t>Različite vrste mehanizama (uključujući plaćanja) koji se primjenjuju kako bi se ublažila neizbježna šteta po biodiverzitet usljed razvojnih projekata, sa ciljem da se izbjegne gubitak biodiverziteta</w:t>
            </w:r>
            <w:r w:rsidR="007F751E">
              <w:rPr>
                <w:rFonts w:ascii="Arial" w:hAnsi="Arial" w:cs="Arial"/>
                <w:bCs/>
                <w:sz w:val="18"/>
                <w:szCs w:val="18"/>
              </w:rPr>
              <w:t>.</w:t>
            </w:r>
          </w:p>
        </w:tc>
      </w:tr>
      <w:tr w:rsidR="009C1704">
        <w:tc>
          <w:tcPr>
            <w:tcW w:w="2357" w:type="dxa"/>
          </w:tcPr>
          <w:p w:rsidR="009C1704" w:rsidRPr="007F751E" w:rsidRDefault="009C1704">
            <w:pPr>
              <w:pBdr>
                <w:top w:val="nil"/>
                <w:left w:val="nil"/>
                <w:bottom w:val="nil"/>
                <w:right w:val="nil"/>
                <w:between w:val="nil"/>
              </w:pBdr>
              <w:spacing w:after="200" w:line="276" w:lineRule="auto"/>
              <w:rPr>
                <w:rFonts w:ascii="Arial" w:eastAsia="Times New Roman" w:hAnsi="Arial" w:cs="Arial"/>
                <w:b/>
                <w:sz w:val="20"/>
                <w:szCs w:val="20"/>
              </w:rPr>
            </w:pPr>
            <w:r w:rsidRPr="007F751E">
              <w:rPr>
                <w:rFonts w:ascii="Arial" w:hAnsi="Arial" w:cs="Arial"/>
                <w:b/>
                <w:bCs/>
                <w:sz w:val="18"/>
                <w:szCs w:val="18"/>
              </w:rPr>
              <w:t>Plaćanja za ekosistemske usluge</w:t>
            </w:r>
          </w:p>
        </w:tc>
        <w:tc>
          <w:tcPr>
            <w:tcW w:w="6704" w:type="dxa"/>
          </w:tcPr>
          <w:p w:rsidR="009C1704" w:rsidRPr="007F751E" w:rsidRDefault="009C1704" w:rsidP="009C1704">
            <w:pPr>
              <w:pStyle w:val="NormalWeb"/>
              <w:spacing w:before="240" w:after="200"/>
            </w:pPr>
            <w:r w:rsidRPr="007F751E">
              <w:rPr>
                <w:rFonts w:ascii="Arial" w:hAnsi="Arial" w:cs="Arial"/>
                <w:bCs/>
                <w:sz w:val="18"/>
                <w:szCs w:val="18"/>
              </w:rPr>
              <w:t>Tržišno-zasnovan doborovoljni instrument koji za cilj ima očuvanje ekosistema i usluga koje pružaju na način da korisnici usluga plaćaju dogovorene iznose za održavanje ili unapređenje predmetnih ekosistema i njihovih funkcija</w:t>
            </w:r>
            <w:r w:rsidR="007F751E">
              <w:rPr>
                <w:rFonts w:ascii="Arial" w:hAnsi="Arial" w:cs="Arial"/>
                <w:bCs/>
                <w:sz w:val="18"/>
                <w:szCs w:val="18"/>
              </w:rPr>
              <w:t>.</w:t>
            </w:r>
          </w:p>
        </w:tc>
      </w:tr>
    </w:tbl>
    <w:p w:rsidR="009C1704" w:rsidRDefault="009C1704" w:rsidP="006148AF">
      <w:pPr>
        <w:pBdr>
          <w:top w:val="nil"/>
          <w:left w:val="nil"/>
          <w:bottom w:val="nil"/>
          <w:right w:val="nil"/>
          <w:between w:val="nil"/>
        </w:pBdr>
        <w:spacing w:after="0"/>
        <w:rPr>
          <w:rFonts w:ascii="Arial" w:eastAsia="Arial" w:hAnsi="Arial" w:cs="Arial"/>
          <w:b/>
          <w:bCs/>
        </w:rPr>
      </w:pPr>
    </w:p>
    <w:p w:rsidR="009C1704" w:rsidRDefault="009C17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A26374">
      <w:pPr>
        <w:pBdr>
          <w:top w:val="nil"/>
          <w:left w:val="nil"/>
          <w:bottom w:val="nil"/>
          <w:right w:val="nil"/>
          <w:between w:val="nil"/>
        </w:pBdr>
        <w:spacing w:after="0"/>
        <w:rPr>
          <w:rFonts w:ascii="Arial" w:eastAsia="Arial" w:hAnsi="Arial" w:cs="Arial"/>
          <w:b/>
          <w:bCs/>
        </w:rPr>
      </w:pPr>
      <w:sdt>
        <w:sdtPr>
          <w:tag w:val="goog_rdk_1"/>
          <w:id w:val="571361933"/>
        </w:sdtPr>
        <w:sdtEndPr/>
        <w:sdtContent/>
      </w:sdt>
      <w:r w:rsidR="00E47E1B">
        <w:rPr>
          <w:rFonts w:ascii="Arial" w:eastAsia="Arial" w:hAnsi="Arial" w:cs="Arial"/>
          <w:b/>
          <w:bCs/>
        </w:rPr>
        <w:t>LISTA SKRAĆENICA</w:t>
      </w:r>
    </w:p>
    <w:tbl>
      <w:tblPr>
        <w:tblStyle w:val="TableGrid"/>
        <w:tblW w:w="8880" w:type="dxa"/>
        <w:tblLayout w:type="fixed"/>
        <w:tblLook w:val="0600" w:firstRow="0" w:lastRow="0" w:firstColumn="0" w:lastColumn="0" w:noHBand="1" w:noVBand="1"/>
      </w:tblPr>
      <w:tblGrid>
        <w:gridCol w:w="1365"/>
        <w:gridCol w:w="3765"/>
        <w:gridCol w:w="3750"/>
      </w:tblGrid>
      <w:tr w:rsidR="00D14804" w:rsidTr="00D02DC0">
        <w:trPr>
          <w:trHeight w:val="285"/>
        </w:trPr>
        <w:tc>
          <w:tcPr>
            <w:tcW w:w="1365" w:type="dxa"/>
            <w:shd w:val="clear" w:color="auto" w:fill="F2F2F2" w:themeFill="background1" w:themeFillShade="F2"/>
          </w:tcPr>
          <w:p w:rsidR="00D14804" w:rsidRDefault="00E47E1B">
            <w:pPr>
              <w:spacing w:before="240"/>
              <w:rPr>
                <w:rFonts w:ascii="Arial" w:eastAsia="Arial" w:hAnsi="Arial" w:cs="Arial"/>
                <w:b/>
                <w:bCs/>
                <w:sz w:val="18"/>
                <w:szCs w:val="18"/>
              </w:rPr>
            </w:pPr>
            <w:r>
              <w:rPr>
                <w:rFonts w:ascii="Arial" w:eastAsia="Arial" w:hAnsi="Arial" w:cs="Arial"/>
                <w:b/>
                <w:bCs/>
                <w:sz w:val="18"/>
                <w:szCs w:val="18"/>
              </w:rPr>
              <w:t>Skraćenica</w:t>
            </w:r>
          </w:p>
        </w:tc>
        <w:tc>
          <w:tcPr>
            <w:tcW w:w="3765" w:type="dxa"/>
            <w:shd w:val="clear" w:color="auto" w:fill="F2F2F2" w:themeFill="background1" w:themeFillShade="F2"/>
          </w:tcPr>
          <w:p w:rsidR="00D14804" w:rsidRDefault="00E47E1B">
            <w:pPr>
              <w:spacing w:before="240"/>
              <w:rPr>
                <w:rFonts w:ascii="Arial" w:eastAsia="Arial" w:hAnsi="Arial" w:cs="Arial"/>
                <w:b/>
                <w:bCs/>
                <w:sz w:val="18"/>
                <w:szCs w:val="18"/>
              </w:rPr>
            </w:pPr>
            <w:r>
              <w:rPr>
                <w:rFonts w:ascii="Arial" w:eastAsia="Arial" w:hAnsi="Arial" w:cs="Arial"/>
                <w:b/>
                <w:bCs/>
                <w:sz w:val="18"/>
                <w:szCs w:val="18"/>
              </w:rPr>
              <w:t>Puni naziv (na našem jeziku)</w:t>
            </w:r>
          </w:p>
        </w:tc>
        <w:tc>
          <w:tcPr>
            <w:tcW w:w="3750" w:type="dxa"/>
            <w:shd w:val="clear" w:color="auto" w:fill="F2F2F2" w:themeFill="background1" w:themeFillShade="F2"/>
          </w:tcPr>
          <w:p w:rsidR="00D14804" w:rsidRDefault="00E47E1B">
            <w:pPr>
              <w:spacing w:before="240"/>
              <w:rPr>
                <w:rFonts w:ascii="Arial" w:eastAsia="Arial" w:hAnsi="Arial" w:cs="Arial"/>
                <w:b/>
                <w:bCs/>
                <w:sz w:val="18"/>
                <w:szCs w:val="18"/>
              </w:rPr>
            </w:pPr>
            <w:r>
              <w:rPr>
                <w:rFonts w:ascii="Arial" w:eastAsia="Arial" w:hAnsi="Arial" w:cs="Arial"/>
                <w:b/>
                <w:bCs/>
                <w:sz w:val="18"/>
                <w:szCs w:val="18"/>
              </w:rPr>
              <w:t>Puni naziv (na engleskom jeziku)</w:t>
            </w:r>
          </w:p>
        </w:tc>
      </w:tr>
      <w:tr w:rsidR="00D14804" w:rsidTr="00230B95">
        <w:trPr>
          <w:trHeight w:val="825"/>
        </w:trPr>
        <w:tc>
          <w:tcPr>
            <w:tcW w:w="1365" w:type="dxa"/>
          </w:tcPr>
          <w:p w:rsidR="00D14804" w:rsidRDefault="0065713D">
            <w:pPr>
              <w:spacing w:before="240"/>
              <w:rPr>
                <w:rFonts w:ascii="Arial" w:eastAsia="Arial" w:hAnsi="Arial" w:cs="Arial"/>
                <w:sz w:val="18"/>
                <w:szCs w:val="18"/>
              </w:rPr>
            </w:pPr>
            <w:r>
              <w:rPr>
                <w:rFonts w:ascii="Arial" w:eastAsia="Arial" w:hAnsi="Arial" w:cs="Arial"/>
                <w:sz w:val="18"/>
                <w:szCs w:val="18"/>
              </w:rPr>
              <w:t>NSB</w:t>
            </w:r>
            <w:r w:rsidR="00E47E1B">
              <w:rPr>
                <w:rFonts w:ascii="Arial" w:eastAsia="Arial" w:hAnsi="Arial" w:cs="Arial"/>
                <w:sz w:val="18"/>
                <w:szCs w:val="18"/>
              </w:rPr>
              <w:t>AP</w:t>
            </w:r>
          </w:p>
        </w:tc>
        <w:tc>
          <w:tcPr>
            <w:tcW w:w="3765" w:type="dxa"/>
          </w:tcPr>
          <w:p w:rsidR="00D14804" w:rsidRDefault="00E47E1B" w:rsidP="0065713D">
            <w:pPr>
              <w:spacing w:before="240"/>
              <w:rPr>
                <w:rFonts w:ascii="Arial" w:eastAsia="Arial" w:hAnsi="Arial" w:cs="Arial"/>
                <w:sz w:val="18"/>
                <w:szCs w:val="18"/>
              </w:rPr>
            </w:pPr>
            <w:r>
              <w:rPr>
                <w:rFonts w:ascii="Arial" w:eastAsia="Arial" w:hAnsi="Arial" w:cs="Arial"/>
                <w:sz w:val="18"/>
                <w:szCs w:val="18"/>
              </w:rPr>
              <w:t>Nacionalna strategija biodiverziteta</w:t>
            </w:r>
            <w:r w:rsidR="0065713D">
              <w:rPr>
                <w:rFonts w:ascii="Arial" w:eastAsia="Arial" w:hAnsi="Arial" w:cs="Arial"/>
                <w:sz w:val="18"/>
                <w:szCs w:val="18"/>
              </w:rPr>
              <w:t xml:space="preserve"> 2026–2031. godine</w:t>
            </w:r>
            <w:r>
              <w:rPr>
                <w:rFonts w:ascii="Arial" w:eastAsia="Arial" w:hAnsi="Arial" w:cs="Arial"/>
                <w:sz w:val="18"/>
                <w:szCs w:val="18"/>
              </w:rPr>
              <w:t xml:space="preserve"> i Akcioni plan za period </w:t>
            </w:r>
            <w:r w:rsidR="0065713D">
              <w:rPr>
                <w:rFonts w:ascii="Arial" w:eastAsia="Arial" w:hAnsi="Arial" w:cs="Arial"/>
                <w:sz w:val="18"/>
                <w:szCs w:val="18"/>
              </w:rPr>
              <w:t>2026-2028.godine</w:t>
            </w:r>
          </w:p>
        </w:tc>
        <w:tc>
          <w:tcPr>
            <w:tcW w:w="3750" w:type="dxa"/>
          </w:tcPr>
          <w:p w:rsidR="00D14804" w:rsidRDefault="00E47E1B" w:rsidP="0065713D">
            <w:pPr>
              <w:spacing w:before="240"/>
              <w:rPr>
                <w:rFonts w:ascii="Arial" w:eastAsia="Arial" w:hAnsi="Arial" w:cs="Arial"/>
                <w:sz w:val="18"/>
                <w:szCs w:val="18"/>
              </w:rPr>
            </w:pPr>
            <w:r>
              <w:rPr>
                <w:rFonts w:ascii="Arial" w:eastAsia="Arial" w:hAnsi="Arial" w:cs="Arial"/>
                <w:sz w:val="18"/>
                <w:szCs w:val="18"/>
              </w:rPr>
              <w:t>National Biodiversity Strategy</w:t>
            </w:r>
            <w:r w:rsidR="0065713D">
              <w:rPr>
                <w:rFonts w:ascii="Arial" w:eastAsia="Arial" w:hAnsi="Arial" w:cs="Arial"/>
                <w:sz w:val="18"/>
                <w:szCs w:val="18"/>
              </w:rPr>
              <w:t xml:space="preserve"> (2026–2031)</w:t>
            </w:r>
            <w:r>
              <w:rPr>
                <w:rFonts w:ascii="Arial" w:eastAsia="Arial" w:hAnsi="Arial" w:cs="Arial"/>
                <w:sz w:val="18"/>
                <w:szCs w:val="18"/>
              </w:rPr>
              <w:t xml:space="preserve"> and Action Plan </w:t>
            </w:r>
            <w:r w:rsidR="0065713D">
              <w:rPr>
                <w:rFonts w:ascii="Arial" w:eastAsia="Arial" w:hAnsi="Arial" w:cs="Arial"/>
                <w:sz w:val="18"/>
                <w:szCs w:val="18"/>
              </w:rPr>
              <w:t>2026-2028</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CBD</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Konvencija o biološkoj raznovrsnosti</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Convention on Biological Diversity</w:t>
            </w:r>
          </w:p>
        </w:tc>
      </w:tr>
      <w:tr w:rsidR="00D14804" w:rsidTr="00230B95">
        <w:trPr>
          <w:trHeight w:val="28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EU</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Evropska unija</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European Union</w:t>
            </w:r>
          </w:p>
        </w:tc>
      </w:tr>
      <w:tr w:rsidR="00D14804" w:rsidTr="00230B95">
        <w:trPr>
          <w:trHeight w:val="28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EK</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Evropska komisija</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European Commission</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BIOFIN</w:t>
            </w:r>
          </w:p>
        </w:tc>
        <w:tc>
          <w:tcPr>
            <w:tcW w:w="3765" w:type="dxa"/>
          </w:tcPr>
          <w:p w:rsidR="00D14804" w:rsidRDefault="0018000D" w:rsidP="0018000D">
            <w:pPr>
              <w:spacing w:before="240"/>
              <w:rPr>
                <w:rFonts w:ascii="Arial" w:eastAsia="Arial" w:hAnsi="Arial" w:cs="Arial"/>
                <w:sz w:val="18"/>
                <w:szCs w:val="18"/>
              </w:rPr>
            </w:pPr>
            <w:r>
              <w:rPr>
                <w:rFonts w:ascii="Arial" w:eastAsia="Arial" w:hAnsi="Arial" w:cs="Arial"/>
                <w:sz w:val="18"/>
                <w:szCs w:val="18"/>
              </w:rPr>
              <w:t>Globalna i</w:t>
            </w:r>
            <w:r w:rsidR="00E47E1B">
              <w:rPr>
                <w:rFonts w:ascii="Arial" w:eastAsia="Arial" w:hAnsi="Arial" w:cs="Arial"/>
                <w:sz w:val="18"/>
                <w:szCs w:val="18"/>
              </w:rPr>
              <w:t>nicijativa za finansiranje biodiverziteta</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Biodiversity Finance Initiative</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UNEP</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Program Ujedinjenih nacija za životnu sredinu</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United Nations Environment Programme</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UNDP</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Program Ujedinjenih nacija za razvoj</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United Nations Development Programme</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GEF</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Global Environment Facility</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Globalni fond za životnu sredinu</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UNESCO</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United Nations Educational, Scientific and Cultural Organization</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Organizacija Ujedinjenih nacija za obrazovanje, nauku i kulturu.</w:t>
            </w:r>
          </w:p>
        </w:tc>
      </w:tr>
      <w:tr w:rsidR="00D14804" w:rsidTr="00D86793">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KM-GBF</w:t>
            </w:r>
          </w:p>
        </w:tc>
        <w:tc>
          <w:tcPr>
            <w:tcW w:w="3765" w:type="dxa"/>
            <w:vAlign w:val="center"/>
          </w:tcPr>
          <w:p w:rsidR="00D14804" w:rsidRDefault="00E47E1B" w:rsidP="00D86793">
            <w:pPr>
              <w:spacing w:before="240"/>
              <w:rPr>
                <w:rFonts w:ascii="Arial" w:eastAsia="Arial" w:hAnsi="Arial" w:cs="Arial"/>
                <w:sz w:val="18"/>
                <w:szCs w:val="18"/>
              </w:rPr>
            </w:pPr>
            <w:r>
              <w:rPr>
                <w:rFonts w:ascii="Arial" w:eastAsia="Arial" w:hAnsi="Arial" w:cs="Arial"/>
                <w:sz w:val="18"/>
                <w:szCs w:val="18"/>
              </w:rPr>
              <w:t>Globalni okvir za biodiverzitet iz Kunming–Montreala</w:t>
            </w:r>
          </w:p>
        </w:tc>
        <w:tc>
          <w:tcPr>
            <w:tcW w:w="3750" w:type="dxa"/>
            <w:vAlign w:val="center"/>
          </w:tcPr>
          <w:p w:rsidR="00D14804" w:rsidRDefault="00E47E1B" w:rsidP="00D86793">
            <w:pPr>
              <w:spacing w:before="240"/>
              <w:rPr>
                <w:rFonts w:ascii="Arial" w:eastAsia="Arial" w:hAnsi="Arial" w:cs="Arial"/>
                <w:sz w:val="18"/>
                <w:szCs w:val="18"/>
              </w:rPr>
            </w:pPr>
            <w:r>
              <w:rPr>
                <w:rFonts w:ascii="Arial" w:eastAsia="Arial" w:hAnsi="Arial" w:cs="Arial"/>
                <w:sz w:val="18"/>
                <w:szCs w:val="18"/>
              </w:rPr>
              <w:t>Kunming–Montreal Global Biodiversity Framework</w:t>
            </w:r>
          </w:p>
        </w:tc>
      </w:tr>
      <w:tr w:rsidR="00793741" w:rsidTr="00D86793">
        <w:trPr>
          <w:trHeight w:val="555"/>
        </w:trPr>
        <w:tc>
          <w:tcPr>
            <w:tcW w:w="1365" w:type="dxa"/>
          </w:tcPr>
          <w:p w:rsidR="00B97126" w:rsidRDefault="00793741">
            <w:pPr>
              <w:spacing w:before="240"/>
              <w:rPr>
                <w:rFonts w:ascii="Arial" w:eastAsia="Arial" w:hAnsi="Arial" w:cs="Arial"/>
                <w:sz w:val="18"/>
                <w:szCs w:val="18"/>
              </w:rPr>
            </w:pPr>
            <w:r>
              <w:rPr>
                <w:rFonts w:ascii="Arial" w:eastAsia="Arial" w:hAnsi="Arial" w:cs="Arial"/>
                <w:sz w:val="18"/>
                <w:szCs w:val="18"/>
              </w:rPr>
              <w:t xml:space="preserve">T </w:t>
            </w:r>
            <w:r w:rsidR="00A0738F">
              <w:rPr>
                <w:rFonts w:ascii="Arial" w:eastAsia="Arial" w:hAnsi="Arial" w:cs="Arial"/>
                <w:sz w:val="18"/>
                <w:szCs w:val="18"/>
              </w:rPr>
              <w:t>No</w:t>
            </w:r>
            <w:r w:rsidR="00B97126">
              <w:rPr>
                <w:rFonts w:ascii="Arial" w:eastAsia="Arial" w:hAnsi="Arial" w:cs="Arial"/>
                <w:sz w:val="18"/>
                <w:szCs w:val="18"/>
              </w:rPr>
              <w:t xml:space="preserve">. </w:t>
            </w:r>
          </w:p>
          <w:p w:rsidR="00793741" w:rsidRDefault="00B97126">
            <w:pPr>
              <w:spacing w:before="240"/>
              <w:rPr>
                <w:rFonts w:ascii="Arial" w:eastAsia="Arial" w:hAnsi="Arial" w:cs="Arial"/>
                <w:sz w:val="18"/>
                <w:szCs w:val="18"/>
              </w:rPr>
            </w:pPr>
            <w:r>
              <w:rPr>
                <w:rFonts w:ascii="Arial" w:eastAsia="Arial" w:hAnsi="Arial" w:cs="Arial"/>
                <w:sz w:val="18"/>
                <w:szCs w:val="18"/>
              </w:rPr>
              <w:t>(T1- T23)</w:t>
            </w:r>
          </w:p>
        </w:tc>
        <w:tc>
          <w:tcPr>
            <w:tcW w:w="3765" w:type="dxa"/>
            <w:vAlign w:val="center"/>
          </w:tcPr>
          <w:p w:rsidR="00793741" w:rsidRDefault="00A0738F" w:rsidP="00D86793">
            <w:pPr>
              <w:spacing w:before="240"/>
              <w:rPr>
                <w:rFonts w:ascii="Arial" w:eastAsia="Arial" w:hAnsi="Arial" w:cs="Arial"/>
                <w:sz w:val="18"/>
                <w:szCs w:val="18"/>
              </w:rPr>
            </w:pPr>
            <w:r>
              <w:rPr>
                <w:rFonts w:ascii="Arial" w:eastAsia="Arial" w:hAnsi="Arial" w:cs="Arial"/>
                <w:sz w:val="18"/>
                <w:szCs w:val="18"/>
              </w:rPr>
              <w:t>Targets</w:t>
            </w:r>
            <w:r w:rsidR="00B97126">
              <w:rPr>
                <w:rFonts w:ascii="Arial" w:eastAsia="Arial" w:hAnsi="Arial" w:cs="Arial"/>
                <w:sz w:val="18"/>
                <w:szCs w:val="18"/>
              </w:rPr>
              <w:t xml:space="preserve"> 1-23</w:t>
            </w:r>
            <w:r>
              <w:rPr>
                <w:rFonts w:ascii="Arial" w:eastAsia="Arial" w:hAnsi="Arial" w:cs="Arial"/>
                <w:sz w:val="18"/>
                <w:szCs w:val="18"/>
              </w:rPr>
              <w:t xml:space="preserve"> KM-GB</w:t>
            </w:r>
            <w:r w:rsidR="00B97126">
              <w:rPr>
                <w:rFonts w:ascii="Arial" w:eastAsia="Arial" w:hAnsi="Arial" w:cs="Arial"/>
                <w:sz w:val="18"/>
                <w:szCs w:val="18"/>
              </w:rPr>
              <w:t>F</w:t>
            </w:r>
          </w:p>
        </w:tc>
        <w:tc>
          <w:tcPr>
            <w:tcW w:w="3750" w:type="dxa"/>
            <w:vAlign w:val="center"/>
          </w:tcPr>
          <w:p w:rsidR="00793741" w:rsidRDefault="00B97126" w:rsidP="00D86793">
            <w:pPr>
              <w:spacing w:before="240"/>
              <w:rPr>
                <w:rFonts w:ascii="Arial" w:eastAsia="Arial" w:hAnsi="Arial" w:cs="Arial"/>
                <w:sz w:val="18"/>
                <w:szCs w:val="18"/>
              </w:rPr>
            </w:pPr>
            <w:r>
              <w:rPr>
                <w:rFonts w:ascii="Arial" w:eastAsia="Arial" w:hAnsi="Arial" w:cs="Arial"/>
                <w:sz w:val="18"/>
                <w:szCs w:val="18"/>
              </w:rPr>
              <w:t xml:space="preserve">Zadatak, Ciljni ishod </w:t>
            </w:r>
          </w:p>
        </w:tc>
      </w:tr>
      <w:tr w:rsidR="000437C5" w:rsidTr="00D86793">
        <w:trPr>
          <w:trHeight w:val="555"/>
        </w:trPr>
        <w:tc>
          <w:tcPr>
            <w:tcW w:w="1365" w:type="dxa"/>
          </w:tcPr>
          <w:p w:rsidR="000437C5" w:rsidRDefault="000437C5">
            <w:pPr>
              <w:spacing w:before="240"/>
              <w:rPr>
                <w:rFonts w:ascii="Arial" w:eastAsia="Arial" w:hAnsi="Arial" w:cs="Arial"/>
                <w:sz w:val="18"/>
                <w:szCs w:val="18"/>
              </w:rPr>
            </w:pPr>
            <w:r>
              <w:rPr>
                <w:rFonts w:ascii="Arial" w:eastAsia="Arial" w:hAnsi="Arial" w:cs="Arial"/>
                <w:sz w:val="18"/>
                <w:szCs w:val="18"/>
              </w:rPr>
              <w:lastRenderedPageBreak/>
              <w:t>MSFD</w:t>
            </w:r>
          </w:p>
        </w:tc>
        <w:tc>
          <w:tcPr>
            <w:tcW w:w="3765" w:type="dxa"/>
            <w:vAlign w:val="center"/>
          </w:tcPr>
          <w:p w:rsidR="000437C5" w:rsidRPr="00D86793" w:rsidRDefault="00D86793" w:rsidP="00D86793">
            <w:pPr>
              <w:spacing w:before="240"/>
              <w:rPr>
                <w:rFonts w:ascii="Arial" w:eastAsia="Arial" w:hAnsi="Arial" w:cs="Arial"/>
                <w:sz w:val="18"/>
                <w:szCs w:val="18"/>
              </w:rPr>
            </w:pPr>
            <w:r w:rsidRPr="00D86793">
              <w:rPr>
                <w:rFonts w:ascii="Arial" w:eastAsia="Arial" w:hAnsi="Arial" w:cs="Arial"/>
                <w:bCs/>
                <w:sz w:val="18"/>
                <w:szCs w:val="18"/>
              </w:rPr>
              <w:t>Okvirna direktiva o morskoj strategiji Evropske unije</w:t>
            </w:r>
          </w:p>
        </w:tc>
        <w:tc>
          <w:tcPr>
            <w:tcW w:w="3750" w:type="dxa"/>
            <w:vAlign w:val="center"/>
          </w:tcPr>
          <w:p w:rsidR="000437C5" w:rsidRPr="00D86793" w:rsidRDefault="00D86793" w:rsidP="00D86793">
            <w:pPr>
              <w:spacing w:before="240"/>
              <w:rPr>
                <w:rFonts w:ascii="Arial" w:eastAsia="Arial" w:hAnsi="Arial" w:cs="Arial"/>
                <w:sz w:val="18"/>
                <w:szCs w:val="18"/>
              </w:rPr>
            </w:pPr>
            <w:r w:rsidRPr="00D86793">
              <w:rPr>
                <w:rFonts w:ascii="Arial" w:eastAsia="Arial" w:hAnsi="Arial" w:cs="Arial"/>
                <w:sz w:val="18"/>
                <w:szCs w:val="18"/>
              </w:rPr>
              <w:t>Marine Strategy Framework Directive</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CITES</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Konvencija o međunarodnoj trgovini ugroženim vrstama divlje faune i flore</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Convention on International Trade in Endangered Species of Wild Fauna and Flora</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SPU</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Strateška procjena uticaja</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Strategic Environmental Assessment (SEA)</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PU</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Procjena uticaja</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Environmental Impact Assessment (EIA)</w:t>
            </w:r>
          </w:p>
        </w:tc>
      </w:tr>
      <w:tr w:rsidR="00D14804" w:rsidTr="00230B95">
        <w:trPr>
          <w:trHeight w:val="55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IUOP</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Integralno upravljanje obalnim područjem</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Integrated Coastal Zone Management (ICZM)</w:t>
            </w:r>
          </w:p>
        </w:tc>
      </w:tr>
      <w:tr w:rsidR="00D14804" w:rsidTr="00230B95">
        <w:trPr>
          <w:trHeight w:val="825"/>
        </w:trPr>
        <w:tc>
          <w:tcPr>
            <w:tcW w:w="1365" w:type="dxa"/>
          </w:tcPr>
          <w:p w:rsidR="00D14804" w:rsidRDefault="00E47E1B">
            <w:pPr>
              <w:spacing w:before="240"/>
              <w:rPr>
                <w:rFonts w:ascii="Arial" w:eastAsia="Arial" w:hAnsi="Arial" w:cs="Arial"/>
                <w:sz w:val="18"/>
                <w:szCs w:val="18"/>
              </w:rPr>
            </w:pPr>
            <w:r>
              <w:rPr>
                <w:rFonts w:ascii="Arial" w:eastAsia="Arial" w:hAnsi="Arial" w:cs="Arial"/>
                <w:sz w:val="18"/>
                <w:szCs w:val="18"/>
              </w:rPr>
              <w:t>SDGs</w:t>
            </w:r>
          </w:p>
        </w:tc>
        <w:tc>
          <w:tcPr>
            <w:tcW w:w="3765" w:type="dxa"/>
          </w:tcPr>
          <w:p w:rsidR="00D14804" w:rsidRDefault="00E47E1B">
            <w:pPr>
              <w:spacing w:before="240"/>
              <w:rPr>
                <w:rFonts w:ascii="Arial" w:eastAsia="Arial" w:hAnsi="Arial" w:cs="Arial"/>
                <w:sz w:val="18"/>
                <w:szCs w:val="18"/>
              </w:rPr>
            </w:pPr>
            <w:r>
              <w:rPr>
                <w:rFonts w:ascii="Arial" w:eastAsia="Arial" w:hAnsi="Arial" w:cs="Arial"/>
                <w:sz w:val="18"/>
                <w:szCs w:val="18"/>
              </w:rPr>
              <w:t>Ciljevi održivog razvoja – Agenda za održivi razvoj do 2030. godine</w:t>
            </w:r>
          </w:p>
        </w:tc>
        <w:tc>
          <w:tcPr>
            <w:tcW w:w="3750" w:type="dxa"/>
          </w:tcPr>
          <w:p w:rsidR="00D14804" w:rsidRDefault="00E47E1B">
            <w:pPr>
              <w:spacing w:before="240"/>
              <w:rPr>
                <w:rFonts w:ascii="Arial" w:eastAsia="Arial" w:hAnsi="Arial" w:cs="Arial"/>
                <w:sz w:val="18"/>
                <w:szCs w:val="18"/>
              </w:rPr>
            </w:pPr>
            <w:r>
              <w:rPr>
                <w:rFonts w:ascii="Arial" w:eastAsia="Arial" w:hAnsi="Arial" w:cs="Arial"/>
                <w:sz w:val="18"/>
                <w:szCs w:val="18"/>
              </w:rPr>
              <w:t>Sustainable Development Goals – 2030 Agenda for Sustainable Development</w:t>
            </w:r>
          </w:p>
        </w:tc>
      </w:tr>
      <w:tr w:rsidR="00D14804" w:rsidTr="00230B95">
        <w:trPr>
          <w:trHeight w:val="555"/>
        </w:trPr>
        <w:tc>
          <w:tcPr>
            <w:tcW w:w="1365" w:type="dxa"/>
            <w:vAlign w:val="center"/>
          </w:tcPr>
          <w:p w:rsidR="00D14804" w:rsidRDefault="00E47E1B" w:rsidP="00230B95">
            <w:pPr>
              <w:spacing w:before="240"/>
              <w:rPr>
                <w:rFonts w:ascii="Arial" w:eastAsia="Arial" w:hAnsi="Arial" w:cs="Arial"/>
                <w:sz w:val="18"/>
                <w:szCs w:val="18"/>
              </w:rPr>
            </w:pPr>
            <w:r>
              <w:rPr>
                <w:rFonts w:ascii="Arial" w:eastAsia="Arial" w:hAnsi="Arial" w:cs="Arial"/>
                <w:sz w:val="18"/>
                <w:szCs w:val="18"/>
              </w:rPr>
              <w:t>IUCN</w:t>
            </w:r>
          </w:p>
        </w:tc>
        <w:tc>
          <w:tcPr>
            <w:tcW w:w="3765" w:type="dxa"/>
            <w:vAlign w:val="center"/>
          </w:tcPr>
          <w:p w:rsidR="00D14804" w:rsidRDefault="00E47E1B" w:rsidP="00230B95">
            <w:pPr>
              <w:spacing w:before="240"/>
              <w:rPr>
                <w:rFonts w:ascii="Arial" w:eastAsia="Arial" w:hAnsi="Arial" w:cs="Arial"/>
                <w:sz w:val="18"/>
                <w:szCs w:val="18"/>
              </w:rPr>
            </w:pPr>
            <w:r>
              <w:rPr>
                <w:rFonts w:ascii="Arial" w:eastAsia="Arial" w:hAnsi="Arial" w:cs="Arial"/>
                <w:sz w:val="18"/>
                <w:szCs w:val="18"/>
              </w:rPr>
              <w:t>Međunarodna unija za zaštitu prirode</w:t>
            </w:r>
          </w:p>
        </w:tc>
        <w:tc>
          <w:tcPr>
            <w:tcW w:w="3750" w:type="dxa"/>
            <w:vAlign w:val="center"/>
          </w:tcPr>
          <w:p w:rsidR="00D14804" w:rsidRDefault="00E47E1B" w:rsidP="00230B95">
            <w:pPr>
              <w:spacing w:before="240"/>
              <w:rPr>
                <w:rFonts w:ascii="Arial" w:eastAsia="Arial" w:hAnsi="Arial" w:cs="Arial"/>
                <w:sz w:val="18"/>
                <w:szCs w:val="18"/>
              </w:rPr>
            </w:pPr>
            <w:r>
              <w:rPr>
                <w:rFonts w:ascii="Arial" w:eastAsia="Arial" w:hAnsi="Arial" w:cs="Arial"/>
                <w:sz w:val="18"/>
                <w:szCs w:val="18"/>
              </w:rPr>
              <w:t>International Union for Conservation of Nature</w:t>
            </w:r>
          </w:p>
        </w:tc>
      </w:tr>
      <w:tr w:rsidR="00230B95" w:rsidTr="00230B95">
        <w:trPr>
          <w:trHeight w:val="555"/>
        </w:trPr>
        <w:tc>
          <w:tcPr>
            <w:tcW w:w="1365" w:type="dxa"/>
            <w:vAlign w:val="center"/>
          </w:tcPr>
          <w:p w:rsidR="00230B95" w:rsidRDefault="00230B95" w:rsidP="00230B95">
            <w:pPr>
              <w:spacing w:before="240"/>
              <w:rPr>
                <w:rFonts w:ascii="Arial" w:eastAsia="Arial" w:hAnsi="Arial" w:cs="Arial"/>
                <w:sz w:val="18"/>
                <w:szCs w:val="18"/>
              </w:rPr>
            </w:pPr>
            <w:r>
              <w:rPr>
                <w:rFonts w:ascii="Arial" w:eastAsia="Arial" w:hAnsi="Arial" w:cs="Arial"/>
                <w:sz w:val="18"/>
                <w:szCs w:val="18"/>
              </w:rPr>
              <w:t>AEWA</w:t>
            </w:r>
          </w:p>
        </w:tc>
        <w:tc>
          <w:tcPr>
            <w:tcW w:w="3765" w:type="dxa"/>
            <w:vAlign w:val="center"/>
          </w:tcPr>
          <w:p w:rsidR="00230B95" w:rsidRDefault="00230B95" w:rsidP="00230B95">
            <w:pPr>
              <w:spacing w:before="240"/>
              <w:rPr>
                <w:rFonts w:ascii="Arial" w:eastAsia="Arial" w:hAnsi="Arial" w:cs="Arial"/>
                <w:sz w:val="18"/>
                <w:szCs w:val="18"/>
              </w:rPr>
            </w:pPr>
            <w:r w:rsidRPr="00230B95">
              <w:rPr>
                <w:rFonts w:ascii="Arial" w:eastAsia="Arial" w:hAnsi="Arial" w:cs="Arial"/>
                <w:sz w:val="18"/>
                <w:szCs w:val="18"/>
              </w:rPr>
              <w:t>Međunarodni sporazum u okviru CMS konvencije</w:t>
            </w:r>
          </w:p>
        </w:tc>
        <w:tc>
          <w:tcPr>
            <w:tcW w:w="3750" w:type="dxa"/>
            <w:vAlign w:val="center"/>
          </w:tcPr>
          <w:p w:rsidR="00230B95" w:rsidRDefault="00230B95" w:rsidP="00230B95">
            <w:pPr>
              <w:spacing w:before="240"/>
              <w:rPr>
                <w:rFonts w:ascii="Arial" w:eastAsia="Arial" w:hAnsi="Arial" w:cs="Arial"/>
                <w:sz w:val="18"/>
                <w:szCs w:val="18"/>
              </w:rPr>
            </w:pPr>
            <w:r w:rsidRPr="00230B95">
              <w:rPr>
                <w:rFonts w:ascii="Arial" w:eastAsia="Arial" w:hAnsi="Arial" w:cs="Arial"/>
                <w:sz w:val="18"/>
                <w:szCs w:val="18"/>
              </w:rPr>
              <w:t>Agreement on the Conservation of African-Eurasian Migratory Waterbirds</w:t>
            </w:r>
          </w:p>
        </w:tc>
      </w:tr>
      <w:tr w:rsidR="00230B95" w:rsidTr="00C53792">
        <w:trPr>
          <w:trHeight w:val="555"/>
        </w:trPr>
        <w:tc>
          <w:tcPr>
            <w:tcW w:w="1365" w:type="dxa"/>
            <w:vAlign w:val="center"/>
          </w:tcPr>
          <w:p w:rsidR="00230B95" w:rsidRDefault="00230B95" w:rsidP="0065713D">
            <w:pPr>
              <w:spacing w:before="240"/>
              <w:rPr>
                <w:rFonts w:ascii="Arial" w:eastAsia="Arial" w:hAnsi="Arial" w:cs="Arial"/>
                <w:sz w:val="18"/>
                <w:szCs w:val="18"/>
              </w:rPr>
            </w:pPr>
            <w:r w:rsidRPr="00230B95">
              <w:t>EUROBATS</w:t>
            </w:r>
          </w:p>
        </w:tc>
        <w:tc>
          <w:tcPr>
            <w:tcW w:w="3765" w:type="dxa"/>
            <w:vAlign w:val="center"/>
          </w:tcPr>
          <w:p w:rsidR="00230B95" w:rsidRPr="00230B95" w:rsidRDefault="00230B95" w:rsidP="00C53792">
            <w:pPr>
              <w:pBdr>
                <w:top w:val="nil"/>
                <w:left w:val="nil"/>
                <w:bottom w:val="nil"/>
                <w:right w:val="nil"/>
                <w:between w:val="nil"/>
              </w:pBdr>
              <w:spacing w:line="259" w:lineRule="auto"/>
              <w:rPr>
                <w:rFonts w:ascii="Arial" w:eastAsia="Arial" w:hAnsi="Arial" w:cs="Arial"/>
                <w:sz w:val="18"/>
                <w:szCs w:val="18"/>
              </w:rPr>
            </w:pPr>
            <w:r w:rsidRPr="00230B95">
              <w:rPr>
                <w:rFonts w:ascii="Arial" w:eastAsia="Arial" w:hAnsi="Arial" w:cs="Arial"/>
                <w:sz w:val="18"/>
                <w:szCs w:val="18"/>
              </w:rPr>
              <w:t>Regionalni sporazum pod CMS konvencijom usmjeren na zaštitu svih vrsta slijepih miševa u Evropi kroz očuvanje skloništa, monitoring i međunarodnu saradnju.</w:t>
            </w:r>
          </w:p>
        </w:tc>
        <w:tc>
          <w:tcPr>
            <w:tcW w:w="3750" w:type="dxa"/>
            <w:vAlign w:val="center"/>
          </w:tcPr>
          <w:p w:rsidR="00C53792" w:rsidRDefault="00230B95" w:rsidP="00C53792">
            <w:pPr>
              <w:spacing w:before="240"/>
              <w:rPr>
                <w:rFonts w:ascii="Arial" w:eastAsia="Arial" w:hAnsi="Arial" w:cs="Arial"/>
                <w:sz w:val="18"/>
                <w:szCs w:val="18"/>
              </w:rPr>
            </w:pPr>
            <w:r w:rsidRPr="00230B95">
              <w:rPr>
                <w:rFonts w:ascii="Arial" w:eastAsia="Arial" w:hAnsi="Arial" w:cs="Arial"/>
                <w:sz w:val="18"/>
                <w:szCs w:val="18"/>
              </w:rPr>
              <w:t>Agreement on the Conservation of Populations of European Bats</w:t>
            </w:r>
          </w:p>
        </w:tc>
      </w:tr>
      <w:tr w:rsidR="00230B95" w:rsidTr="00C53792">
        <w:trPr>
          <w:trHeight w:val="555"/>
        </w:trPr>
        <w:tc>
          <w:tcPr>
            <w:tcW w:w="1365" w:type="dxa"/>
            <w:vAlign w:val="center"/>
          </w:tcPr>
          <w:p w:rsidR="00230B95" w:rsidRPr="00230B95" w:rsidRDefault="00230B95" w:rsidP="00230B95">
            <w:pPr>
              <w:spacing w:before="240"/>
            </w:pPr>
            <w:r w:rsidRPr="00230B95">
              <w:rPr>
                <w:bCs/>
              </w:rPr>
              <w:t>MoU Raptors</w:t>
            </w:r>
          </w:p>
        </w:tc>
        <w:tc>
          <w:tcPr>
            <w:tcW w:w="3765" w:type="dxa"/>
            <w:vAlign w:val="center"/>
          </w:tcPr>
          <w:p w:rsidR="00230B95" w:rsidRPr="00230B95" w:rsidRDefault="00230B95" w:rsidP="00C53792">
            <w:pPr>
              <w:rPr>
                <w:rFonts w:ascii="Arial" w:eastAsia="Arial" w:hAnsi="Arial" w:cs="Arial"/>
                <w:sz w:val="18"/>
                <w:szCs w:val="18"/>
              </w:rPr>
            </w:pPr>
            <w:r w:rsidRPr="00230B95">
              <w:rPr>
                <w:rFonts w:ascii="Arial" w:eastAsia="Arial" w:hAnsi="Arial" w:cs="Arial"/>
                <w:sz w:val="18"/>
                <w:szCs w:val="18"/>
              </w:rPr>
              <w:t xml:space="preserve">Memorandum of Understanding on the Conservation of Migratory Birds of Prey in </w:t>
            </w:r>
            <w:r w:rsidR="00C53792">
              <w:rPr>
                <w:rFonts w:ascii="Arial" w:eastAsia="Arial" w:hAnsi="Arial" w:cs="Arial"/>
                <w:sz w:val="18"/>
                <w:szCs w:val="18"/>
              </w:rPr>
              <w:t>Africa and Eurasia</w:t>
            </w:r>
          </w:p>
        </w:tc>
        <w:tc>
          <w:tcPr>
            <w:tcW w:w="3750" w:type="dxa"/>
            <w:vAlign w:val="center"/>
          </w:tcPr>
          <w:p w:rsidR="00230B95" w:rsidRDefault="00230B95" w:rsidP="00C53792">
            <w:pPr>
              <w:spacing w:before="240"/>
              <w:rPr>
                <w:rFonts w:ascii="Arial" w:eastAsia="Arial" w:hAnsi="Arial" w:cs="Arial"/>
                <w:sz w:val="18"/>
                <w:szCs w:val="18"/>
              </w:rPr>
            </w:pPr>
            <w:r w:rsidRPr="00230B95">
              <w:rPr>
                <w:rFonts w:ascii="Arial" w:eastAsia="Arial" w:hAnsi="Arial" w:cs="Arial"/>
                <w:sz w:val="18"/>
                <w:szCs w:val="18"/>
              </w:rPr>
              <w:t>Memorandum of Understanding on the Conservation of Migratory Birds</w:t>
            </w:r>
            <w:r>
              <w:rPr>
                <w:rFonts w:ascii="Arial" w:eastAsia="Arial" w:hAnsi="Arial" w:cs="Arial"/>
                <w:sz w:val="18"/>
                <w:szCs w:val="18"/>
              </w:rPr>
              <w:t xml:space="preserve"> (CMS)</w:t>
            </w:r>
            <w:r w:rsidRPr="00230B95">
              <w:rPr>
                <w:rFonts w:ascii="Arial" w:eastAsia="Arial" w:hAnsi="Arial" w:cs="Arial"/>
                <w:sz w:val="18"/>
                <w:szCs w:val="18"/>
              </w:rPr>
              <w:t xml:space="preserve"> of Prey in Africa and Eurasia</w:t>
            </w:r>
          </w:p>
        </w:tc>
      </w:tr>
      <w:tr w:rsidR="00230B95" w:rsidTr="00230B95">
        <w:trPr>
          <w:trHeight w:val="555"/>
        </w:trPr>
        <w:tc>
          <w:tcPr>
            <w:tcW w:w="1365" w:type="dxa"/>
            <w:vAlign w:val="center"/>
          </w:tcPr>
          <w:p w:rsidR="00230B95" w:rsidRPr="00230B95" w:rsidRDefault="00230B95" w:rsidP="00230B95">
            <w:pPr>
              <w:rPr>
                <w:rFonts w:ascii="Arial" w:eastAsia="Arial" w:hAnsi="Arial" w:cs="Arial"/>
                <w:sz w:val="18"/>
                <w:szCs w:val="18"/>
              </w:rPr>
            </w:pPr>
            <w:r w:rsidRPr="00230B95">
              <w:rPr>
                <w:rFonts w:ascii="Arial" w:eastAsia="Arial" w:hAnsi="Arial" w:cs="Arial"/>
                <w:sz w:val="18"/>
                <w:szCs w:val="18"/>
              </w:rPr>
              <w:t>SPA/BD Protokol Barselonske konvencije</w:t>
            </w:r>
          </w:p>
        </w:tc>
        <w:tc>
          <w:tcPr>
            <w:tcW w:w="3765" w:type="dxa"/>
            <w:vAlign w:val="center"/>
          </w:tcPr>
          <w:p w:rsidR="00230B95" w:rsidRDefault="00230B95" w:rsidP="00C53792">
            <w:pPr>
              <w:pBdr>
                <w:top w:val="nil"/>
                <w:left w:val="nil"/>
                <w:bottom w:val="nil"/>
                <w:right w:val="nil"/>
                <w:between w:val="nil"/>
              </w:pBdr>
              <w:spacing w:line="259" w:lineRule="auto"/>
              <w:rPr>
                <w:rFonts w:ascii="Arial" w:eastAsia="Arial" w:hAnsi="Arial" w:cs="Arial"/>
                <w:sz w:val="18"/>
                <w:szCs w:val="18"/>
              </w:rPr>
            </w:pPr>
            <w:r w:rsidRPr="00230B95">
              <w:rPr>
                <w:rFonts w:ascii="Arial" w:eastAsia="Arial" w:hAnsi="Arial" w:cs="Arial"/>
                <w:sz w:val="18"/>
                <w:szCs w:val="18"/>
              </w:rPr>
              <w:t>Protokol o posebno zaštićenim područjima i biološkoj raznovrsnosti Mediterana, kojim se uređuje uspostavljanje morskih i obalnih zaštićenih područja i zaš</w:t>
            </w:r>
            <w:r w:rsidR="00C53792">
              <w:rPr>
                <w:rFonts w:ascii="Arial" w:eastAsia="Arial" w:hAnsi="Arial" w:cs="Arial"/>
                <w:sz w:val="18"/>
                <w:szCs w:val="18"/>
              </w:rPr>
              <w:t>tita ugroženih vrsta u regionu.</w:t>
            </w:r>
          </w:p>
        </w:tc>
        <w:tc>
          <w:tcPr>
            <w:tcW w:w="3750" w:type="dxa"/>
            <w:vAlign w:val="center"/>
          </w:tcPr>
          <w:p w:rsidR="00230B95" w:rsidRPr="00230B95" w:rsidRDefault="00230B95" w:rsidP="00230B95">
            <w:pPr>
              <w:rPr>
                <w:rFonts w:ascii="Arial" w:eastAsia="Arial" w:hAnsi="Arial" w:cs="Arial"/>
                <w:sz w:val="18"/>
                <w:szCs w:val="18"/>
              </w:rPr>
            </w:pPr>
            <w:r w:rsidRPr="00230B95">
              <w:rPr>
                <w:rFonts w:ascii="Arial" w:eastAsia="Arial" w:hAnsi="Arial" w:cs="Arial"/>
                <w:sz w:val="18"/>
                <w:szCs w:val="18"/>
              </w:rPr>
              <w:t>Protocol concerning Specially Protected Areas and Biological Diversity in the Mediterranean - Barcelona Convention</w:t>
            </w:r>
          </w:p>
        </w:tc>
      </w:tr>
      <w:tr w:rsidR="00230B95" w:rsidTr="00230B95">
        <w:trPr>
          <w:trHeight w:val="555"/>
        </w:trPr>
        <w:tc>
          <w:tcPr>
            <w:tcW w:w="1365" w:type="dxa"/>
            <w:vAlign w:val="center"/>
          </w:tcPr>
          <w:p w:rsidR="00230B95" w:rsidRPr="00230B95" w:rsidRDefault="00230B95" w:rsidP="0065713D">
            <w:pPr>
              <w:rPr>
                <w:rFonts w:ascii="Arial" w:eastAsia="Arial" w:hAnsi="Arial" w:cs="Arial"/>
                <w:sz w:val="18"/>
                <w:szCs w:val="18"/>
              </w:rPr>
            </w:pPr>
            <w:r w:rsidRPr="00230B95">
              <w:rPr>
                <w:rFonts w:ascii="Arial" w:eastAsia="Arial" w:hAnsi="Arial" w:cs="Arial"/>
                <w:sz w:val="18"/>
                <w:szCs w:val="18"/>
              </w:rPr>
              <w:t>Uredba o evropskoj jegulji – Council Regulation (EC) No 1100/2007</w:t>
            </w:r>
          </w:p>
        </w:tc>
        <w:tc>
          <w:tcPr>
            <w:tcW w:w="3765" w:type="dxa"/>
            <w:vAlign w:val="center"/>
          </w:tcPr>
          <w:p w:rsidR="00230B95" w:rsidRPr="00230B95" w:rsidRDefault="00230B95" w:rsidP="00C53792">
            <w:pPr>
              <w:pBdr>
                <w:top w:val="nil"/>
                <w:left w:val="nil"/>
                <w:bottom w:val="nil"/>
                <w:right w:val="nil"/>
                <w:between w:val="nil"/>
              </w:pBdr>
              <w:spacing w:line="259" w:lineRule="auto"/>
              <w:rPr>
                <w:rFonts w:ascii="Arial" w:eastAsia="Arial" w:hAnsi="Arial" w:cs="Arial"/>
                <w:sz w:val="18"/>
                <w:szCs w:val="18"/>
              </w:rPr>
            </w:pPr>
            <w:r w:rsidRPr="00230B95">
              <w:rPr>
                <w:rFonts w:ascii="Arial" w:eastAsia="Arial" w:hAnsi="Arial" w:cs="Arial"/>
                <w:sz w:val="18"/>
                <w:szCs w:val="18"/>
              </w:rPr>
              <w:t>EU uredba kojom se uspostavljaju mjere za oporavak populacije evropske jegulje (Anguilla anguilla), uključujući izradu nacionalnih planova upra</w:t>
            </w:r>
            <w:r w:rsidR="00C53792">
              <w:rPr>
                <w:rFonts w:ascii="Arial" w:eastAsia="Arial" w:hAnsi="Arial" w:cs="Arial"/>
                <w:sz w:val="18"/>
                <w:szCs w:val="18"/>
              </w:rPr>
              <w:t>vljanja i ograničenja ribolova.</w:t>
            </w:r>
          </w:p>
        </w:tc>
        <w:tc>
          <w:tcPr>
            <w:tcW w:w="3750" w:type="dxa"/>
            <w:vAlign w:val="center"/>
          </w:tcPr>
          <w:p w:rsidR="00230B95" w:rsidRPr="00230B95" w:rsidRDefault="00230B95" w:rsidP="00230B95">
            <w:pPr>
              <w:rPr>
                <w:rFonts w:ascii="Arial" w:eastAsia="Arial" w:hAnsi="Arial" w:cs="Arial"/>
                <w:sz w:val="18"/>
                <w:szCs w:val="18"/>
              </w:rPr>
            </w:pPr>
            <w:r w:rsidRPr="00230B95">
              <w:rPr>
                <w:rFonts w:ascii="Arial" w:eastAsia="Arial" w:hAnsi="Arial" w:cs="Arial"/>
                <w:sz w:val="18"/>
                <w:szCs w:val="18"/>
              </w:rPr>
              <w:t>Anguilla anguilla</w:t>
            </w:r>
            <w:r w:rsidRPr="00230B95">
              <w:rPr>
                <w:rFonts w:ascii="Arial" w:eastAsia="Arial" w:hAnsi="Arial" w:cs="Arial"/>
                <w:sz w:val="18"/>
                <w:szCs w:val="18"/>
              </w:rPr>
              <w:br/>
              <w:t>Council Regulation (EC) No 1100/2007</w:t>
            </w:r>
          </w:p>
        </w:tc>
      </w:tr>
      <w:tr w:rsidR="00D02DC0" w:rsidTr="00D02DC0">
        <w:trPr>
          <w:trHeight w:val="555"/>
        </w:trPr>
        <w:tc>
          <w:tcPr>
            <w:tcW w:w="1365"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INSPIRE –</w:t>
            </w:r>
            <w:r w:rsidR="0065713D">
              <w:rPr>
                <w:rFonts w:ascii="Arial" w:eastAsia="Arial" w:hAnsi="Arial" w:cs="Arial"/>
                <w:sz w:val="18"/>
                <w:szCs w:val="18"/>
              </w:rPr>
              <w:t>Directive 2007/2/EC</w:t>
            </w:r>
          </w:p>
        </w:tc>
        <w:tc>
          <w:tcPr>
            <w:tcW w:w="3765"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Direktiva o uspostavljanju infrastrukture za prostorne in</w:t>
            </w:r>
            <w:r w:rsidR="00C53792">
              <w:rPr>
                <w:rFonts w:ascii="Arial" w:eastAsia="Arial" w:hAnsi="Arial" w:cs="Arial"/>
                <w:sz w:val="18"/>
                <w:szCs w:val="18"/>
              </w:rPr>
              <w:t>formacije u Evropskoj zajednici</w:t>
            </w:r>
          </w:p>
        </w:tc>
        <w:tc>
          <w:tcPr>
            <w:tcW w:w="3750"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Infrastructure for Spatial Information in the Europea</w:t>
            </w:r>
            <w:r w:rsidR="00C53792">
              <w:rPr>
                <w:rFonts w:ascii="Arial" w:eastAsia="Arial" w:hAnsi="Arial" w:cs="Arial"/>
                <w:sz w:val="18"/>
                <w:szCs w:val="18"/>
              </w:rPr>
              <w:t>n Community (INSPIRE Directive)</w:t>
            </w:r>
          </w:p>
        </w:tc>
      </w:tr>
      <w:tr w:rsidR="00D02DC0" w:rsidTr="00D02DC0">
        <w:trPr>
          <w:trHeight w:val="555"/>
        </w:trPr>
        <w:tc>
          <w:tcPr>
            <w:tcW w:w="1365"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EIONET</w:t>
            </w:r>
          </w:p>
        </w:tc>
        <w:tc>
          <w:tcPr>
            <w:tcW w:w="3765" w:type="dxa"/>
            <w:vAlign w:val="center"/>
          </w:tcPr>
          <w:p w:rsidR="00D02DC0" w:rsidRPr="00230B95" w:rsidRDefault="00D02DC0" w:rsidP="00D02DC0">
            <w:pPr>
              <w:pBdr>
                <w:top w:val="nil"/>
                <w:left w:val="nil"/>
                <w:bottom w:val="nil"/>
                <w:right w:val="nil"/>
                <w:between w:val="nil"/>
              </w:pBdr>
              <w:spacing w:line="259" w:lineRule="auto"/>
              <w:rPr>
                <w:rFonts w:ascii="Arial" w:eastAsia="Arial" w:hAnsi="Arial" w:cs="Arial"/>
                <w:sz w:val="18"/>
                <w:szCs w:val="18"/>
              </w:rPr>
            </w:pPr>
            <w:r w:rsidRPr="00D02DC0">
              <w:rPr>
                <w:rFonts w:ascii="Arial" w:eastAsia="Arial" w:hAnsi="Arial" w:cs="Arial"/>
                <w:sz w:val="18"/>
                <w:szCs w:val="18"/>
              </w:rPr>
              <w:t>Evropska mreža za informacije i posmatranje životne sredine</w:t>
            </w:r>
          </w:p>
        </w:tc>
        <w:tc>
          <w:tcPr>
            <w:tcW w:w="3750"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European Environment Information and Observation Network</w:t>
            </w:r>
          </w:p>
        </w:tc>
      </w:tr>
      <w:tr w:rsidR="00D02DC0" w:rsidTr="00C53792">
        <w:trPr>
          <w:trHeight w:val="555"/>
        </w:trPr>
        <w:tc>
          <w:tcPr>
            <w:tcW w:w="1365" w:type="dxa"/>
            <w:vAlign w:val="center"/>
          </w:tcPr>
          <w:p w:rsidR="00D02DC0" w:rsidRPr="00230B95" w:rsidRDefault="00D02DC0" w:rsidP="00D02DC0">
            <w:pPr>
              <w:spacing w:line="259" w:lineRule="auto"/>
              <w:rPr>
                <w:rFonts w:ascii="Arial" w:eastAsia="Arial" w:hAnsi="Arial" w:cs="Arial"/>
                <w:sz w:val="18"/>
                <w:szCs w:val="18"/>
              </w:rPr>
            </w:pPr>
            <w:r w:rsidRPr="00D02DC0">
              <w:rPr>
                <w:rFonts w:ascii="Arial" w:eastAsia="Arial" w:hAnsi="Arial" w:cs="Arial"/>
                <w:sz w:val="18"/>
                <w:szCs w:val="18"/>
              </w:rPr>
              <w:t>EUNIS</w:t>
            </w:r>
          </w:p>
        </w:tc>
        <w:tc>
          <w:tcPr>
            <w:tcW w:w="3765" w:type="dxa"/>
            <w:vAlign w:val="center"/>
          </w:tcPr>
          <w:p w:rsidR="00D02DC0" w:rsidRPr="00230B95" w:rsidRDefault="00D02DC0" w:rsidP="00C53792">
            <w:pPr>
              <w:pBdr>
                <w:top w:val="nil"/>
                <w:left w:val="nil"/>
                <w:bottom w:val="nil"/>
                <w:right w:val="nil"/>
                <w:between w:val="nil"/>
              </w:pBdr>
              <w:spacing w:line="259" w:lineRule="auto"/>
              <w:rPr>
                <w:rFonts w:ascii="Arial" w:eastAsia="Arial" w:hAnsi="Arial" w:cs="Arial"/>
                <w:sz w:val="18"/>
                <w:szCs w:val="18"/>
              </w:rPr>
            </w:pPr>
            <w:r w:rsidRPr="00D02DC0">
              <w:rPr>
                <w:rFonts w:ascii="Arial" w:eastAsia="Arial" w:hAnsi="Arial" w:cs="Arial"/>
                <w:sz w:val="18"/>
                <w:szCs w:val="18"/>
              </w:rPr>
              <w:t>European Nature Information System (EUNIS)</w:t>
            </w:r>
          </w:p>
        </w:tc>
        <w:tc>
          <w:tcPr>
            <w:tcW w:w="3750" w:type="dxa"/>
            <w:vAlign w:val="center"/>
          </w:tcPr>
          <w:p w:rsidR="00D02DC0" w:rsidRPr="00230B95" w:rsidRDefault="00D02DC0" w:rsidP="00C53792">
            <w:pPr>
              <w:spacing w:before="100" w:beforeAutospacing="1" w:after="100" w:afterAutospacing="1" w:line="259" w:lineRule="auto"/>
              <w:rPr>
                <w:rFonts w:ascii="Arial" w:eastAsia="Arial" w:hAnsi="Arial" w:cs="Arial"/>
                <w:sz w:val="18"/>
                <w:szCs w:val="18"/>
              </w:rPr>
            </w:pPr>
            <w:r w:rsidRPr="00D02DC0">
              <w:rPr>
                <w:rFonts w:ascii="Arial" w:eastAsia="Arial" w:hAnsi="Arial" w:cs="Arial"/>
                <w:sz w:val="18"/>
                <w:szCs w:val="18"/>
              </w:rPr>
              <w:t>European Nature Information System</w:t>
            </w:r>
          </w:p>
        </w:tc>
      </w:tr>
    </w:tbl>
    <w:p w:rsidR="00D14804" w:rsidRDefault="00D14804">
      <w:pPr>
        <w:pBdr>
          <w:top w:val="nil"/>
          <w:left w:val="nil"/>
          <w:bottom w:val="nil"/>
          <w:right w:val="nil"/>
          <w:between w:val="nil"/>
        </w:pBdr>
        <w:spacing w:after="0"/>
        <w:jc w:val="center"/>
        <w:rPr>
          <w:rFonts w:ascii="Arial" w:eastAsia="Arial" w:hAnsi="Arial" w:cs="Arial"/>
          <w:b/>
          <w:bCs/>
        </w:rPr>
      </w:pPr>
    </w:p>
    <w:p w:rsidR="00D14804" w:rsidRDefault="00D14804">
      <w:pPr>
        <w:pBdr>
          <w:top w:val="nil"/>
          <w:left w:val="nil"/>
          <w:bottom w:val="nil"/>
          <w:right w:val="nil"/>
          <w:between w:val="nil"/>
        </w:pBdr>
        <w:spacing w:after="0"/>
      </w:pPr>
    </w:p>
    <w:p w:rsidR="00D14804" w:rsidRDefault="00D14804">
      <w:pPr>
        <w:pBdr>
          <w:top w:val="nil"/>
          <w:left w:val="nil"/>
          <w:bottom w:val="nil"/>
          <w:right w:val="nil"/>
          <w:between w:val="nil"/>
        </w:pBdr>
        <w:spacing w:after="0"/>
      </w:pPr>
    </w:p>
    <w:p w:rsidR="00D02DC0" w:rsidRPr="00D02DC0" w:rsidRDefault="00D02DC0" w:rsidP="00D02DC0">
      <w:pPr>
        <w:spacing w:after="0" w:line="240" w:lineRule="auto"/>
        <w:rPr>
          <w:rFonts w:ascii="Times New Roman" w:eastAsia="Times New Roman" w:hAnsi="Times New Roman" w:cs="Times New Roman"/>
          <w:sz w:val="24"/>
          <w:szCs w:val="24"/>
        </w:rPr>
      </w:pPr>
    </w:p>
    <w:p w:rsidR="00230B95" w:rsidRPr="00D02DC0" w:rsidRDefault="00230B95" w:rsidP="00D02DC0">
      <w:pPr>
        <w:spacing w:before="100" w:beforeAutospacing="1" w:after="100" w:afterAutospacing="1" w:line="240" w:lineRule="auto"/>
        <w:rPr>
          <w:rFonts w:ascii="Times New Roman" w:eastAsia="Times New Roman" w:hAnsi="Times New Roman" w:cs="Times New Roman"/>
          <w:sz w:val="24"/>
          <w:szCs w:val="24"/>
        </w:rPr>
      </w:pPr>
    </w:p>
    <w:p w:rsidR="00230B95" w:rsidRDefault="00230B95">
      <w:pPr>
        <w:pBdr>
          <w:top w:val="nil"/>
          <w:left w:val="nil"/>
          <w:bottom w:val="nil"/>
          <w:right w:val="nil"/>
          <w:between w:val="nil"/>
        </w:pBdr>
        <w:spacing w:after="0"/>
      </w:pPr>
    </w:p>
    <w:p w:rsidR="00230B95" w:rsidRDefault="00230B95">
      <w:pPr>
        <w:pBdr>
          <w:top w:val="nil"/>
          <w:left w:val="nil"/>
          <w:bottom w:val="nil"/>
          <w:right w:val="nil"/>
          <w:between w:val="nil"/>
        </w:pBdr>
        <w:spacing w:after="0"/>
      </w:pPr>
    </w:p>
    <w:p w:rsidR="00230B95" w:rsidRDefault="00230B95">
      <w:pPr>
        <w:pBdr>
          <w:top w:val="nil"/>
          <w:left w:val="nil"/>
          <w:bottom w:val="nil"/>
          <w:right w:val="nil"/>
          <w:between w:val="nil"/>
        </w:pBdr>
        <w:spacing w:after="0"/>
      </w:pPr>
    </w:p>
    <w:p w:rsidR="00D14804" w:rsidRDefault="00D14804">
      <w:pPr>
        <w:pBdr>
          <w:top w:val="nil"/>
          <w:left w:val="nil"/>
          <w:bottom w:val="nil"/>
          <w:right w:val="nil"/>
          <w:between w:val="nil"/>
        </w:pBdr>
        <w:spacing w:after="0"/>
        <w:rPr>
          <w:rFonts w:ascii="Arial" w:eastAsia="Arial" w:hAnsi="Arial" w:cs="Arial"/>
          <w:b/>
          <w:bCs/>
        </w:rPr>
      </w:pPr>
    </w:p>
    <w:p w:rsidR="00D14804" w:rsidRDefault="00D14804">
      <w:pPr>
        <w:pBdr>
          <w:top w:val="nil"/>
          <w:left w:val="nil"/>
          <w:bottom w:val="nil"/>
          <w:right w:val="nil"/>
          <w:between w:val="nil"/>
        </w:pBdr>
        <w:spacing w:after="0"/>
        <w:rPr>
          <w:rFonts w:ascii="Arial" w:eastAsia="Arial" w:hAnsi="Arial" w:cs="Arial"/>
          <w:b/>
          <w:bCs/>
        </w:rPr>
      </w:pPr>
    </w:p>
    <w:sdt>
      <w:sdtPr>
        <w:rPr>
          <w:rFonts w:ascii="Calibri" w:eastAsia="Calibri" w:hAnsi="Calibri" w:cs="Calibri"/>
          <w:color w:val="auto"/>
          <w:sz w:val="22"/>
          <w:szCs w:val="22"/>
          <w:lang w:val="sr-Latn-ME" w:eastAsia="sr-Latn-ME"/>
        </w:rPr>
        <w:id w:val="-1432586648"/>
        <w:docPartObj>
          <w:docPartGallery w:val="Table of Contents"/>
          <w:docPartUnique/>
        </w:docPartObj>
      </w:sdtPr>
      <w:sdtEndPr>
        <w:rPr>
          <w:b/>
          <w:bCs/>
          <w:noProof/>
        </w:rPr>
      </w:sdtEndPr>
      <w:sdtContent>
        <w:p w:rsidR="00E47E1B" w:rsidRPr="00E47E1B" w:rsidRDefault="00E47E1B" w:rsidP="00E47E1B">
          <w:pPr>
            <w:pStyle w:val="TOCHeading"/>
            <w:rPr>
              <w:rFonts w:ascii="Arial" w:hAnsi="Arial" w:cs="Arial"/>
              <w:color w:val="auto"/>
            </w:rPr>
          </w:pPr>
          <w:r w:rsidRPr="00E47E1B">
            <w:rPr>
              <w:rFonts w:ascii="Arial" w:hAnsi="Arial" w:cs="Arial"/>
              <w:color w:val="auto"/>
            </w:rPr>
            <w:t>Sadržaj</w:t>
          </w:r>
        </w:p>
        <w:p w:rsidR="006C6361" w:rsidRDefault="00E47E1B">
          <w:pPr>
            <w:pStyle w:val="TOC1"/>
            <w:tabs>
              <w:tab w:val="right" w:leader="dot" w:pos="9061"/>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222754351" w:history="1">
            <w:r w:rsidR="006C6361" w:rsidRPr="003301AC">
              <w:rPr>
                <w:rStyle w:val="Hyperlink"/>
                <w:rFonts w:ascii="Arial" w:eastAsia="Arial" w:hAnsi="Arial" w:cs="Arial"/>
                <w:noProof/>
              </w:rPr>
              <w:t>Rezime</w:t>
            </w:r>
            <w:r w:rsidR="006C6361">
              <w:rPr>
                <w:noProof/>
                <w:webHidden/>
              </w:rPr>
              <w:tab/>
            </w:r>
            <w:r w:rsidR="006C6361">
              <w:rPr>
                <w:noProof/>
                <w:webHidden/>
              </w:rPr>
              <w:fldChar w:fldCharType="begin"/>
            </w:r>
            <w:r w:rsidR="006C6361">
              <w:rPr>
                <w:noProof/>
                <w:webHidden/>
              </w:rPr>
              <w:instrText xml:space="preserve"> PAGEREF _Toc222754351 \h </w:instrText>
            </w:r>
            <w:r w:rsidR="006C6361">
              <w:rPr>
                <w:noProof/>
                <w:webHidden/>
              </w:rPr>
            </w:r>
            <w:r w:rsidR="006C6361">
              <w:rPr>
                <w:noProof/>
                <w:webHidden/>
              </w:rPr>
              <w:fldChar w:fldCharType="separate"/>
            </w:r>
            <w:r w:rsidR="006C6361">
              <w:rPr>
                <w:noProof/>
                <w:webHidden/>
              </w:rPr>
              <w:t>6</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52" w:history="1">
            <w:r w:rsidR="006C6361" w:rsidRPr="003301AC">
              <w:rPr>
                <w:rStyle w:val="Hyperlink"/>
                <w:rFonts w:ascii="Arial" w:hAnsi="Arial" w:cs="Arial"/>
                <w:noProof/>
              </w:rPr>
              <w:t>I UVOD</w:t>
            </w:r>
            <w:r w:rsidR="006C6361">
              <w:rPr>
                <w:noProof/>
                <w:webHidden/>
              </w:rPr>
              <w:tab/>
            </w:r>
            <w:r w:rsidR="006C6361">
              <w:rPr>
                <w:noProof/>
                <w:webHidden/>
              </w:rPr>
              <w:fldChar w:fldCharType="begin"/>
            </w:r>
            <w:r w:rsidR="006C6361">
              <w:rPr>
                <w:noProof/>
                <w:webHidden/>
              </w:rPr>
              <w:instrText xml:space="preserve"> PAGEREF _Toc222754352 \h </w:instrText>
            </w:r>
            <w:r w:rsidR="006C6361">
              <w:rPr>
                <w:noProof/>
                <w:webHidden/>
              </w:rPr>
            </w:r>
            <w:r w:rsidR="006C6361">
              <w:rPr>
                <w:noProof/>
                <w:webHidden/>
              </w:rPr>
              <w:fldChar w:fldCharType="separate"/>
            </w:r>
            <w:r w:rsidR="006C6361">
              <w:rPr>
                <w:noProof/>
                <w:webHidden/>
              </w:rPr>
              <w:t>8</w:t>
            </w:r>
            <w:r w:rsidR="006C6361">
              <w:rPr>
                <w:noProof/>
                <w:webHidden/>
              </w:rPr>
              <w:fldChar w:fldCharType="end"/>
            </w:r>
          </w:hyperlink>
        </w:p>
        <w:p w:rsidR="006C6361" w:rsidRDefault="00A26374">
          <w:pPr>
            <w:pStyle w:val="TOC2"/>
            <w:tabs>
              <w:tab w:val="left" w:pos="880"/>
              <w:tab w:val="right" w:leader="dot" w:pos="9061"/>
            </w:tabs>
            <w:rPr>
              <w:rFonts w:asciiTheme="minorHAnsi" w:eastAsiaTheme="minorEastAsia" w:hAnsiTheme="minorHAnsi" w:cstheme="minorBidi"/>
              <w:noProof/>
            </w:rPr>
          </w:pPr>
          <w:hyperlink w:anchor="_Toc222754353" w:history="1">
            <w:r w:rsidR="006C6361" w:rsidRPr="003301AC">
              <w:rPr>
                <w:rStyle w:val="Hyperlink"/>
                <w:rFonts w:ascii="Arial" w:eastAsia="Arial" w:hAnsi="Arial" w:cs="Arial"/>
                <w:noProof/>
              </w:rPr>
              <w:t>1.1</w:t>
            </w:r>
            <w:r w:rsidR="006C6361">
              <w:rPr>
                <w:rFonts w:asciiTheme="minorHAnsi" w:eastAsiaTheme="minorEastAsia" w:hAnsiTheme="minorHAnsi" w:cstheme="minorBidi"/>
                <w:noProof/>
              </w:rPr>
              <w:tab/>
            </w:r>
            <w:r w:rsidR="006C6361" w:rsidRPr="003301AC">
              <w:rPr>
                <w:rStyle w:val="Hyperlink"/>
                <w:rFonts w:ascii="Arial" w:eastAsia="Arial" w:hAnsi="Arial" w:cs="Arial"/>
                <w:noProof/>
              </w:rPr>
              <w:t>Svrha donošenja strateškog dokumenta</w:t>
            </w:r>
            <w:r w:rsidR="006C6361">
              <w:rPr>
                <w:noProof/>
                <w:webHidden/>
              </w:rPr>
              <w:tab/>
            </w:r>
            <w:r w:rsidR="006C6361">
              <w:rPr>
                <w:noProof/>
                <w:webHidden/>
              </w:rPr>
              <w:fldChar w:fldCharType="begin"/>
            </w:r>
            <w:r w:rsidR="006C6361">
              <w:rPr>
                <w:noProof/>
                <w:webHidden/>
              </w:rPr>
              <w:instrText xml:space="preserve"> PAGEREF _Toc222754353 \h </w:instrText>
            </w:r>
            <w:r w:rsidR="006C6361">
              <w:rPr>
                <w:noProof/>
                <w:webHidden/>
              </w:rPr>
            </w:r>
            <w:r w:rsidR="006C6361">
              <w:rPr>
                <w:noProof/>
                <w:webHidden/>
              </w:rPr>
              <w:fldChar w:fldCharType="separate"/>
            </w:r>
            <w:r w:rsidR="006C6361">
              <w:rPr>
                <w:noProof/>
                <w:webHidden/>
              </w:rPr>
              <w:t>9</w:t>
            </w:r>
            <w:r w:rsidR="006C6361">
              <w:rPr>
                <w:noProof/>
                <w:webHidden/>
              </w:rPr>
              <w:fldChar w:fldCharType="end"/>
            </w:r>
          </w:hyperlink>
        </w:p>
        <w:p w:rsidR="006C6361" w:rsidRDefault="00A26374">
          <w:pPr>
            <w:pStyle w:val="TOC3"/>
            <w:tabs>
              <w:tab w:val="left" w:pos="1320"/>
              <w:tab w:val="right" w:leader="dot" w:pos="9061"/>
            </w:tabs>
            <w:rPr>
              <w:rFonts w:asciiTheme="minorHAnsi" w:eastAsiaTheme="minorEastAsia" w:hAnsiTheme="minorHAnsi" w:cstheme="minorBidi"/>
              <w:noProof/>
            </w:rPr>
          </w:pPr>
          <w:hyperlink w:anchor="_Toc222754354" w:history="1">
            <w:r w:rsidR="006C6361" w:rsidRPr="003301AC">
              <w:rPr>
                <w:rStyle w:val="Hyperlink"/>
                <w:rFonts w:ascii="Arial" w:eastAsia="Arial" w:hAnsi="Arial" w:cs="Arial"/>
                <w:noProof/>
              </w:rPr>
              <w:t>1.1.1</w:t>
            </w:r>
            <w:r w:rsidR="006C6361">
              <w:rPr>
                <w:rFonts w:asciiTheme="minorHAnsi" w:eastAsiaTheme="minorEastAsia" w:hAnsiTheme="minorHAnsi" w:cstheme="minorBidi"/>
                <w:noProof/>
              </w:rPr>
              <w:tab/>
            </w:r>
            <w:r w:rsidR="006C6361" w:rsidRPr="003301AC">
              <w:rPr>
                <w:rStyle w:val="Hyperlink"/>
                <w:rFonts w:ascii="Arial" w:eastAsia="Arial" w:hAnsi="Arial" w:cs="Arial"/>
                <w:noProof/>
              </w:rPr>
              <w:t>Osvrt na Nacionalnu strategiju biodiverziteta sa akcionim planom 2016-2020. godine i izvještaje prema CBD</w:t>
            </w:r>
            <w:r w:rsidR="006C6361">
              <w:rPr>
                <w:noProof/>
                <w:webHidden/>
              </w:rPr>
              <w:tab/>
            </w:r>
            <w:r w:rsidR="006C6361">
              <w:rPr>
                <w:noProof/>
                <w:webHidden/>
              </w:rPr>
              <w:fldChar w:fldCharType="begin"/>
            </w:r>
            <w:r w:rsidR="006C6361">
              <w:rPr>
                <w:noProof/>
                <w:webHidden/>
              </w:rPr>
              <w:instrText xml:space="preserve"> PAGEREF _Toc222754354 \h </w:instrText>
            </w:r>
            <w:r w:rsidR="006C6361">
              <w:rPr>
                <w:noProof/>
                <w:webHidden/>
              </w:rPr>
            </w:r>
            <w:r w:rsidR="006C6361">
              <w:rPr>
                <w:noProof/>
                <w:webHidden/>
              </w:rPr>
              <w:fldChar w:fldCharType="separate"/>
            </w:r>
            <w:r w:rsidR="006C6361">
              <w:rPr>
                <w:noProof/>
                <w:webHidden/>
              </w:rPr>
              <w:t>10</w:t>
            </w:r>
            <w:r w:rsidR="006C6361">
              <w:rPr>
                <w:noProof/>
                <w:webHidden/>
              </w:rPr>
              <w:fldChar w:fldCharType="end"/>
            </w:r>
          </w:hyperlink>
        </w:p>
        <w:p w:rsidR="006C6361" w:rsidRDefault="00A26374">
          <w:pPr>
            <w:pStyle w:val="TOC2"/>
            <w:tabs>
              <w:tab w:val="left" w:pos="880"/>
              <w:tab w:val="right" w:leader="dot" w:pos="9061"/>
            </w:tabs>
            <w:rPr>
              <w:rFonts w:asciiTheme="minorHAnsi" w:eastAsiaTheme="minorEastAsia" w:hAnsiTheme="minorHAnsi" w:cstheme="minorBidi"/>
              <w:noProof/>
            </w:rPr>
          </w:pPr>
          <w:hyperlink w:anchor="_Toc222754355" w:history="1">
            <w:r w:rsidR="006C6361" w:rsidRPr="003301AC">
              <w:rPr>
                <w:rStyle w:val="Hyperlink"/>
                <w:rFonts w:ascii="Arial" w:eastAsia="Arial" w:hAnsi="Arial" w:cs="Arial"/>
                <w:noProof/>
              </w:rPr>
              <w:t>1.2</w:t>
            </w:r>
            <w:r w:rsidR="006C6361">
              <w:rPr>
                <w:rFonts w:asciiTheme="minorHAnsi" w:eastAsiaTheme="minorEastAsia" w:hAnsiTheme="minorHAnsi" w:cstheme="minorBidi"/>
                <w:noProof/>
              </w:rPr>
              <w:tab/>
            </w:r>
            <w:r w:rsidR="006C6361" w:rsidRPr="003301AC">
              <w:rPr>
                <w:rStyle w:val="Hyperlink"/>
                <w:rFonts w:ascii="Arial" w:eastAsia="Arial" w:hAnsi="Arial" w:cs="Arial"/>
                <w:noProof/>
              </w:rPr>
              <w:t>Evropski i međunarodni kontekst</w:t>
            </w:r>
            <w:r w:rsidR="006C6361">
              <w:rPr>
                <w:noProof/>
                <w:webHidden/>
              </w:rPr>
              <w:tab/>
            </w:r>
            <w:r w:rsidR="006C6361">
              <w:rPr>
                <w:noProof/>
                <w:webHidden/>
              </w:rPr>
              <w:fldChar w:fldCharType="begin"/>
            </w:r>
            <w:r w:rsidR="006C6361">
              <w:rPr>
                <w:noProof/>
                <w:webHidden/>
              </w:rPr>
              <w:instrText xml:space="preserve"> PAGEREF _Toc222754355 \h </w:instrText>
            </w:r>
            <w:r w:rsidR="006C6361">
              <w:rPr>
                <w:noProof/>
                <w:webHidden/>
              </w:rPr>
            </w:r>
            <w:r w:rsidR="006C6361">
              <w:rPr>
                <w:noProof/>
                <w:webHidden/>
              </w:rPr>
              <w:fldChar w:fldCharType="separate"/>
            </w:r>
            <w:r w:rsidR="006C6361">
              <w:rPr>
                <w:noProof/>
                <w:webHidden/>
              </w:rPr>
              <w:t>10</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56" w:history="1">
            <w:r w:rsidR="006C6361" w:rsidRPr="003301AC">
              <w:rPr>
                <w:rStyle w:val="Hyperlink"/>
                <w:rFonts w:ascii="Arial" w:eastAsia="Arial" w:hAnsi="Arial" w:cs="Arial"/>
                <w:noProof/>
              </w:rPr>
              <w:t>1.3 Cilj izrade NSBAP 2026–2031</w:t>
            </w:r>
            <w:r w:rsidR="006C6361">
              <w:rPr>
                <w:noProof/>
                <w:webHidden/>
              </w:rPr>
              <w:tab/>
            </w:r>
            <w:r w:rsidR="006C6361">
              <w:rPr>
                <w:noProof/>
                <w:webHidden/>
              </w:rPr>
              <w:fldChar w:fldCharType="begin"/>
            </w:r>
            <w:r w:rsidR="006C6361">
              <w:rPr>
                <w:noProof/>
                <w:webHidden/>
              </w:rPr>
              <w:instrText xml:space="preserve"> PAGEREF _Toc222754356 \h </w:instrText>
            </w:r>
            <w:r w:rsidR="006C6361">
              <w:rPr>
                <w:noProof/>
                <w:webHidden/>
              </w:rPr>
            </w:r>
            <w:r w:rsidR="006C6361">
              <w:rPr>
                <w:noProof/>
                <w:webHidden/>
              </w:rPr>
              <w:fldChar w:fldCharType="separate"/>
            </w:r>
            <w:r w:rsidR="006C6361">
              <w:rPr>
                <w:noProof/>
                <w:webHidden/>
              </w:rPr>
              <w:t>11</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57" w:history="1">
            <w:r w:rsidR="006C6361" w:rsidRPr="003301AC">
              <w:rPr>
                <w:rStyle w:val="Hyperlink"/>
                <w:rFonts w:ascii="Arial" w:hAnsi="Arial" w:cs="Arial"/>
                <w:noProof/>
              </w:rPr>
              <w:t xml:space="preserve">1.4 </w:t>
            </w:r>
            <w:r w:rsidR="006C6361" w:rsidRPr="003301AC">
              <w:rPr>
                <w:rStyle w:val="Hyperlink"/>
                <w:rFonts w:ascii="Arial" w:eastAsia="Arial" w:hAnsi="Arial" w:cs="Arial"/>
                <w:noProof/>
              </w:rPr>
              <w:t>Pozicioniranje NSBAP u strateškom okviru Crne Gore</w:t>
            </w:r>
            <w:r w:rsidR="006C6361">
              <w:rPr>
                <w:noProof/>
                <w:webHidden/>
              </w:rPr>
              <w:tab/>
            </w:r>
            <w:r w:rsidR="006C6361">
              <w:rPr>
                <w:noProof/>
                <w:webHidden/>
              </w:rPr>
              <w:fldChar w:fldCharType="begin"/>
            </w:r>
            <w:r w:rsidR="006C6361">
              <w:rPr>
                <w:noProof/>
                <w:webHidden/>
              </w:rPr>
              <w:instrText xml:space="preserve"> PAGEREF _Toc222754357 \h </w:instrText>
            </w:r>
            <w:r w:rsidR="006C6361">
              <w:rPr>
                <w:noProof/>
                <w:webHidden/>
              </w:rPr>
            </w:r>
            <w:r w:rsidR="006C6361">
              <w:rPr>
                <w:noProof/>
                <w:webHidden/>
              </w:rPr>
              <w:fldChar w:fldCharType="separate"/>
            </w:r>
            <w:r w:rsidR="006C6361">
              <w:rPr>
                <w:noProof/>
                <w:webHidden/>
              </w:rPr>
              <w:t>11</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58" w:history="1">
            <w:r w:rsidR="006C6361" w:rsidRPr="003301AC">
              <w:rPr>
                <w:rStyle w:val="Hyperlink"/>
                <w:rFonts w:ascii="Arial" w:eastAsia="Arial" w:hAnsi="Arial" w:cs="Arial"/>
                <w:noProof/>
              </w:rPr>
              <w:t>1.5 Pozicioniranje NSBAP u pravnom okviru Crne Gore</w:t>
            </w:r>
            <w:r w:rsidR="006C6361">
              <w:rPr>
                <w:noProof/>
                <w:webHidden/>
              </w:rPr>
              <w:tab/>
            </w:r>
            <w:r w:rsidR="006C6361">
              <w:rPr>
                <w:noProof/>
                <w:webHidden/>
              </w:rPr>
              <w:fldChar w:fldCharType="begin"/>
            </w:r>
            <w:r w:rsidR="006C6361">
              <w:rPr>
                <w:noProof/>
                <w:webHidden/>
              </w:rPr>
              <w:instrText xml:space="preserve"> PAGEREF _Toc222754358 \h </w:instrText>
            </w:r>
            <w:r w:rsidR="006C6361">
              <w:rPr>
                <w:noProof/>
                <w:webHidden/>
              </w:rPr>
            </w:r>
            <w:r w:rsidR="006C6361">
              <w:rPr>
                <w:noProof/>
                <w:webHidden/>
              </w:rPr>
              <w:fldChar w:fldCharType="separate"/>
            </w:r>
            <w:r w:rsidR="006C6361">
              <w:rPr>
                <w:noProof/>
                <w:webHidden/>
              </w:rPr>
              <w:t>14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59" w:history="1">
            <w:r w:rsidR="006C6361" w:rsidRPr="003301AC">
              <w:rPr>
                <w:rStyle w:val="Hyperlink"/>
                <w:rFonts w:ascii="Arial" w:eastAsia="Arial" w:hAnsi="Arial" w:cs="Arial"/>
                <w:noProof/>
              </w:rPr>
              <w:t>1.5.1 Zakoni koji nemaju normativne konflikte, ali imaju izazove u implementaciji</w:t>
            </w:r>
            <w:r w:rsidR="006C6361">
              <w:rPr>
                <w:noProof/>
                <w:webHidden/>
              </w:rPr>
              <w:tab/>
            </w:r>
            <w:r w:rsidR="006C6361">
              <w:rPr>
                <w:noProof/>
                <w:webHidden/>
              </w:rPr>
              <w:fldChar w:fldCharType="begin"/>
            </w:r>
            <w:r w:rsidR="006C6361">
              <w:rPr>
                <w:noProof/>
                <w:webHidden/>
              </w:rPr>
              <w:instrText xml:space="preserve"> PAGEREF _Toc222754359 \h </w:instrText>
            </w:r>
            <w:r w:rsidR="006C6361">
              <w:rPr>
                <w:noProof/>
                <w:webHidden/>
              </w:rPr>
            </w:r>
            <w:r w:rsidR="006C6361">
              <w:rPr>
                <w:noProof/>
                <w:webHidden/>
              </w:rPr>
              <w:fldChar w:fldCharType="separate"/>
            </w:r>
            <w:r w:rsidR="006C6361">
              <w:rPr>
                <w:noProof/>
                <w:webHidden/>
              </w:rPr>
              <w:t>14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60" w:history="1">
            <w:r w:rsidR="006C6361" w:rsidRPr="003301AC">
              <w:rPr>
                <w:rStyle w:val="Hyperlink"/>
                <w:rFonts w:ascii="Arial" w:eastAsia="Arial" w:hAnsi="Arial" w:cs="Arial"/>
                <w:noProof/>
              </w:rPr>
              <w:t>1.5.2 Zakoni sa većim izazovima u implemntaciji i manjim tačkama potencijalnih konflikata</w:t>
            </w:r>
            <w:r w:rsidR="006C6361">
              <w:rPr>
                <w:noProof/>
                <w:webHidden/>
              </w:rPr>
              <w:tab/>
            </w:r>
            <w:r w:rsidR="006C6361">
              <w:rPr>
                <w:noProof/>
                <w:webHidden/>
              </w:rPr>
              <w:fldChar w:fldCharType="begin"/>
            </w:r>
            <w:r w:rsidR="006C6361">
              <w:rPr>
                <w:noProof/>
                <w:webHidden/>
              </w:rPr>
              <w:instrText xml:space="preserve"> PAGEREF _Toc222754360 \h </w:instrText>
            </w:r>
            <w:r w:rsidR="006C6361">
              <w:rPr>
                <w:noProof/>
                <w:webHidden/>
              </w:rPr>
            </w:r>
            <w:r w:rsidR="006C6361">
              <w:rPr>
                <w:noProof/>
                <w:webHidden/>
              </w:rPr>
              <w:fldChar w:fldCharType="separate"/>
            </w:r>
            <w:r w:rsidR="006C6361">
              <w:rPr>
                <w:noProof/>
                <w:webHidden/>
              </w:rPr>
              <w:t>15</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61" w:history="1">
            <w:r w:rsidR="006C6361" w:rsidRPr="003301AC">
              <w:rPr>
                <w:rStyle w:val="Hyperlink"/>
                <w:rFonts w:ascii="Arial" w:eastAsia="Arial" w:hAnsi="Arial" w:cs="Arial"/>
                <w:noProof/>
              </w:rPr>
              <w:t>1.6 Metodologija izrade NSBAP 2026-2031</w:t>
            </w:r>
            <w:r w:rsidR="006C6361">
              <w:rPr>
                <w:noProof/>
                <w:webHidden/>
              </w:rPr>
              <w:tab/>
            </w:r>
            <w:r w:rsidR="006C6361">
              <w:rPr>
                <w:noProof/>
                <w:webHidden/>
              </w:rPr>
              <w:fldChar w:fldCharType="begin"/>
            </w:r>
            <w:r w:rsidR="006C6361">
              <w:rPr>
                <w:noProof/>
                <w:webHidden/>
              </w:rPr>
              <w:instrText xml:space="preserve"> PAGEREF _Toc222754361 \h </w:instrText>
            </w:r>
            <w:r w:rsidR="006C6361">
              <w:rPr>
                <w:noProof/>
                <w:webHidden/>
              </w:rPr>
            </w:r>
            <w:r w:rsidR="006C6361">
              <w:rPr>
                <w:noProof/>
                <w:webHidden/>
              </w:rPr>
              <w:fldChar w:fldCharType="separate"/>
            </w:r>
            <w:r w:rsidR="006C6361">
              <w:rPr>
                <w:noProof/>
                <w:webHidden/>
              </w:rPr>
              <w:t>15</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62" w:history="1">
            <w:r w:rsidR="006C6361" w:rsidRPr="003301AC">
              <w:rPr>
                <w:rStyle w:val="Hyperlink"/>
                <w:rFonts w:ascii="Arial" w:eastAsia="Arial" w:hAnsi="Arial" w:cs="Arial"/>
                <w:noProof/>
              </w:rPr>
              <w:t>1.7 Rodno odgovoran i inkluzivan pristup u izradi NSBAP 2026-2031</w:t>
            </w:r>
            <w:r w:rsidR="006C6361">
              <w:rPr>
                <w:noProof/>
                <w:webHidden/>
              </w:rPr>
              <w:tab/>
            </w:r>
            <w:r w:rsidR="006C6361">
              <w:rPr>
                <w:noProof/>
                <w:webHidden/>
              </w:rPr>
              <w:fldChar w:fldCharType="begin"/>
            </w:r>
            <w:r w:rsidR="006C6361">
              <w:rPr>
                <w:noProof/>
                <w:webHidden/>
              </w:rPr>
              <w:instrText xml:space="preserve"> PAGEREF _Toc222754362 \h </w:instrText>
            </w:r>
            <w:r w:rsidR="006C6361">
              <w:rPr>
                <w:noProof/>
                <w:webHidden/>
              </w:rPr>
            </w:r>
            <w:r w:rsidR="006C6361">
              <w:rPr>
                <w:noProof/>
                <w:webHidden/>
              </w:rPr>
              <w:fldChar w:fldCharType="separate"/>
            </w:r>
            <w:r w:rsidR="006C6361">
              <w:rPr>
                <w:noProof/>
                <w:webHidden/>
              </w:rPr>
              <w:t>16</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63" w:history="1">
            <w:r w:rsidR="006C6361" w:rsidRPr="003301AC">
              <w:rPr>
                <w:rStyle w:val="Hyperlink"/>
                <w:rFonts w:ascii="Arial" w:eastAsia="Arial" w:hAnsi="Arial" w:cs="Arial"/>
                <w:noProof/>
              </w:rPr>
              <w:t>1.8 Odluka o nepreduzimanju izrade Strateške procjene uticaja na životnu sredinu (SEA)</w:t>
            </w:r>
            <w:r w:rsidR="006C6361">
              <w:rPr>
                <w:noProof/>
                <w:webHidden/>
              </w:rPr>
              <w:tab/>
            </w:r>
            <w:r w:rsidR="006C6361">
              <w:rPr>
                <w:noProof/>
                <w:webHidden/>
              </w:rPr>
              <w:fldChar w:fldCharType="begin"/>
            </w:r>
            <w:r w:rsidR="006C6361">
              <w:rPr>
                <w:noProof/>
                <w:webHidden/>
              </w:rPr>
              <w:instrText xml:space="preserve"> PAGEREF _Toc222754363 \h </w:instrText>
            </w:r>
            <w:r w:rsidR="006C6361">
              <w:rPr>
                <w:noProof/>
                <w:webHidden/>
              </w:rPr>
            </w:r>
            <w:r w:rsidR="006C6361">
              <w:rPr>
                <w:noProof/>
                <w:webHidden/>
              </w:rPr>
              <w:fldChar w:fldCharType="separate"/>
            </w:r>
            <w:r w:rsidR="006C6361">
              <w:rPr>
                <w:noProof/>
                <w:webHidden/>
              </w:rPr>
              <w:t>17</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64" w:history="1">
            <w:r w:rsidR="006C6361" w:rsidRPr="003301AC">
              <w:rPr>
                <w:rStyle w:val="Hyperlink"/>
                <w:rFonts w:ascii="Arial" w:eastAsia="Arial" w:hAnsi="Arial" w:cs="Arial"/>
                <w:noProof/>
              </w:rPr>
              <w:t>II Analiza stanja</w:t>
            </w:r>
            <w:r w:rsidR="006C6361">
              <w:rPr>
                <w:noProof/>
                <w:webHidden/>
              </w:rPr>
              <w:tab/>
            </w:r>
            <w:r w:rsidR="006C6361">
              <w:rPr>
                <w:noProof/>
                <w:webHidden/>
              </w:rPr>
              <w:fldChar w:fldCharType="begin"/>
            </w:r>
            <w:r w:rsidR="006C6361">
              <w:rPr>
                <w:noProof/>
                <w:webHidden/>
              </w:rPr>
              <w:instrText xml:space="preserve"> PAGEREF _Toc222754364 \h </w:instrText>
            </w:r>
            <w:r w:rsidR="006C6361">
              <w:rPr>
                <w:noProof/>
                <w:webHidden/>
              </w:rPr>
            </w:r>
            <w:r w:rsidR="006C6361">
              <w:rPr>
                <w:noProof/>
                <w:webHidden/>
              </w:rPr>
              <w:fldChar w:fldCharType="separate"/>
            </w:r>
            <w:r w:rsidR="006C6361">
              <w:rPr>
                <w:noProof/>
                <w:webHidden/>
              </w:rPr>
              <w:t>17</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65" w:history="1">
            <w:r w:rsidR="006C6361" w:rsidRPr="003301AC">
              <w:rPr>
                <w:rStyle w:val="Hyperlink"/>
                <w:rFonts w:ascii="Arial" w:eastAsia="Arial" w:hAnsi="Arial" w:cs="Arial"/>
                <w:noProof/>
              </w:rPr>
              <w:t>2.1 Opšti trendovi biodiverziteta i krovni problem</w:t>
            </w:r>
            <w:r w:rsidR="006C6361">
              <w:rPr>
                <w:noProof/>
                <w:webHidden/>
              </w:rPr>
              <w:tab/>
            </w:r>
            <w:r w:rsidR="006C6361">
              <w:rPr>
                <w:noProof/>
                <w:webHidden/>
              </w:rPr>
              <w:fldChar w:fldCharType="begin"/>
            </w:r>
            <w:r w:rsidR="006C6361">
              <w:rPr>
                <w:noProof/>
                <w:webHidden/>
              </w:rPr>
              <w:instrText xml:space="preserve"> PAGEREF _Toc222754365 \h </w:instrText>
            </w:r>
            <w:r w:rsidR="006C6361">
              <w:rPr>
                <w:noProof/>
                <w:webHidden/>
              </w:rPr>
            </w:r>
            <w:r w:rsidR="006C6361">
              <w:rPr>
                <w:noProof/>
                <w:webHidden/>
              </w:rPr>
              <w:fldChar w:fldCharType="separate"/>
            </w:r>
            <w:r w:rsidR="006C6361">
              <w:rPr>
                <w:noProof/>
                <w:webHidden/>
              </w:rPr>
              <w:t>18</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66" w:history="1">
            <w:r w:rsidR="006C6361" w:rsidRPr="003301AC">
              <w:rPr>
                <w:rStyle w:val="Hyperlink"/>
                <w:rFonts w:ascii="Arial" w:eastAsia="Arial" w:hAnsi="Arial" w:cs="Arial"/>
                <w:noProof/>
              </w:rPr>
              <w:t>2.2 Pregled postojećeg stanja biodiverziteta i ekosistema Crne Gore</w:t>
            </w:r>
            <w:r w:rsidR="006C6361">
              <w:rPr>
                <w:noProof/>
                <w:webHidden/>
              </w:rPr>
              <w:tab/>
            </w:r>
            <w:r w:rsidR="006C6361">
              <w:rPr>
                <w:noProof/>
                <w:webHidden/>
              </w:rPr>
              <w:fldChar w:fldCharType="begin"/>
            </w:r>
            <w:r w:rsidR="006C6361">
              <w:rPr>
                <w:noProof/>
                <w:webHidden/>
              </w:rPr>
              <w:instrText xml:space="preserve"> PAGEREF _Toc222754366 \h </w:instrText>
            </w:r>
            <w:r w:rsidR="006C6361">
              <w:rPr>
                <w:noProof/>
                <w:webHidden/>
              </w:rPr>
            </w:r>
            <w:r w:rsidR="006C6361">
              <w:rPr>
                <w:noProof/>
                <w:webHidden/>
              </w:rPr>
              <w:fldChar w:fldCharType="separate"/>
            </w:r>
            <w:r w:rsidR="006C6361">
              <w:rPr>
                <w:noProof/>
                <w:webHidden/>
              </w:rPr>
              <w:t>18</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67" w:history="1">
            <w:r w:rsidR="006C6361" w:rsidRPr="003301AC">
              <w:rPr>
                <w:rStyle w:val="Hyperlink"/>
                <w:rFonts w:ascii="Arial" w:eastAsia="Arial" w:hAnsi="Arial" w:cs="Arial"/>
                <w:noProof/>
              </w:rPr>
              <w:t>2.2.1 Analiza učinka i nedostataka Nacionalne strategije biodiverziteta 2016-2020. godine</w:t>
            </w:r>
            <w:r w:rsidR="006C6361">
              <w:rPr>
                <w:noProof/>
                <w:webHidden/>
              </w:rPr>
              <w:tab/>
            </w:r>
            <w:r w:rsidR="006C6361">
              <w:rPr>
                <w:noProof/>
                <w:webHidden/>
              </w:rPr>
              <w:fldChar w:fldCharType="begin"/>
            </w:r>
            <w:r w:rsidR="006C6361">
              <w:rPr>
                <w:noProof/>
                <w:webHidden/>
              </w:rPr>
              <w:instrText xml:space="preserve"> PAGEREF _Toc222754367 \h </w:instrText>
            </w:r>
            <w:r w:rsidR="006C6361">
              <w:rPr>
                <w:noProof/>
                <w:webHidden/>
              </w:rPr>
            </w:r>
            <w:r w:rsidR="006C6361">
              <w:rPr>
                <w:noProof/>
                <w:webHidden/>
              </w:rPr>
              <w:fldChar w:fldCharType="separate"/>
            </w:r>
            <w:r w:rsidR="006C6361">
              <w:rPr>
                <w:noProof/>
                <w:webHidden/>
              </w:rPr>
              <w:t>18</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68" w:history="1">
            <w:r w:rsidR="006C6361" w:rsidRPr="003301AC">
              <w:rPr>
                <w:rStyle w:val="Hyperlink"/>
                <w:rFonts w:ascii="Arial" w:eastAsia="Arial" w:hAnsi="Arial" w:cs="Arial"/>
                <w:noProof/>
              </w:rPr>
              <w:t>2.2.2 Vrijednosti biodiverziteta Crne Gore</w:t>
            </w:r>
            <w:r w:rsidR="006C6361">
              <w:rPr>
                <w:noProof/>
                <w:webHidden/>
              </w:rPr>
              <w:tab/>
            </w:r>
            <w:r w:rsidR="006C6361">
              <w:rPr>
                <w:noProof/>
                <w:webHidden/>
              </w:rPr>
              <w:fldChar w:fldCharType="begin"/>
            </w:r>
            <w:r w:rsidR="006C6361">
              <w:rPr>
                <w:noProof/>
                <w:webHidden/>
              </w:rPr>
              <w:instrText xml:space="preserve"> PAGEREF _Toc222754368 \h </w:instrText>
            </w:r>
            <w:r w:rsidR="006C6361">
              <w:rPr>
                <w:noProof/>
                <w:webHidden/>
              </w:rPr>
            </w:r>
            <w:r w:rsidR="006C6361">
              <w:rPr>
                <w:noProof/>
                <w:webHidden/>
              </w:rPr>
              <w:fldChar w:fldCharType="separate"/>
            </w:r>
            <w:r w:rsidR="006C6361">
              <w:rPr>
                <w:noProof/>
                <w:webHidden/>
              </w:rPr>
              <w:t>20</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69" w:history="1">
            <w:r w:rsidR="006C6361" w:rsidRPr="003301AC">
              <w:rPr>
                <w:rStyle w:val="Hyperlink"/>
                <w:rFonts w:ascii="Arial" w:eastAsia="Arial" w:hAnsi="Arial" w:cs="Arial"/>
                <w:noProof/>
              </w:rPr>
              <w:t>2.2.3 Pregled zaštite i očuvanja i efektivnosti upravljanja biodiverzitetom Crne Gore</w:t>
            </w:r>
            <w:r w:rsidR="006C6361">
              <w:rPr>
                <w:noProof/>
                <w:webHidden/>
              </w:rPr>
              <w:tab/>
            </w:r>
            <w:r w:rsidR="006C6361">
              <w:rPr>
                <w:noProof/>
                <w:webHidden/>
              </w:rPr>
              <w:fldChar w:fldCharType="begin"/>
            </w:r>
            <w:r w:rsidR="006C6361">
              <w:rPr>
                <w:noProof/>
                <w:webHidden/>
              </w:rPr>
              <w:instrText xml:space="preserve"> PAGEREF _Toc222754369 \h </w:instrText>
            </w:r>
            <w:r w:rsidR="006C6361">
              <w:rPr>
                <w:noProof/>
                <w:webHidden/>
              </w:rPr>
            </w:r>
            <w:r w:rsidR="006C6361">
              <w:rPr>
                <w:noProof/>
                <w:webHidden/>
              </w:rPr>
              <w:fldChar w:fldCharType="separate"/>
            </w:r>
            <w:r w:rsidR="006C6361">
              <w:rPr>
                <w:noProof/>
                <w:webHidden/>
              </w:rPr>
              <w:t>24</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70" w:history="1">
            <w:r w:rsidR="006C6361" w:rsidRPr="003301AC">
              <w:rPr>
                <w:rStyle w:val="Hyperlink"/>
                <w:rFonts w:ascii="Arial" w:eastAsia="Arial" w:hAnsi="Arial" w:cs="Arial"/>
                <w:noProof/>
              </w:rPr>
              <w:t>2.3 Analiza postojećih problema i prioritizacija ključnih pitanja</w:t>
            </w:r>
            <w:r w:rsidR="006C6361">
              <w:rPr>
                <w:noProof/>
                <w:webHidden/>
              </w:rPr>
              <w:tab/>
            </w:r>
            <w:r w:rsidR="006C6361">
              <w:rPr>
                <w:noProof/>
                <w:webHidden/>
              </w:rPr>
              <w:fldChar w:fldCharType="begin"/>
            </w:r>
            <w:r w:rsidR="006C6361">
              <w:rPr>
                <w:noProof/>
                <w:webHidden/>
              </w:rPr>
              <w:instrText xml:space="preserve"> PAGEREF _Toc222754370 \h </w:instrText>
            </w:r>
            <w:r w:rsidR="006C6361">
              <w:rPr>
                <w:noProof/>
                <w:webHidden/>
              </w:rPr>
            </w:r>
            <w:r w:rsidR="006C6361">
              <w:rPr>
                <w:noProof/>
                <w:webHidden/>
              </w:rPr>
              <w:fldChar w:fldCharType="separate"/>
            </w:r>
            <w:r w:rsidR="006C6361">
              <w:rPr>
                <w:noProof/>
                <w:webHidden/>
              </w:rPr>
              <w:t>34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1" w:history="1">
            <w:r w:rsidR="006C6361" w:rsidRPr="003301AC">
              <w:rPr>
                <w:rStyle w:val="Hyperlink"/>
                <w:rFonts w:ascii="Arial" w:eastAsia="Arial" w:hAnsi="Arial" w:cs="Arial"/>
                <w:noProof/>
              </w:rPr>
              <w:t>2.3.1 Prioritetni problemi zaštite i očuvanja biodiverziteta Crne Gore</w:t>
            </w:r>
            <w:r w:rsidR="006C6361">
              <w:rPr>
                <w:noProof/>
                <w:webHidden/>
              </w:rPr>
              <w:tab/>
            </w:r>
            <w:r w:rsidR="006C6361">
              <w:rPr>
                <w:noProof/>
                <w:webHidden/>
              </w:rPr>
              <w:fldChar w:fldCharType="begin"/>
            </w:r>
            <w:r w:rsidR="006C6361">
              <w:rPr>
                <w:noProof/>
                <w:webHidden/>
              </w:rPr>
              <w:instrText xml:space="preserve"> PAGEREF _Toc222754371 \h </w:instrText>
            </w:r>
            <w:r w:rsidR="006C6361">
              <w:rPr>
                <w:noProof/>
                <w:webHidden/>
              </w:rPr>
            </w:r>
            <w:r w:rsidR="006C6361">
              <w:rPr>
                <w:noProof/>
                <w:webHidden/>
              </w:rPr>
              <w:fldChar w:fldCharType="separate"/>
            </w:r>
            <w:r w:rsidR="006C6361">
              <w:rPr>
                <w:noProof/>
                <w:webHidden/>
              </w:rPr>
              <w:t>34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2" w:history="1">
            <w:r w:rsidR="006C6361" w:rsidRPr="003301AC">
              <w:rPr>
                <w:rStyle w:val="Hyperlink"/>
                <w:rFonts w:ascii="Arial" w:eastAsia="Arial" w:hAnsi="Arial" w:cs="Arial"/>
                <w:noProof/>
              </w:rPr>
              <w:t>2.4 Monitoring, podaci i upravljanje znanjem</w:t>
            </w:r>
            <w:r w:rsidR="006C6361">
              <w:rPr>
                <w:noProof/>
                <w:webHidden/>
              </w:rPr>
              <w:tab/>
            </w:r>
            <w:r w:rsidR="006C6361">
              <w:rPr>
                <w:noProof/>
                <w:webHidden/>
              </w:rPr>
              <w:fldChar w:fldCharType="begin"/>
            </w:r>
            <w:r w:rsidR="006C6361">
              <w:rPr>
                <w:noProof/>
                <w:webHidden/>
              </w:rPr>
              <w:instrText xml:space="preserve"> PAGEREF _Toc222754372 \h </w:instrText>
            </w:r>
            <w:r w:rsidR="006C6361">
              <w:rPr>
                <w:noProof/>
                <w:webHidden/>
              </w:rPr>
            </w:r>
            <w:r w:rsidR="006C6361">
              <w:rPr>
                <w:noProof/>
                <w:webHidden/>
              </w:rPr>
              <w:fldChar w:fldCharType="separate"/>
            </w:r>
            <w:r w:rsidR="006C6361">
              <w:rPr>
                <w:noProof/>
                <w:webHidden/>
              </w:rPr>
              <w:t>43</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3" w:history="1">
            <w:r w:rsidR="006C6361" w:rsidRPr="003301AC">
              <w:rPr>
                <w:rStyle w:val="Hyperlink"/>
                <w:rFonts w:ascii="Arial" w:eastAsia="Arial" w:hAnsi="Arial" w:cs="Arial"/>
                <w:noProof/>
              </w:rPr>
              <w:t>2.5 Rodna ravnopravnost, inkluzija ranjivih grupa i učešće lokalnog stanovništva u zaštiti i očuvanju biodiverziteta Crne Gore</w:t>
            </w:r>
            <w:r w:rsidR="006C6361">
              <w:rPr>
                <w:noProof/>
                <w:webHidden/>
              </w:rPr>
              <w:tab/>
            </w:r>
            <w:r w:rsidR="006C6361">
              <w:rPr>
                <w:noProof/>
                <w:webHidden/>
              </w:rPr>
              <w:fldChar w:fldCharType="begin"/>
            </w:r>
            <w:r w:rsidR="006C6361">
              <w:rPr>
                <w:noProof/>
                <w:webHidden/>
              </w:rPr>
              <w:instrText xml:space="preserve"> PAGEREF _Toc222754373 \h </w:instrText>
            </w:r>
            <w:r w:rsidR="006C6361">
              <w:rPr>
                <w:noProof/>
                <w:webHidden/>
              </w:rPr>
            </w:r>
            <w:r w:rsidR="006C6361">
              <w:rPr>
                <w:noProof/>
                <w:webHidden/>
              </w:rPr>
              <w:fldChar w:fldCharType="separate"/>
            </w:r>
            <w:r w:rsidR="006C6361">
              <w:rPr>
                <w:noProof/>
                <w:webHidden/>
              </w:rPr>
              <w:t>46</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4" w:history="1">
            <w:r w:rsidR="006C6361" w:rsidRPr="003301AC">
              <w:rPr>
                <w:rStyle w:val="Hyperlink"/>
                <w:rFonts w:ascii="Arial" w:eastAsia="Arial" w:hAnsi="Arial" w:cs="Arial"/>
                <w:noProof/>
              </w:rPr>
              <w:t>2.6 Analiza zainteresovanih strana NSBAP 2026-2031</w:t>
            </w:r>
            <w:r w:rsidR="006C6361">
              <w:rPr>
                <w:noProof/>
                <w:webHidden/>
              </w:rPr>
              <w:tab/>
            </w:r>
            <w:r w:rsidR="006C6361">
              <w:rPr>
                <w:noProof/>
                <w:webHidden/>
              </w:rPr>
              <w:fldChar w:fldCharType="begin"/>
            </w:r>
            <w:r w:rsidR="006C6361">
              <w:rPr>
                <w:noProof/>
                <w:webHidden/>
              </w:rPr>
              <w:instrText xml:space="preserve"> PAGEREF _Toc222754374 \h </w:instrText>
            </w:r>
            <w:r w:rsidR="006C6361">
              <w:rPr>
                <w:noProof/>
                <w:webHidden/>
              </w:rPr>
            </w:r>
            <w:r w:rsidR="006C6361">
              <w:rPr>
                <w:noProof/>
                <w:webHidden/>
              </w:rPr>
              <w:fldChar w:fldCharType="separate"/>
            </w:r>
            <w:r w:rsidR="006C6361">
              <w:rPr>
                <w:noProof/>
                <w:webHidden/>
              </w:rPr>
              <w:t>48</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75" w:history="1">
            <w:r w:rsidR="006C6361" w:rsidRPr="003301AC">
              <w:rPr>
                <w:rStyle w:val="Hyperlink"/>
                <w:rFonts w:ascii="Arial" w:eastAsia="Arial" w:hAnsi="Arial" w:cs="Arial"/>
                <w:noProof/>
              </w:rPr>
              <w:t>III Strateški okvir sprovođenja NSBAP 2026-2031</w:t>
            </w:r>
            <w:r w:rsidR="006C6361">
              <w:rPr>
                <w:noProof/>
                <w:webHidden/>
              </w:rPr>
              <w:tab/>
            </w:r>
            <w:r w:rsidR="006C6361">
              <w:rPr>
                <w:noProof/>
                <w:webHidden/>
              </w:rPr>
              <w:fldChar w:fldCharType="begin"/>
            </w:r>
            <w:r w:rsidR="006C6361">
              <w:rPr>
                <w:noProof/>
                <w:webHidden/>
              </w:rPr>
              <w:instrText xml:space="preserve"> PAGEREF _Toc222754375 \h </w:instrText>
            </w:r>
            <w:r w:rsidR="006C6361">
              <w:rPr>
                <w:noProof/>
                <w:webHidden/>
              </w:rPr>
            </w:r>
            <w:r w:rsidR="006C6361">
              <w:rPr>
                <w:noProof/>
                <w:webHidden/>
              </w:rPr>
              <w:fldChar w:fldCharType="separate"/>
            </w:r>
            <w:r w:rsidR="006C6361">
              <w:rPr>
                <w:noProof/>
                <w:webHidden/>
              </w:rPr>
              <w:t>54</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76" w:history="1">
            <w:r w:rsidR="006C6361" w:rsidRPr="003301AC">
              <w:rPr>
                <w:rStyle w:val="Hyperlink"/>
                <w:rFonts w:ascii="Arial" w:hAnsi="Arial" w:cs="Arial"/>
                <w:noProof/>
              </w:rPr>
              <w:t>3.1 Vizija zaštite i očuvanja biodiverziteta Crne Gore do 2050. godine</w:t>
            </w:r>
            <w:r w:rsidR="006C6361">
              <w:rPr>
                <w:noProof/>
                <w:webHidden/>
              </w:rPr>
              <w:tab/>
            </w:r>
            <w:r w:rsidR="006C6361">
              <w:rPr>
                <w:noProof/>
                <w:webHidden/>
              </w:rPr>
              <w:fldChar w:fldCharType="begin"/>
            </w:r>
            <w:r w:rsidR="006C6361">
              <w:rPr>
                <w:noProof/>
                <w:webHidden/>
              </w:rPr>
              <w:instrText xml:space="preserve"> PAGEREF _Toc222754376 \h </w:instrText>
            </w:r>
            <w:r w:rsidR="006C6361">
              <w:rPr>
                <w:noProof/>
                <w:webHidden/>
              </w:rPr>
            </w:r>
            <w:r w:rsidR="006C6361">
              <w:rPr>
                <w:noProof/>
                <w:webHidden/>
              </w:rPr>
              <w:fldChar w:fldCharType="separate"/>
            </w:r>
            <w:r w:rsidR="006C6361">
              <w:rPr>
                <w:noProof/>
                <w:webHidden/>
              </w:rPr>
              <w:t>54</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77" w:history="1">
            <w:r w:rsidR="006C6361" w:rsidRPr="003301AC">
              <w:rPr>
                <w:rStyle w:val="Hyperlink"/>
                <w:rFonts w:ascii="Arial" w:eastAsia="Arial" w:hAnsi="Arial" w:cs="Arial"/>
                <w:noProof/>
              </w:rPr>
              <w:t>3.2 Strateški i operativni ciljevi NSBAP 2026-2031</w:t>
            </w:r>
            <w:r w:rsidR="006C6361">
              <w:rPr>
                <w:noProof/>
                <w:webHidden/>
              </w:rPr>
              <w:tab/>
            </w:r>
            <w:r w:rsidR="006C6361">
              <w:rPr>
                <w:noProof/>
                <w:webHidden/>
              </w:rPr>
              <w:fldChar w:fldCharType="begin"/>
            </w:r>
            <w:r w:rsidR="006C6361">
              <w:rPr>
                <w:noProof/>
                <w:webHidden/>
              </w:rPr>
              <w:instrText xml:space="preserve"> PAGEREF _Toc222754377 \h </w:instrText>
            </w:r>
            <w:r w:rsidR="006C6361">
              <w:rPr>
                <w:noProof/>
                <w:webHidden/>
              </w:rPr>
            </w:r>
            <w:r w:rsidR="006C6361">
              <w:rPr>
                <w:noProof/>
                <w:webHidden/>
              </w:rPr>
              <w:fldChar w:fldCharType="separate"/>
            </w:r>
            <w:r w:rsidR="006C6361">
              <w:rPr>
                <w:noProof/>
                <w:webHidden/>
              </w:rPr>
              <w:t>55</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8" w:history="1">
            <w:r w:rsidR="006C6361" w:rsidRPr="003301AC">
              <w:rPr>
                <w:rStyle w:val="Hyperlink"/>
                <w:rFonts w:ascii="Arial" w:hAnsi="Arial" w:cs="Arial"/>
                <w:noProof/>
              </w:rPr>
              <w:t>3.2.1 Strateški cilj 1 sa pripadajućim operativnim ciljevima</w:t>
            </w:r>
            <w:r w:rsidR="006C6361">
              <w:rPr>
                <w:noProof/>
                <w:webHidden/>
              </w:rPr>
              <w:tab/>
            </w:r>
            <w:r w:rsidR="006C6361">
              <w:rPr>
                <w:noProof/>
                <w:webHidden/>
              </w:rPr>
              <w:fldChar w:fldCharType="begin"/>
            </w:r>
            <w:r w:rsidR="006C6361">
              <w:rPr>
                <w:noProof/>
                <w:webHidden/>
              </w:rPr>
              <w:instrText xml:space="preserve"> PAGEREF _Toc222754378 \h </w:instrText>
            </w:r>
            <w:r w:rsidR="006C6361">
              <w:rPr>
                <w:noProof/>
                <w:webHidden/>
              </w:rPr>
            </w:r>
            <w:r w:rsidR="006C6361">
              <w:rPr>
                <w:noProof/>
                <w:webHidden/>
              </w:rPr>
              <w:fldChar w:fldCharType="separate"/>
            </w:r>
            <w:r w:rsidR="006C6361">
              <w:rPr>
                <w:noProof/>
                <w:webHidden/>
              </w:rPr>
              <w:t>55</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79" w:history="1">
            <w:r w:rsidR="006C6361" w:rsidRPr="003301AC">
              <w:rPr>
                <w:rStyle w:val="Hyperlink"/>
                <w:rFonts w:ascii="Arial" w:hAnsi="Arial" w:cs="Arial"/>
                <w:noProof/>
              </w:rPr>
              <w:t>3.2.2 Strateški cilj 2 sa pripadajućim operativnim ciljevima</w:t>
            </w:r>
            <w:r w:rsidR="006C6361">
              <w:rPr>
                <w:noProof/>
                <w:webHidden/>
              </w:rPr>
              <w:tab/>
            </w:r>
            <w:r w:rsidR="006C6361">
              <w:rPr>
                <w:noProof/>
                <w:webHidden/>
              </w:rPr>
              <w:fldChar w:fldCharType="begin"/>
            </w:r>
            <w:r w:rsidR="006C6361">
              <w:rPr>
                <w:noProof/>
                <w:webHidden/>
              </w:rPr>
              <w:instrText xml:space="preserve"> PAGEREF _Toc222754379 \h </w:instrText>
            </w:r>
            <w:r w:rsidR="006C6361">
              <w:rPr>
                <w:noProof/>
                <w:webHidden/>
              </w:rPr>
            </w:r>
            <w:r w:rsidR="006C6361">
              <w:rPr>
                <w:noProof/>
                <w:webHidden/>
              </w:rPr>
              <w:fldChar w:fldCharType="separate"/>
            </w:r>
            <w:r w:rsidR="006C6361">
              <w:rPr>
                <w:noProof/>
                <w:webHidden/>
              </w:rPr>
              <w:t>56</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80" w:history="1">
            <w:r w:rsidR="006C6361" w:rsidRPr="003301AC">
              <w:rPr>
                <w:rStyle w:val="Hyperlink"/>
                <w:rFonts w:ascii="Arial" w:hAnsi="Arial" w:cs="Arial"/>
                <w:noProof/>
              </w:rPr>
              <w:t>3.2.3 Strateški cilj 3 sa pripadajućim operativnim ciljevima</w:t>
            </w:r>
            <w:r w:rsidR="006C6361">
              <w:rPr>
                <w:noProof/>
                <w:webHidden/>
              </w:rPr>
              <w:tab/>
            </w:r>
            <w:r w:rsidR="006C6361">
              <w:rPr>
                <w:noProof/>
                <w:webHidden/>
              </w:rPr>
              <w:fldChar w:fldCharType="begin"/>
            </w:r>
            <w:r w:rsidR="006C6361">
              <w:rPr>
                <w:noProof/>
                <w:webHidden/>
              </w:rPr>
              <w:instrText xml:space="preserve"> PAGEREF _Toc222754380 \h </w:instrText>
            </w:r>
            <w:r w:rsidR="006C6361">
              <w:rPr>
                <w:noProof/>
                <w:webHidden/>
              </w:rPr>
            </w:r>
            <w:r w:rsidR="006C6361">
              <w:rPr>
                <w:noProof/>
                <w:webHidden/>
              </w:rPr>
              <w:fldChar w:fldCharType="separate"/>
            </w:r>
            <w:r w:rsidR="006C6361">
              <w:rPr>
                <w:noProof/>
                <w:webHidden/>
              </w:rPr>
              <w:t>58</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81" w:history="1">
            <w:r w:rsidR="006C6361" w:rsidRPr="003301AC">
              <w:rPr>
                <w:rStyle w:val="Hyperlink"/>
                <w:rFonts w:ascii="Arial" w:hAnsi="Arial" w:cs="Arial"/>
                <w:noProof/>
              </w:rPr>
              <w:t>3.2.4 Horizontalni strateški cilj 4 sa pripadajućim operativnim ciljevima</w:t>
            </w:r>
            <w:r w:rsidR="006C6361">
              <w:rPr>
                <w:noProof/>
                <w:webHidden/>
              </w:rPr>
              <w:tab/>
            </w:r>
            <w:r w:rsidR="006C6361">
              <w:rPr>
                <w:noProof/>
                <w:webHidden/>
              </w:rPr>
              <w:fldChar w:fldCharType="begin"/>
            </w:r>
            <w:r w:rsidR="006C6361">
              <w:rPr>
                <w:noProof/>
                <w:webHidden/>
              </w:rPr>
              <w:instrText xml:space="preserve"> PAGEREF _Toc222754381 \h </w:instrText>
            </w:r>
            <w:r w:rsidR="006C6361">
              <w:rPr>
                <w:noProof/>
                <w:webHidden/>
              </w:rPr>
            </w:r>
            <w:r w:rsidR="006C6361">
              <w:rPr>
                <w:noProof/>
                <w:webHidden/>
              </w:rPr>
              <w:fldChar w:fldCharType="separate"/>
            </w:r>
            <w:r w:rsidR="006C6361">
              <w:rPr>
                <w:noProof/>
                <w:webHidden/>
              </w:rPr>
              <w:t>60</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82" w:history="1">
            <w:r w:rsidR="006C6361" w:rsidRPr="003301AC">
              <w:rPr>
                <w:rStyle w:val="Hyperlink"/>
                <w:rFonts w:ascii="Arial" w:eastAsia="Arial" w:hAnsi="Arial" w:cs="Arial"/>
                <w:noProof/>
              </w:rPr>
              <w:t>3.2.5 Usklađenost rješenja koje daje NSBAP sa KM-GBF</w:t>
            </w:r>
            <w:r w:rsidR="006C6361">
              <w:rPr>
                <w:noProof/>
                <w:webHidden/>
              </w:rPr>
              <w:tab/>
            </w:r>
            <w:r w:rsidR="006C6361">
              <w:rPr>
                <w:noProof/>
                <w:webHidden/>
              </w:rPr>
              <w:fldChar w:fldCharType="begin"/>
            </w:r>
            <w:r w:rsidR="006C6361">
              <w:rPr>
                <w:noProof/>
                <w:webHidden/>
              </w:rPr>
              <w:instrText xml:space="preserve"> PAGEREF _Toc222754382 \h </w:instrText>
            </w:r>
            <w:r w:rsidR="006C6361">
              <w:rPr>
                <w:noProof/>
                <w:webHidden/>
              </w:rPr>
            </w:r>
            <w:r w:rsidR="006C6361">
              <w:rPr>
                <w:noProof/>
                <w:webHidden/>
              </w:rPr>
              <w:fldChar w:fldCharType="separate"/>
            </w:r>
            <w:r w:rsidR="006C6361">
              <w:rPr>
                <w:noProof/>
                <w:webHidden/>
              </w:rPr>
              <w:t>62</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83" w:history="1">
            <w:r w:rsidR="006C6361" w:rsidRPr="003301AC">
              <w:rPr>
                <w:rStyle w:val="Hyperlink"/>
                <w:rFonts w:ascii="Arial" w:eastAsia="Arial" w:hAnsi="Arial" w:cs="Arial"/>
                <w:noProof/>
              </w:rPr>
              <w:t>IV Akcioni plan za period 2026-2028. godine NSBAP 2026-2031</w:t>
            </w:r>
            <w:r w:rsidR="006C6361">
              <w:rPr>
                <w:noProof/>
                <w:webHidden/>
              </w:rPr>
              <w:tab/>
            </w:r>
            <w:r w:rsidR="006C6361">
              <w:rPr>
                <w:noProof/>
                <w:webHidden/>
              </w:rPr>
              <w:fldChar w:fldCharType="begin"/>
            </w:r>
            <w:r w:rsidR="006C6361">
              <w:rPr>
                <w:noProof/>
                <w:webHidden/>
              </w:rPr>
              <w:instrText xml:space="preserve"> PAGEREF _Toc222754383 \h </w:instrText>
            </w:r>
            <w:r w:rsidR="006C6361">
              <w:rPr>
                <w:noProof/>
                <w:webHidden/>
              </w:rPr>
            </w:r>
            <w:r w:rsidR="006C6361">
              <w:rPr>
                <w:noProof/>
                <w:webHidden/>
              </w:rPr>
              <w:fldChar w:fldCharType="separate"/>
            </w:r>
            <w:r w:rsidR="006C6361">
              <w:rPr>
                <w:noProof/>
                <w:webHidden/>
              </w:rPr>
              <w:t>63</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84" w:history="1">
            <w:r w:rsidR="006C6361" w:rsidRPr="003301AC">
              <w:rPr>
                <w:rStyle w:val="Hyperlink"/>
                <w:rFonts w:ascii="Arial" w:eastAsia="Arial" w:hAnsi="Arial" w:cs="Arial"/>
                <w:noProof/>
              </w:rPr>
              <w:t>V Smjernice za sprovodjenje strategije NSBAP 2026-2031</w:t>
            </w:r>
            <w:r w:rsidR="006C6361">
              <w:rPr>
                <w:noProof/>
                <w:webHidden/>
              </w:rPr>
              <w:tab/>
            </w:r>
            <w:r w:rsidR="006C6361">
              <w:rPr>
                <w:noProof/>
                <w:webHidden/>
              </w:rPr>
              <w:fldChar w:fldCharType="begin"/>
            </w:r>
            <w:r w:rsidR="006C6361">
              <w:rPr>
                <w:noProof/>
                <w:webHidden/>
              </w:rPr>
              <w:instrText xml:space="preserve"> PAGEREF _Toc222754384 \h </w:instrText>
            </w:r>
            <w:r w:rsidR="006C6361">
              <w:rPr>
                <w:noProof/>
                <w:webHidden/>
              </w:rPr>
            </w:r>
            <w:r w:rsidR="006C6361">
              <w:rPr>
                <w:noProof/>
                <w:webHidden/>
              </w:rPr>
              <w:fldChar w:fldCharType="separate"/>
            </w:r>
            <w:r w:rsidR="006C6361">
              <w:rPr>
                <w:noProof/>
                <w:webHidden/>
              </w:rPr>
              <w:t>63</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85" w:history="1">
            <w:r w:rsidR="006C6361" w:rsidRPr="003301AC">
              <w:rPr>
                <w:rStyle w:val="Hyperlink"/>
                <w:rFonts w:ascii="Arial" w:hAnsi="Arial" w:cs="Arial"/>
                <w:noProof/>
              </w:rPr>
              <w:t>VI Okvir za f</w:t>
            </w:r>
            <w:r w:rsidR="006C6361" w:rsidRPr="003301AC">
              <w:rPr>
                <w:rStyle w:val="Hyperlink"/>
                <w:rFonts w:ascii="Arial" w:eastAsia="Arial" w:hAnsi="Arial" w:cs="Arial"/>
                <w:noProof/>
              </w:rPr>
              <w:t>inansiranje AP NSBAP 2026-2031</w:t>
            </w:r>
            <w:r w:rsidR="006C6361">
              <w:rPr>
                <w:noProof/>
                <w:webHidden/>
              </w:rPr>
              <w:tab/>
            </w:r>
            <w:r w:rsidR="006C6361">
              <w:rPr>
                <w:noProof/>
                <w:webHidden/>
              </w:rPr>
              <w:fldChar w:fldCharType="begin"/>
            </w:r>
            <w:r w:rsidR="006C6361">
              <w:rPr>
                <w:noProof/>
                <w:webHidden/>
              </w:rPr>
              <w:instrText xml:space="preserve"> PAGEREF _Toc222754385 \h </w:instrText>
            </w:r>
            <w:r w:rsidR="006C6361">
              <w:rPr>
                <w:noProof/>
                <w:webHidden/>
              </w:rPr>
            </w:r>
            <w:r w:rsidR="006C6361">
              <w:rPr>
                <w:noProof/>
                <w:webHidden/>
              </w:rPr>
              <w:fldChar w:fldCharType="separate"/>
            </w:r>
            <w:r w:rsidR="006C6361">
              <w:rPr>
                <w:noProof/>
                <w:webHidden/>
              </w:rPr>
              <w:t>63</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86" w:history="1">
            <w:r w:rsidR="006C6361" w:rsidRPr="003301AC">
              <w:rPr>
                <w:rStyle w:val="Hyperlink"/>
                <w:rFonts w:ascii="Arial" w:eastAsia="Arial" w:hAnsi="Arial" w:cs="Arial"/>
                <w:noProof/>
              </w:rPr>
              <w:t>6.1 Identifikovani nedostaci i ograničenja</w:t>
            </w:r>
            <w:r w:rsidR="006C6361">
              <w:rPr>
                <w:noProof/>
                <w:webHidden/>
              </w:rPr>
              <w:tab/>
            </w:r>
            <w:r w:rsidR="006C6361">
              <w:rPr>
                <w:noProof/>
                <w:webHidden/>
              </w:rPr>
              <w:fldChar w:fldCharType="begin"/>
            </w:r>
            <w:r w:rsidR="006C6361">
              <w:rPr>
                <w:noProof/>
                <w:webHidden/>
              </w:rPr>
              <w:instrText xml:space="preserve"> PAGEREF _Toc222754386 \h </w:instrText>
            </w:r>
            <w:r w:rsidR="006C6361">
              <w:rPr>
                <w:noProof/>
                <w:webHidden/>
              </w:rPr>
            </w:r>
            <w:r w:rsidR="006C6361">
              <w:rPr>
                <w:noProof/>
                <w:webHidden/>
              </w:rPr>
              <w:fldChar w:fldCharType="separate"/>
            </w:r>
            <w:r w:rsidR="006C6361">
              <w:rPr>
                <w:noProof/>
                <w:webHidden/>
              </w:rPr>
              <w:t>64</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87" w:history="1">
            <w:r w:rsidR="006C6361" w:rsidRPr="003301AC">
              <w:rPr>
                <w:rStyle w:val="Hyperlink"/>
                <w:rFonts w:ascii="Arial" w:eastAsia="Arial" w:hAnsi="Arial" w:cs="Arial"/>
                <w:noProof/>
              </w:rPr>
              <w:t>VII Implementacija, izvještavanje i evaluacija o sprovođenju NSBAP</w:t>
            </w:r>
            <w:r w:rsidR="006C6361">
              <w:rPr>
                <w:noProof/>
                <w:webHidden/>
              </w:rPr>
              <w:tab/>
            </w:r>
            <w:r w:rsidR="006C6361">
              <w:rPr>
                <w:noProof/>
                <w:webHidden/>
              </w:rPr>
              <w:fldChar w:fldCharType="begin"/>
            </w:r>
            <w:r w:rsidR="006C6361">
              <w:rPr>
                <w:noProof/>
                <w:webHidden/>
              </w:rPr>
              <w:instrText xml:space="preserve"> PAGEREF _Toc222754387 \h </w:instrText>
            </w:r>
            <w:r w:rsidR="006C6361">
              <w:rPr>
                <w:noProof/>
                <w:webHidden/>
              </w:rPr>
            </w:r>
            <w:r w:rsidR="006C6361">
              <w:rPr>
                <w:noProof/>
                <w:webHidden/>
              </w:rPr>
              <w:fldChar w:fldCharType="separate"/>
            </w:r>
            <w:r w:rsidR="006C6361">
              <w:rPr>
                <w:noProof/>
                <w:webHidden/>
              </w:rPr>
              <w:t>64</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88" w:history="1">
            <w:r w:rsidR="006C6361" w:rsidRPr="003301AC">
              <w:rPr>
                <w:rStyle w:val="Hyperlink"/>
                <w:rFonts w:ascii="Arial" w:hAnsi="Arial" w:cs="Arial"/>
                <w:noProof/>
              </w:rPr>
              <w:t>7.1 Praćenje, izvještavanje i evaluacija NSBAP 2026-2031</w:t>
            </w:r>
            <w:r w:rsidR="006C6361">
              <w:rPr>
                <w:noProof/>
                <w:webHidden/>
              </w:rPr>
              <w:tab/>
            </w:r>
            <w:r w:rsidR="006C6361">
              <w:rPr>
                <w:noProof/>
                <w:webHidden/>
              </w:rPr>
              <w:fldChar w:fldCharType="begin"/>
            </w:r>
            <w:r w:rsidR="006C6361">
              <w:rPr>
                <w:noProof/>
                <w:webHidden/>
              </w:rPr>
              <w:instrText xml:space="preserve"> PAGEREF _Toc222754388 \h </w:instrText>
            </w:r>
            <w:r w:rsidR="006C6361">
              <w:rPr>
                <w:noProof/>
                <w:webHidden/>
              </w:rPr>
            </w:r>
            <w:r w:rsidR="006C6361">
              <w:rPr>
                <w:noProof/>
                <w:webHidden/>
              </w:rPr>
              <w:fldChar w:fldCharType="separate"/>
            </w:r>
            <w:r w:rsidR="006C6361">
              <w:rPr>
                <w:noProof/>
                <w:webHidden/>
              </w:rPr>
              <w:t>64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89" w:history="1">
            <w:r w:rsidR="006C6361" w:rsidRPr="003301AC">
              <w:rPr>
                <w:rStyle w:val="Hyperlink"/>
                <w:rFonts w:ascii="Arial" w:hAnsi="Arial" w:cs="Arial"/>
                <w:noProof/>
              </w:rPr>
              <w:t>7.1.1 Sistem praćenja NSBAP 2026-2031</w:t>
            </w:r>
            <w:r w:rsidR="006C6361">
              <w:rPr>
                <w:noProof/>
                <w:webHidden/>
              </w:rPr>
              <w:tab/>
            </w:r>
            <w:r w:rsidR="006C6361">
              <w:rPr>
                <w:noProof/>
                <w:webHidden/>
              </w:rPr>
              <w:fldChar w:fldCharType="begin"/>
            </w:r>
            <w:r w:rsidR="006C6361">
              <w:rPr>
                <w:noProof/>
                <w:webHidden/>
              </w:rPr>
              <w:instrText xml:space="preserve"> PAGEREF _Toc222754389 \h </w:instrText>
            </w:r>
            <w:r w:rsidR="006C6361">
              <w:rPr>
                <w:noProof/>
                <w:webHidden/>
              </w:rPr>
            </w:r>
            <w:r w:rsidR="006C6361">
              <w:rPr>
                <w:noProof/>
                <w:webHidden/>
              </w:rPr>
              <w:fldChar w:fldCharType="separate"/>
            </w:r>
            <w:r w:rsidR="006C6361">
              <w:rPr>
                <w:noProof/>
                <w:webHidden/>
              </w:rPr>
              <w:t>64</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90" w:history="1">
            <w:r w:rsidR="006C6361" w:rsidRPr="003301AC">
              <w:rPr>
                <w:rStyle w:val="Hyperlink"/>
                <w:rFonts w:ascii="Arial" w:hAnsi="Arial" w:cs="Arial"/>
                <w:noProof/>
              </w:rPr>
              <w:t>7.1.2 Izvještavanje o sprovođenju NSBAP 2026-2031</w:t>
            </w:r>
            <w:r w:rsidR="006C6361">
              <w:rPr>
                <w:noProof/>
                <w:webHidden/>
              </w:rPr>
              <w:tab/>
            </w:r>
            <w:r w:rsidR="006C6361">
              <w:rPr>
                <w:noProof/>
                <w:webHidden/>
              </w:rPr>
              <w:fldChar w:fldCharType="begin"/>
            </w:r>
            <w:r w:rsidR="006C6361">
              <w:rPr>
                <w:noProof/>
                <w:webHidden/>
              </w:rPr>
              <w:instrText xml:space="preserve"> PAGEREF _Toc222754390 \h </w:instrText>
            </w:r>
            <w:r w:rsidR="006C6361">
              <w:rPr>
                <w:noProof/>
                <w:webHidden/>
              </w:rPr>
            </w:r>
            <w:r w:rsidR="006C6361">
              <w:rPr>
                <w:noProof/>
                <w:webHidden/>
              </w:rPr>
              <w:fldChar w:fldCharType="separate"/>
            </w:r>
            <w:r w:rsidR="006C6361">
              <w:rPr>
                <w:noProof/>
                <w:webHidden/>
              </w:rPr>
              <w:t>65</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91" w:history="1">
            <w:r w:rsidR="006C6361" w:rsidRPr="003301AC">
              <w:rPr>
                <w:rStyle w:val="Hyperlink"/>
                <w:rFonts w:ascii="Arial" w:hAnsi="Arial" w:cs="Arial"/>
                <w:noProof/>
              </w:rPr>
              <w:t>7.1.3 Operativno praćenje sprovođenja</w:t>
            </w:r>
            <w:r w:rsidR="006C6361">
              <w:rPr>
                <w:noProof/>
                <w:webHidden/>
              </w:rPr>
              <w:tab/>
            </w:r>
            <w:r w:rsidR="006C6361">
              <w:rPr>
                <w:noProof/>
                <w:webHidden/>
              </w:rPr>
              <w:fldChar w:fldCharType="begin"/>
            </w:r>
            <w:r w:rsidR="006C6361">
              <w:rPr>
                <w:noProof/>
                <w:webHidden/>
              </w:rPr>
              <w:instrText xml:space="preserve"> PAGEREF _Toc222754391 \h </w:instrText>
            </w:r>
            <w:r w:rsidR="006C6361">
              <w:rPr>
                <w:noProof/>
                <w:webHidden/>
              </w:rPr>
            </w:r>
            <w:r w:rsidR="006C6361">
              <w:rPr>
                <w:noProof/>
                <w:webHidden/>
              </w:rPr>
              <w:fldChar w:fldCharType="separate"/>
            </w:r>
            <w:r w:rsidR="006C6361">
              <w:rPr>
                <w:noProof/>
                <w:webHidden/>
              </w:rPr>
              <w:t>65</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92" w:history="1">
            <w:r w:rsidR="006C6361" w:rsidRPr="003301AC">
              <w:rPr>
                <w:rStyle w:val="Hyperlink"/>
                <w:rFonts w:ascii="Arial" w:hAnsi="Arial" w:cs="Arial"/>
                <w:noProof/>
              </w:rPr>
              <w:t>7.1.4 Završna evaluacija NSBAP 2026-2031</w:t>
            </w:r>
            <w:r w:rsidR="006C6361">
              <w:rPr>
                <w:noProof/>
                <w:webHidden/>
              </w:rPr>
              <w:tab/>
            </w:r>
            <w:r w:rsidR="006C6361">
              <w:rPr>
                <w:noProof/>
                <w:webHidden/>
              </w:rPr>
              <w:fldChar w:fldCharType="begin"/>
            </w:r>
            <w:r w:rsidR="006C6361">
              <w:rPr>
                <w:noProof/>
                <w:webHidden/>
              </w:rPr>
              <w:instrText xml:space="preserve"> PAGEREF _Toc222754392 \h </w:instrText>
            </w:r>
            <w:r w:rsidR="006C6361">
              <w:rPr>
                <w:noProof/>
                <w:webHidden/>
              </w:rPr>
            </w:r>
            <w:r w:rsidR="006C6361">
              <w:rPr>
                <w:noProof/>
                <w:webHidden/>
              </w:rPr>
              <w:fldChar w:fldCharType="separate"/>
            </w:r>
            <w:r w:rsidR="006C6361">
              <w:rPr>
                <w:noProof/>
                <w:webHidden/>
              </w:rPr>
              <w:t>65</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93" w:history="1">
            <w:r w:rsidR="006C6361" w:rsidRPr="003301AC">
              <w:rPr>
                <w:rStyle w:val="Hyperlink"/>
                <w:rFonts w:ascii="Arial" w:hAnsi="Arial" w:cs="Arial"/>
                <w:noProof/>
              </w:rPr>
              <w:t>7.2 Međunarodno praćenje i izvještavanje NSBAP 2026-2031</w:t>
            </w:r>
            <w:r w:rsidR="006C6361">
              <w:rPr>
                <w:noProof/>
                <w:webHidden/>
              </w:rPr>
              <w:tab/>
            </w:r>
            <w:r w:rsidR="006C6361">
              <w:rPr>
                <w:noProof/>
                <w:webHidden/>
              </w:rPr>
              <w:fldChar w:fldCharType="begin"/>
            </w:r>
            <w:r w:rsidR="006C6361">
              <w:rPr>
                <w:noProof/>
                <w:webHidden/>
              </w:rPr>
              <w:instrText xml:space="preserve"> PAGEREF _Toc222754393 \h </w:instrText>
            </w:r>
            <w:r w:rsidR="006C6361">
              <w:rPr>
                <w:noProof/>
                <w:webHidden/>
              </w:rPr>
            </w:r>
            <w:r w:rsidR="006C6361">
              <w:rPr>
                <w:noProof/>
                <w:webHidden/>
              </w:rPr>
              <w:fldChar w:fldCharType="separate"/>
            </w:r>
            <w:r w:rsidR="006C6361">
              <w:rPr>
                <w:noProof/>
                <w:webHidden/>
              </w:rPr>
              <w:t>66</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94" w:history="1">
            <w:r w:rsidR="006C6361" w:rsidRPr="003301AC">
              <w:rPr>
                <w:rStyle w:val="Hyperlink"/>
                <w:rFonts w:ascii="Arial" w:eastAsia="Arial" w:hAnsi="Arial" w:cs="Arial"/>
                <w:noProof/>
              </w:rPr>
              <w:t>VIII Komunikacija i participacija u procesu sprovođenja NSBAP 2026-2031</w:t>
            </w:r>
            <w:r w:rsidR="006C6361">
              <w:rPr>
                <w:noProof/>
                <w:webHidden/>
              </w:rPr>
              <w:tab/>
            </w:r>
            <w:r w:rsidR="006C6361">
              <w:rPr>
                <w:noProof/>
                <w:webHidden/>
              </w:rPr>
              <w:fldChar w:fldCharType="begin"/>
            </w:r>
            <w:r w:rsidR="006C6361">
              <w:rPr>
                <w:noProof/>
                <w:webHidden/>
              </w:rPr>
              <w:instrText xml:space="preserve"> PAGEREF _Toc222754394 \h </w:instrText>
            </w:r>
            <w:r w:rsidR="006C6361">
              <w:rPr>
                <w:noProof/>
                <w:webHidden/>
              </w:rPr>
            </w:r>
            <w:r w:rsidR="006C6361">
              <w:rPr>
                <w:noProof/>
                <w:webHidden/>
              </w:rPr>
              <w:fldChar w:fldCharType="separate"/>
            </w:r>
            <w:r w:rsidR="006C6361">
              <w:rPr>
                <w:noProof/>
                <w:webHidden/>
              </w:rPr>
              <w:t>66</w:t>
            </w:r>
            <w:r w:rsidR="006C6361">
              <w:rPr>
                <w:noProof/>
                <w:webHidden/>
              </w:rPr>
              <w:fldChar w:fldCharType="end"/>
            </w:r>
          </w:hyperlink>
        </w:p>
        <w:p w:rsidR="006C6361" w:rsidRDefault="00A26374">
          <w:pPr>
            <w:pStyle w:val="TOC1"/>
            <w:tabs>
              <w:tab w:val="right" w:leader="dot" w:pos="9061"/>
            </w:tabs>
            <w:rPr>
              <w:rFonts w:asciiTheme="minorHAnsi" w:eastAsiaTheme="minorEastAsia" w:hAnsiTheme="minorHAnsi" w:cstheme="minorBidi"/>
              <w:noProof/>
            </w:rPr>
          </w:pPr>
          <w:hyperlink w:anchor="_Toc222754395" w:history="1">
            <w:r w:rsidR="006C6361" w:rsidRPr="003301AC">
              <w:rPr>
                <w:rStyle w:val="Hyperlink"/>
                <w:rFonts w:ascii="Arial" w:eastAsia="Arial" w:hAnsi="Arial" w:cs="Arial"/>
                <w:noProof/>
              </w:rPr>
              <w:t>PRILOZI</w:t>
            </w:r>
            <w:r w:rsidR="006C6361">
              <w:rPr>
                <w:noProof/>
                <w:webHidden/>
              </w:rPr>
              <w:tab/>
            </w:r>
            <w:r w:rsidR="006C6361">
              <w:rPr>
                <w:noProof/>
                <w:webHidden/>
              </w:rPr>
              <w:fldChar w:fldCharType="begin"/>
            </w:r>
            <w:r w:rsidR="006C6361">
              <w:rPr>
                <w:noProof/>
                <w:webHidden/>
              </w:rPr>
              <w:instrText xml:space="preserve"> PAGEREF _Toc222754395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96" w:history="1">
            <w:r w:rsidR="006C6361" w:rsidRPr="003301AC">
              <w:rPr>
                <w:rStyle w:val="Hyperlink"/>
                <w:rFonts w:ascii="Arial" w:eastAsia="Arial" w:hAnsi="Arial" w:cs="Arial"/>
                <w:noProof/>
              </w:rPr>
              <w:t>Prilog I</w:t>
            </w:r>
            <w:r w:rsidR="006C6361">
              <w:rPr>
                <w:noProof/>
                <w:webHidden/>
              </w:rPr>
              <w:tab/>
            </w:r>
            <w:r w:rsidR="006C6361">
              <w:rPr>
                <w:noProof/>
                <w:webHidden/>
              </w:rPr>
              <w:fldChar w:fldCharType="begin"/>
            </w:r>
            <w:r w:rsidR="006C6361">
              <w:rPr>
                <w:noProof/>
                <w:webHidden/>
              </w:rPr>
              <w:instrText xml:space="preserve"> PAGEREF _Toc222754396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97" w:history="1">
            <w:r w:rsidR="006C6361" w:rsidRPr="003301AC">
              <w:rPr>
                <w:rStyle w:val="Hyperlink"/>
                <w:rFonts w:ascii="Arial" w:hAnsi="Arial" w:cs="Arial"/>
                <w:noProof/>
                <w:lang w:val="nl"/>
              </w:rPr>
              <w:t>Tabela 01 - Relacija NSBAP 2026-2031 sa relevantnim strateškim okvirom Crne Gore</w:t>
            </w:r>
            <w:r w:rsidR="006C6361">
              <w:rPr>
                <w:noProof/>
                <w:webHidden/>
              </w:rPr>
              <w:tab/>
            </w:r>
            <w:r w:rsidR="006C6361">
              <w:rPr>
                <w:noProof/>
                <w:webHidden/>
              </w:rPr>
              <w:fldChar w:fldCharType="begin"/>
            </w:r>
            <w:r w:rsidR="006C6361">
              <w:rPr>
                <w:noProof/>
                <w:webHidden/>
              </w:rPr>
              <w:instrText xml:space="preserve"> PAGEREF _Toc222754397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398" w:history="1">
            <w:r w:rsidR="006C6361" w:rsidRPr="003301AC">
              <w:rPr>
                <w:rStyle w:val="Hyperlink"/>
                <w:rFonts w:ascii="Arial" w:eastAsia="Arial" w:hAnsi="Arial" w:cs="Arial"/>
                <w:noProof/>
              </w:rPr>
              <w:t>Prilog II</w:t>
            </w:r>
            <w:r w:rsidR="006C6361">
              <w:rPr>
                <w:noProof/>
                <w:webHidden/>
              </w:rPr>
              <w:tab/>
            </w:r>
            <w:r w:rsidR="006C6361">
              <w:rPr>
                <w:noProof/>
                <w:webHidden/>
              </w:rPr>
              <w:fldChar w:fldCharType="begin"/>
            </w:r>
            <w:r w:rsidR="006C6361">
              <w:rPr>
                <w:noProof/>
                <w:webHidden/>
              </w:rPr>
              <w:instrText xml:space="preserve"> PAGEREF _Toc222754398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399" w:history="1">
            <w:r w:rsidR="006C6361" w:rsidRPr="003301AC">
              <w:rPr>
                <w:rStyle w:val="Hyperlink"/>
                <w:rFonts w:ascii="Arial" w:eastAsia="Arial" w:hAnsi="Arial" w:cs="Arial"/>
                <w:noProof/>
              </w:rPr>
              <w:t xml:space="preserve">Tabela 02 – </w:t>
            </w:r>
            <w:r w:rsidR="006C6361" w:rsidRPr="003301AC">
              <w:rPr>
                <w:rStyle w:val="Hyperlink"/>
                <w:rFonts w:ascii="Arial" w:hAnsi="Arial" w:cs="Arial"/>
                <w:noProof/>
                <w:lang w:val="nl"/>
              </w:rPr>
              <w:t>Relacija NSBAP 2026-2031 sa r</w:t>
            </w:r>
            <w:r w:rsidR="006C6361" w:rsidRPr="003301AC">
              <w:rPr>
                <w:rStyle w:val="Hyperlink"/>
                <w:rFonts w:ascii="Arial" w:eastAsia="Arial" w:hAnsi="Arial" w:cs="Arial"/>
                <w:noProof/>
              </w:rPr>
              <w:t>elevantnim zakonskim okvirom i njihova veza sa GBF</w:t>
            </w:r>
            <w:r w:rsidR="006C6361">
              <w:rPr>
                <w:noProof/>
                <w:webHidden/>
              </w:rPr>
              <w:tab/>
            </w:r>
            <w:r w:rsidR="006C6361">
              <w:rPr>
                <w:noProof/>
                <w:webHidden/>
              </w:rPr>
              <w:fldChar w:fldCharType="begin"/>
            </w:r>
            <w:r w:rsidR="006C6361">
              <w:rPr>
                <w:noProof/>
                <w:webHidden/>
              </w:rPr>
              <w:instrText xml:space="preserve"> PAGEREF _Toc222754399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400" w:history="1">
            <w:r w:rsidR="006C6361" w:rsidRPr="003301AC">
              <w:rPr>
                <w:rStyle w:val="Hyperlink"/>
                <w:rFonts w:ascii="Arial" w:hAnsi="Arial" w:cs="Arial"/>
                <w:noProof/>
              </w:rPr>
              <w:t>Prilog V</w:t>
            </w:r>
            <w:r w:rsidR="006C6361">
              <w:rPr>
                <w:noProof/>
                <w:webHidden/>
              </w:rPr>
              <w:tab/>
            </w:r>
            <w:r w:rsidR="006C6361">
              <w:rPr>
                <w:noProof/>
                <w:webHidden/>
              </w:rPr>
              <w:fldChar w:fldCharType="begin"/>
            </w:r>
            <w:r w:rsidR="006C6361">
              <w:rPr>
                <w:noProof/>
                <w:webHidden/>
              </w:rPr>
              <w:instrText xml:space="preserve"> PAGEREF _Toc222754400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401" w:history="1">
            <w:r w:rsidR="006C6361" w:rsidRPr="003301AC">
              <w:rPr>
                <w:rStyle w:val="Hyperlink"/>
                <w:rFonts w:ascii="Arial" w:hAnsi="Arial" w:cs="Arial"/>
                <w:noProof/>
              </w:rPr>
              <w:t>Tabela 03– Drvo problema - tabelarni prikaz</w:t>
            </w:r>
            <w:r w:rsidR="006C6361">
              <w:rPr>
                <w:noProof/>
                <w:webHidden/>
              </w:rPr>
              <w:tab/>
            </w:r>
            <w:r w:rsidR="006C6361">
              <w:rPr>
                <w:noProof/>
                <w:webHidden/>
              </w:rPr>
              <w:fldChar w:fldCharType="begin"/>
            </w:r>
            <w:r w:rsidR="006C6361">
              <w:rPr>
                <w:noProof/>
                <w:webHidden/>
              </w:rPr>
              <w:instrText xml:space="preserve"> PAGEREF _Toc222754401 \h </w:instrText>
            </w:r>
            <w:r w:rsidR="006C6361">
              <w:rPr>
                <w:noProof/>
                <w:webHidden/>
              </w:rPr>
            </w:r>
            <w:r w:rsidR="006C6361">
              <w:rPr>
                <w:noProof/>
                <w:webHidden/>
              </w:rPr>
              <w:fldChar w:fldCharType="separate"/>
            </w:r>
            <w:r w:rsidR="006C6361">
              <w:rPr>
                <w:noProof/>
                <w:webHidden/>
              </w:rPr>
              <w:t>1</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402" w:history="1">
            <w:r w:rsidR="006C6361" w:rsidRPr="003301AC">
              <w:rPr>
                <w:rStyle w:val="Hyperlink"/>
                <w:rFonts w:ascii="Arial" w:hAnsi="Arial" w:cs="Arial"/>
                <w:noProof/>
              </w:rPr>
              <w:t>Tabela 04– Drvo rješenja - tabelarni prikaz</w:t>
            </w:r>
            <w:r w:rsidR="006C6361">
              <w:rPr>
                <w:noProof/>
                <w:webHidden/>
              </w:rPr>
              <w:tab/>
            </w:r>
            <w:r w:rsidR="006C6361">
              <w:rPr>
                <w:noProof/>
                <w:webHidden/>
              </w:rPr>
              <w:fldChar w:fldCharType="begin"/>
            </w:r>
            <w:r w:rsidR="006C6361">
              <w:rPr>
                <w:noProof/>
                <w:webHidden/>
              </w:rPr>
              <w:instrText xml:space="preserve"> PAGEREF _Toc222754402 \h </w:instrText>
            </w:r>
            <w:r w:rsidR="006C6361">
              <w:rPr>
                <w:noProof/>
                <w:webHidden/>
              </w:rPr>
            </w:r>
            <w:r w:rsidR="006C6361">
              <w:rPr>
                <w:noProof/>
                <w:webHidden/>
              </w:rPr>
              <w:fldChar w:fldCharType="separate"/>
            </w:r>
            <w:r w:rsidR="006C6361">
              <w:rPr>
                <w:noProof/>
                <w:webHidden/>
              </w:rPr>
              <w:t>5</w:t>
            </w:r>
            <w:r w:rsidR="006C6361">
              <w:rPr>
                <w:noProof/>
                <w:webHidden/>
              </w:rPr>
              <w:fldChar w:fldCharType="end"/>
            </w:r>
          </w:hyperlink>
        </w:p>
        <w:p w:rsidR="006C6361" w:rsidRDefault="00A26374">
          <w:pPr>
            <w:pStyle w:val="TOC2"/>
            <w:tabs>
              <w:tab w:val="right" w:leader="dot" w:pos="9061"/>
            </w:tabs>
            <w:rPr>
              <w:rFonts w:asciiTheme="minorHAnsi" w:eastAsiaTheme="minorEastAsia" w:hAnsiTheme="minorHAnsi" w:cstheme="minorBidi"/>
              <w:noProof/>
            </w:rPr>
          </w:pPr>
          <w:hyperlink w:anchor="_Toc222754403" w:history="1">
            <w:r w:rsidR="006C6361" w:rsidRPr="003301AC">
              <w:rPr>
                <w:rStyle w:val="Hyperlink"/>
                <w:rFonts w:ascii="Arial" w:hAnsi="Arial" w:cs="Arial"/>
                <w:noProof/>
              </w:rPr>
              <w:t>Prilog VI</w:t>
            </w:r>
            <w:r w:rsidR="006C6361">
              <w:rPr>
                <w:noProof/>
                <w:webHidden/>
              </w:rPr>
              <w:tab/>
            </w:r>
            <w:r w:rsidR="006C6361">
              <w:rPr>
                <w:noProof/>
                <w:webHidden/>
              </w:rPr>
              <w:fldChar w:fldCharType="begin"/>
            </w:r>
            <w:r w:rsidR="006C6361">
              <w:rPr>
                <w:noProof/>
                <w:webHidden/>
              </w:rPr>
              <w:instrText xml:space="preserve"> PAGEREF _Toc222754403 \h </w:instrText>
            </w:r>
            <w:r w:rsidR="006C6361">
              <w:rPr>
                <w:noProof/>
                <w:webHidden/>
              </w:rPr>
            </w:r>
            <w:r w:rsidR="006C6361">
              <w:rPr>
                <w:noProof/>
                <w:webHidden/>
              </w:rPr>
              <w:fldChar w:fldCharType="separate"/>
            </w:r>
            <w:r w:rsidR="006C6361">
              <w:rPr>
                <w:noProof/>
                <w:webHidden/>
              </w:rPr>
              <w:t>9</w:t>
            </w:r>
            <w:r w:rsidR="006C6361">
              <w:rPr>
                <w:noProof/>
                <w:webHidden/>
              </w:rPr>
              <w:fldChar w:fldCharType="end"/>
            </w:r>
          </w:hyperlink>
        </w:p>
        <w:p w:rsidR="006C6361" w:rsidRDefault="00A26374">
          <w:pPr>
            <w:pStyle w:val="TOC3"/>
            <w:tabs>
              <w:tab w:val="right" w:leader="dot" w:pos="9061"/>
            </w:tabs>
            <w:rPr>
              <w:rFonts w:asciiTheme="minorHAnsi" w:eastAsiaTheme="minorEastAsia" w:hAnsiTheme="minorHAnsi" w:cstheme="minorBidi"/>
              <w:noProof/>
            </w:rPr>
          </w:pPr>
          <w:hyperlink w:anchor="_Toc222754404" w:history="1">
            <w:r w:rsidR="006C6361" w:rsidRPr="003301AC">
              <w:rPr>
                <w:rStyle w:val="Hyperlink"/>
                <w:rFonts w:ascii="Arial" w:hAnsi="Arial" w:cs="Arial"/>
                <w:noProof/>
              </w:rPr>
              <w:t>Tabela 05 – Tabelarni prikaz analize zainteresovanih strana</w:t>
            </w:r>
            <w:r w:rsidR="006C6361">
              <w:rPr>
                <w:noProof/>
                <w:webHidden/>
              </w:rPr>
              <w:tab/>
            </w:r>
            <w:r w:rsidR="006C6361">
              <w:rPr>
                <w:noProof/>
                <w:webHidden/>
              </w:rPr>
              <w:fldChar w:fldCharType="begin"/>
            </w:r>
            <w:r w:rsidR="006C6361">
              <w:rPr>
                <w:noProof/>
                <w:webHidden/>
              </w:rPr>
              <w:instrText xml:space="preserve"> PAGEREF _Toc222754404 \h </w:instrText>
            </w:r>
            <w:r w:rsidR="006C6361">
              <w:rPr>
                <w:noProof/>
                <w:webHidden/>
              </w:rPr>
            </w:r>
            <w:r w:rsidR="006C6361">
              <w:rPr>
                <w:noProof/>
                <w:webHidden/>
              </w:rPr>
              <w:fldChar w:fldCharType="separate"/>
            </w:r>
            <w:r w:rsidR="006C6361">
              <w:rPr>
                <w:noProof/>
                <w:webHidden/>
              </w:rPr>
              <w:t>9</w:t>
            </w:r>
            <w:r w:rsidR="006C6361">
              <w:rPr>
                <w:noProof/>
                <w:webHidden/>
              </w:rPr>
              <w:fldChar w:fldCharType="end"/>
            </w:r>
          </w:hyperlink>
        </w:p>
        <w:p w:rsidR="00E47E1B" w:rsidRDefault="00E47E1B">
          <w:r>
            <w:rPr>
              <w:b/>
              <w:bCs/>
              <w:noProof/>
            </w:rPr>
            <w:fldChar w:fldCharType="end"/>
          </w:r>
        </w:p>
      </w:sdtContent>
    </w:sdt>
    <w:p w:rsidR="00D14804" w:rsidRDefault="00D14804">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D02DC0" w:rsidRDefault="00D02DC0" w:rsidP="00E47E1B">
      <w:pPr>
        <w:pStyle w:val="Heading1"/>
        <w:rPr>
          <w:rFonts w:ascii="Arial" w:eastAsia="Arial" w:hAnsi="Arial" w:cs="Arial"/>
          <w:sz w:val="40"/>
          <w:szCs w:val="40"/>
          <w:highlight w:val="yellow"/>
        </w:rPr>
      </w:pPr>
    </w:p>
    <w:p w:rsidR="00D02DC0" w:rsidRDefault="00D02DC0" w:rsidP="00E47E1B">
      <w:pPr>
        <w:pStyle w:val="Heading1"/>
        <w:rPr>
          <w:rFonts w:ascii="Arial" w:eastAsia="Arial" w:hAnsi="Arial" w:cs="Arial"/>
          <w:sz w:val="40"/>
          <w:szCs w:val="40"/>
          <w:highlight w:val="yellow"/>
        </w:rPr>
      </w:pPr>
    </w:p>
    <w:p w:rsidR="00E20EB9" w:rsidRDefault="00E20EB9" w:rsidP="00E47E1B">
      <w:pPr>
        <w:pStyle w:val="Heading1"/>
        <w:rPr>
          <w:rFonts w:ascii="Arial" w:eastAsia="Arial" w:hAnsi="Arial" w:cs="Arial"/>
          <w:sz w:val="40"/>
          <w:szCs w:val="40"/>
          <w:highlight w:val="yellow"/>
        </w:rPr>
      </w:pPr>
    </w:p>
    <w:p w:rsidR="00E20EB9" w:rsidRDefault="00E20EB9" w:rsidP="00E47E1B">
      <w:pPr>
        <w:pStyle w:val="Heading1"/>
        <w:rPr>
          <w:rFonts w:ascii="Arial" w:eastAsia="Arial" w:hAnsi="Arial" w:cs="Arial"/>
          <w:sz w:val="40"/>
          <w:szCs w:val="40"/>
          <w:highlight w:val="yellow"/>
        </w:rPr>
      </w:pPr>
    </w:p>
    <w:p w:rsidR="00E47E1B" w:rsidRDefault="00E47E1B" w:rsidP="00E47E1B">
      <w:pPr>
        <w:pStyle w:val="Heading1"/>
        <w:rPr>
          <w:rFonts w:ascii="Arial" w:eastAsia="Arial" w:hAnsi="Arial" w:cs="Arial"/>
          <w:sz w:val="40"/>
          <w:szCs w:val="40"/>
        </w:rPr>
      </w:pPr>
      <w:bookmarkStart w:id="2" w:name="_Toc222754351"/>
      <w:r w:rsidRPr="00556B80">
        <w:rPr>
          <w:rFonts w:ascii="Arial" w:eastAsia="Arial" w:hAnsi="Arial" w:cs="Arial"/>
          <w:sz w:val="40"/>
          <w:szCs w:val="40"/>
        </w:rPr>
        <w:t>Rezime</w:t>
      </w:r>
      <w:bookmarkEnd w:id="2"/>
    </w:p>
    <w:p w:rsidR="00F173F5" w:rsidRDefault="00F173F5" w:rsidP="00F173F5"/>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Biodiverzitet Crne Gore predstavlja jedan od najvrednijih prirodnih kapitala države i temelj njenog dugoročnog društvenog i ekonomskog razvoja. Geografski položaj na spoju mediteranske i kontinentalne biogeografske regije, izražena reljefna raznovrsnost, prisustvo morskih, slatkovodnih, planinskih i krških ekosistema, kao i očuvani prirodni predjeli, svrstavaju Crnu Goru među biološki najraznovrsnije zemlje Evrope. Visok stepen endemizma, bogatstvo vrsta i značajan broj međunarodno zaštićenih staništa i taksona potvrđuju globalni značaj prirodnog nasljeđa Crne Gore i njenu odgovornost u njegovom očuvanju.</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Međutim, uprkos ovom izuzetnom prirodnom bogatstvu, dostupni podaci, sektorske analize i rezultati konsultativnog procesa ukazuju na kontinuirani trend degradacije ekosistema i smanjenja biološke raznovrsnosti. Gubitak i fragmentacija staništa, smanjenje brojnosti i rasprostranjenja pojedinih vrsta, degradacija vodnih i šumskih sistema, urbanizacija obalnog područja, neodrživo korišćenje prirodnih resursa, zagađenje, klimatske promjene i širenje invazivnih vrsta predstavljaju ključne direktne i indirektne pritiske na prirodu. Dodatni izazov predstavlja nedovoljna integracija ciljeva očuvanja biodiverziteta u sektorske politike i razvojno planiranje, usljed čega kumulativni uticaji ekonomskih aktivnosti često nijesu adekvatno prepoznati niti sistemski upravljani.</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Analiza sprovođenja prethodne Nacionalne strategije biodiverziteta (2016–2020) pokazuje da je ostvaren napredak u unapređenju zakonodavnog i institucionalnog okvira, proširenju sistema zaštićenih područja, razvoju međunarodne saradnje i podizanju javne svijesti. Ipak, realizacija planiranih mjera bila je djelimična, a ostvareni rezultati nijesu bili dovoljni da zaustave negativne trendove. Ključna sistemska ograničenja identifikovana su u nedostatku stabilnih i dugoročnih finansijskih mehanizama, snažnoj zavisnosti od projektnog finansiranja, fragmentisanoj institucionalnoj odgovornosti, nedovoljnoj međusektorskoj koordinaciji i slabom sistemu monitoringa i upravljanja podacima. Neujednačene metodologije, nedostatak standardizovanih protokola i odsustvo funkcionalne nacionalne baze podataka dodatno otežavaju donošenje odluka zasnovanih na dokazima i procjenu efekata javnih politika.</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Nacionalna strategija biodiverziteta 2026–2031 sa Akcionim planom 2026–2028 uspostavlja novi, integrisani strateški okvir za zaustavljanje gubitka biodiverziteta i obnovu degradiranih ekosistema. Strategija je u potpunosti usklađena sa Kunming–Montreal Global Biodiversity Framework, pravnom tekovinom Evropske unije, posebno Direktivom o staništima i Direktivom o pticama, kao i sa ciljevima EU Strategije biodiverziteta do 2030. godine i novim EU Zakonom o obnovi prirode. Time NSBAP predstavlja ključni instrument za ispunjavanje međunarodnih obaveza Crne Gore, kao i važan element pregovaračkog procesa u okviru Poglavlja 27.</w:t>
      </w:r>
    </w:p>
    <w:p w:rsidR="00672EF4" w:rsidRDefault="00672EF4" w:rsidP="00672EF4">
      <w:pPr>
        <w:pStyle w:val="NormalWeb"/>
        <w:jc w:val="both"/>
        <w:rPr>
          <w:rFonts w:ascii="Arial" w:hAnsi="Arial" w:cs="Arial"/>
          <w:sz w:val="22"/>
          <w:szCs w:val="22"/>
        </w:rPr>
      </w:pPr>
      <w:r w:rsidRPr="00672EF4">
        <w:rPr>
          <w:rFonts w:ascii="Arial" w:hAnsi="Arial" w:cs="Arial"/>
          <w:sz w:val="22"/>
          <w:szCs w:val="22"/>
        </w:rPr>
        <w:t>Strategija definiše jasne strateške i operativne ciljeve, mjerljive indikatore i prioritetne mjere usmjerene na:</w:t>
      </w:r>
    </w:p>
    <w:p w:rsid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t>proširenje i unapređenje efektivnosti upravljanja zaštićenim područjima i područjima sa efikasnim mjerama zaštite (OECM);</w:t>
      </w:r>
    </w:p>
    <w:p w:rsid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t>restauraciju degradiranih kopnenih, slatkovodnih i morskih ekosistema;</w:t>
      </w:r>
    </w:p>
    <w:p w:rsid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t>smanjenje pritisaka na biodiverzitet kroz integraciju ekoloških kriterijuma u prostorno planiranje, energetiku, turizam, poljoprivredu, šumarstvo, vodoprivredu, ribarstvo i infrastrukturu;</w:t>
      </w:r>
    </w:p>
    <w:p w:rsid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lastRenderedPageBreak/>
        <w:t>uspostavljanje funkcionalnog, standardizovanog i interoperabilnog sistema monitoringa i upravljanja podacima;</w:t>
      </w:r>
    </w:p>
    <w:p w:rsid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t>razvoj stabilnih finansijskih mehanizama za biodiverzitet, u skladu sa principima BIOFIN pristupa;</w:t>
      </w:r>
    </w:p>
    <w:p w:rsidR="00672EF4" w:rsidRPr="00672EF4" w:rsidRDefault="00672EF4" w:rsidP="008166A6">
      <w:pPr>
        <w:pStyle w:val="NormalWeb"/>
        <w:numPr>
          <w:ilvl w:val="0"/>
          <w:numId w:val="46"/>
        </w:numPr>
        <w:jc w:val="both"/>
        <w:rPr>
          <w:rFonts w:ascii="Arial" w:hAnsi="Arial" w:cs="Arial"/>
          <w:sz w:val="22"/>
          <w:szCs w:val="22"/>
        </w:rPr>
      </w:pPr>
      <w:r w:rsidRPr="00672EF4">
        <w:rPr>
          <w:rFonts w:ascii="Arial" w:hAnsi="Arial" w:cs="Arial"/>
          <w:sz w:val="22"/>
          <w:szCs w:val="22"/>
        </w:rPr>
        <w:t>jačanje institucionalnih kapaciteta i međusektorske koordinacije.</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Poseban akcenat stavljen je na rodnu ravnopravnost, socijalnu inkluziju i aktivno učešće lokalnih zajednica, uključujući žene, mlade</w:t>
      </w:r>
      <w:r w:rsidR="00965757">
        <w:rPr>
          <w:rFonts w:ascii="Arial" w:hAnsi="Arial" w:cs="Arial"/>
          <w:sz w:val="22"/>
          <w:szCs w:val="22"/>
        </w:rPr>
        <w:t>, djecu</w:t>
      </w:r>
      <w:r w:rsidRPr="00672EF4">
        <w:rPr>
          <w:rFonts w:ascii="Arial" w:hAnsi="Arial" w:cs="Arial"/>
          <w:sz w:val="22"/>
          <w:szCs w:val="22"/>
        </w:rPr>
        <w:t xml:space="preserve"> i druge ranjive grupe, u procesima upravljanja prirodnim resursima. Strategija promoviše pravičnu raspodjelu koristi, participativno upravljanje i primjenu principa slobodnog, prethodnog i informisanog pristanka, gdje je to primjenjivo. Ujedno, uvodi sistemski pristup „biodiversity-proofing“, kojim se razvojne politike i planovi procjenjuju u odnosu na njihove potencijalne uticaje na biodiverzitet, uz pravovremeno prepoznavanje i umanjenje rizika.</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 xml:space="preserve">NSBAP 2026–2031 postavlja temelje za prelazak sa parcijalnog i sektorskog pristupa na integrisano upravljanje prirodnim kapitalom, zasnovano na podacima, ekosistemskom pristupu i rješenjima zasnovanim na prirodi. Njena implementacija doprinijeće </w:t>
      </w:r>
      <w:r w:rsidR="00965757">
        <w:rPr>
          <w:rFonts w:ascii="Arial" w:hAnsi="Arial" w:cs="Arial"/>
          <w:sz w:val="22"/>
          <w:szCs w:val="22"/>
        </w:rPr>
        <w:t>očuvanju i zaštiti</w:t>
      </w:r>
      <w:r w:rsidRPr="00672EF4">
        <w:rPr>
          <w:rFonts w:ascii="Arial" w:hAnsi="Arial" w:cs="Arial"/>
          <w:sz w:val="22"/>
          <w:szCs w:val="22"/>
        </w:rPr>
        <w:t xml:space="preserve"> ekosistema, smanjenju dugoročnih ekoloških i ekonomskih troškova degradacije prirode i unapređenju kvaliteta života građana.</w:t>
      </w:r>
    </w:p>
    <w:p w:rsidR="00672EF4" w:rsidRPr="00672EF4" w:rsidRDefault="00672EF4" w:rsidP="00672EF4">
      <w:pPr>
        <w:pStyle w:val="NormalWeb"/>
        <w:jc w:val="both"/>
        <w:rPr>
          <w:rFonts w:ascii="Arial" w:hAnsi="Arial" w:cs="Arial"/>
          <w:sz w:val="22"/>
          <w:szCs w:val="22"/>
        </w:rPr>
      </w:pPr>
      <w:r w:rsidRPr="00672EF4">
        <w:rPr>
          <w:rFonts w:ascii="Arial" w:hAnsi="Arial" w:cs="Arial"/>
          <w:sz w:val="22"/>
          <w:szCs w:val="22"/>
        </w:rPr>
        <w:t xml:space="preserve">Uspjeh Strategije zavisiće od dosljedne primjene pravnog okvira, stabilnog i predvidivog finansiranja, jačanja stručnih kapaciteta i snažne političke podrške za integraciju biodiverziteta u sve </w:t>
      </w:r>
      <w:r w:rsidR="0011449C">
        <w:rPr>
          <w:rFonts w:ascii="Arial" w:hAnsi="Arial" w:cs="Arial"/>
          <w:sz w:val="22"/>
          <w:szCs w:val="22"/>
        </w:rPr>
        <w:t xml:space="preserve">odluke i </w:t>
      </w:r>
      <w:r w:rsidRPr="00672EF4">
        <w:rPr>
          <w:rFonts w:ascii="Arial" w:hAnsi="Arial" w:cs="Arial"/>
          <w:sz w:val="22"/>
          <w:szCs w:val="22"/>
        </w:rPr>
        <w:t>sektorske politike. NSBAP time predstavlja ključni instrument za ostvarivanje cilja zaustavljanja gubitka biodiverziteta do 2030. godine i doprinos viziji „života u skladu sa prirodom“ do 2050. godine, pozicionirajući biodiverzitet kao centralni stub održivog razvoja i evropske integracije Crne Gore.</w:t>
      </w:r>
    </w:p>
    <w:p w:rsidR="00E47E1B" w:rsidRPr="00672EF4" w:rsidRDefault="00E47E1B" w:rsidP="00672EF4">
      <w:pPr>
        <w:pBdr>
          <w:top w:val="nil"/>
          <w:left w:val="nil"/>
          <w:bottom w:val="nil"/>
          <w:right w:val="nil"/>
          <w:between w:val="nil"/>
        </w:pBdr>
        <w:spacing w:after="0"/>
        <w:jc w:val="both"/>
        <w:rPr>
          <w:rFonts w:ascii="Arial" w:eastAsia="Arial" w:hAnsi="Arial" w:cs="Arial"/>
          <w:b/>
          <w:bCs/>
          <w:i/>
          <w:iCs/>
        </w:rPr>
      </w:pPr>
    </w:p>
    <w:p w:rsidR="00E47E1B" w:rsidRPr="00672EF4" w:rsidRDefault="00E47E1B" w:rsidP="00672EF4">
      <w:pPr>
        <w:pBdr>
          <w:top w:val="nil"/>
          <w:left w:val="nil"/>
          <w:bottom w:val="nil"/>
          <w:right w:val="nil"/>
          <w:between w:val="nil"/>
        </w:pBdr>
        <w:spacing w:after="0"/>
        <w:jc w:val="both"/>
        <w:rPr>
          <w:rFonts w:ascii="Arial" w:eastAsia="Arial" w:hAnsi="Arial" w:cs="Arial"/>
          <w:b/>
          <w:bCs/>
          <w:i/>
          <w:iCs/>
        </w:rPr>
      </w:pPr>
    </w:p>
    <w:p w:rsidR="00E47E1B" w:rsidRPr="00672EF4" w:rsidRDefault="00E47E1B" w:rsidP="00672EF4">
      <w:pPr>
        <w:pBdr>
          <w:top w:val="nil"/>
          <w:left w:val="nil"/>
          <w:bottom w:val="nil"/>
          <w:right w:val="nil"/>
          <w:between w:val="nil"/>
        </w:pBdr>
        <w:spacing w:after="0"/>
        <w:jc w:val="both"/>
        <w:rPr>
          <w:rFonts w:ascii="Arial" w:eastAsia="Arial" w:hAnsi="Arial" w:cs="Arial"/>
          <w:b/>
          <w:bCs/>
          <w:i/>
          <w:iCs/>
        </w:rPr>
      </w:pPr>
    </w:p>
    <w:p w:rsidR="00E47E1B" w:rsidRPr="00672EF4" w:rsidRDefault="00E47E1B" w:rsidP="00672EF4">
      <w:pPr>
        <w:pBdr>
          <w:top w:val="nil"/>
          <w:left w:val="nil"/>
          <w:bottom w:val="nil"/>
          <w:right w:val="nil"/>
          <w:between w:val="nil"/>
        </w:pBdr>
        <w:spacing w:after="0"/>
        <w:jc w:val="both"/>
        <w:rPr>
          <w:rFonts w:ascii="Arial" w:eastAsia="Arial" w:hAnsi="Arial" w:cs="Arial"/>
          <w:b/>
          <w:bCs/>
          <w:i/>
          <w:iCs/>
        </w:rPr>
      </w:pPr>
    </w:p>
    <w:p w:rsidR="00E47E1B" w:rsidRPr="00672EF4" w:rsidRDefault="00E47E1B" w:rsidP="00672EF4">
      <w:pPr>
        <w:pBdr>
          <w:top w:val="nil"/>
          <w:left w:val="nil"/>
          <w:bottom w:val="nil"/>
          <w:right w:val="nil"/>
          <w:between w:val="nil"/>
        </w:pBdr>
        <w:spacing w:after="0"/>
        <w:jc w:val="both"/>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47E1B" w:rsidRDefault="00E47E1B">
      <w:pPr>
        <w:pBdr>
          <w:top w:val="nil"/>
          <w:left w:val="nil"/>
          <w:bottom w:val="nil"/>
          <w:right w:val="nil"/>
          <w:between w:val="nil"/>
        </w:pBdr>
        <w:spacing w:after="0"/>
        <w:rPr>
          <w:rFonts w:ascii="Arial" w:eastAsia="Arial" w:hAnsi="Arial" w:cs="Arial"/>
          <w:b/>
          <w:bCs/>
          <w:i/>
          <w:iCs/>
        </w:rPr>
      </w:pPr>
    </w:p>
    <w:p w:rsidR="00E20EB9" w:rsidRDefault="00E20EB9">
      <w:pPr>
        <w:pBdr>
          <w:top w:val="nil"/>
          <w:left w:val="nil"/>
          <w:bottom w:val="nil"/>
          <w:right w:val="nil"/>
          <w:between w:val="nil"/>
        </w:pBdr>
        <w:spacing w:after="0"/>
        <w:rPr>
          <w:rFonts w:ascii="Arial" w:eastAsia="Arial" w:hAnsi="Arial" w:cs="Arial"/>
          <w:b/>
          <w:bCs/>
          <w:i/>
          <w:iCs/>
        </w:rPr>
      </w:pPr>
    </w:p>
    <w:p w:rsidR="00D14804" w:rsidRDefault="00D14804">
      <w:pPr>
        <w:pBdr>
          <w:top w:val="nil"/>
          <w:left w:val="nil"/>
          <w:bottom w:val="nil"/>
          <w:right w:val="nil"/>
          <w:between w:val="nil"/>
        </w:pBdr>
        <w:spacing w:after="0"/>
        <w:rPr>
          <w:rFonts w:ascii="Arial" w:eastAsia="Arial" w:hAnsi="Arial" w:cs="Arial"/>
          <w:b/>
          <w:bCs/>
          <w:i/>
          <w:iCs/>
        </w:rPr>
      </w:pPr>
    </w:p>
    <w:p w:rsidR="00D14804" w:rsidRPr="004A03A5" w:rsidRDefault="00E47E1B">
      <w:pPr>
        <w:pStyle w:val="Heading1"/>
        <w:rPr>
          <w:rFonts w:ascii="Arial" w:hAnsi="Arial" w:cs="Arial"/>
          <w:sz w:val="40"/>
          <w:szCs w:val="40"/>
        </w:rPr>
      </w:pPr>
      <w:bookmarkStart w:id="3" w:name="_Toc222754352"/>
      <w:r w:rsidRPr="004A03A5">
        <w:rPr>
          <w:rFonts w:ascii="Arial" w:hAnsi="Arial" w:cs="Arial"/>
          <w:sz w:val="40"/>
          <w:szCs w:val="40"/>
        </w:rPr>
        <w:t>I UVOD</w:t>
      </w:r>
      <w:bookmarkEnd w:id="3"/>
      <w:r w:rsidRPr="004A03A5">
        <w:rPr>
          <w:rFonts w:ascii="Arial" w:hAnsi="Arial" w:cs="Arial"/>
          <w:sz w:val="40"/>
          <w:szCs w:val="40"/>
        </w:rPr>
        <w:t xml:space="preserve"> </w:t>
      </w:r>
    </w:p>
    <w:p w:rsidR="00D14804" w:rsidRDefault="00D14804">
      <w:pPr>
        <w:pBdr>
          <w:top w:val="nil"/>
          <w:left w:val="nil"/>
          <w:bottom w:val="nil"/>
          <w:right w:val="nil"/>
          <w:between w:val="nil"/>
        </w:pBdr>
        <w:spacing w:after="0"/>
        <w:rPr>
          <w:rFonts w:ascii="Arial" w:eastAsia="Arial" w:hAnsi="Arial" w:cs="Arial"/>
          <w:b/>
          <w:bCs/>
          <w:color w:val="000000"/>
        </w:rPr>
      </w:pPr>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Biodiverzitet predstavlja živu komponentu planetarnog sistema i obuhvata raznovrsnost gena, vrsta i ekosistema koji omogućavaju prirodne procese koji podržavaju ukupni život na Zemlji, čineći je nastanjivom. </w:t>
      </w:r>
    </w:p>
    <w:p w:rsidR="00D14804" w:rsidRDefault="00D14804">
      <w:pPr>
        <w:pBdr>
          <w:top w:val="nil"/>
          <w:left w:val="nil"/>
          <w:bottom w:val="nil"/>
          <w:right w:val="nil"/>
          <w:between w:val="nil"/>
        </w:pBdr>
        <w:spacing w:after="0" w:line="240" w:lineRule="auto"/>
        <w:jc w:val="both"/>
        <w:rPr>
          <w:rFonts w:ascii="Arial" w:eastAsia="Arial" w:hAnsi="Arial" w:cs="Arial"/>
          <w:color w:val="000000"/>
        </w:rPr>
      </w:pPr>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Biodiverzitet je temelj ljudskog blagostanja, zdravlja planete i ekonomske dobrobiti svih ljudi, uključujući život u ravnoteži i harmoniji s </w:t>
      </w:r>
      <w:r>
        <w:rPr>
          <w:rFonts w:ascii="Arial" w:eastAsia="Arial" w:hAnsi="Arial" w:cs="Arial"/>
          <w:i/>
          <w:iCs/>
          <w:color w:val="000000"/>
        </w:rPr>
        <w:t>„Majkom Prirodom“</w:t>
      </w:r>
      <w:r>
        <w:rPr>
          <w:rFonts w:ascii="Arial" w:eastAsia="Arial" w:hAnsi="Arial" w:cs="Arial"/>
          <w:color w:val="000000"/>
        </w:rPr>
        <w:t>.</w:t>
      </w:r>
    </w:p>
    <w:p w:rsidR="00D14804" w:rsidRDefault="00D14804">
      <w:pPr>
        <w:pBdr>
          <w:top w:val="nil"/>
          <w:left w:val="nil"/>
          <w:bottom w:val="nil"/>
          <w:right w:val="nil"/>
          <w:between w:val="nil"/>
        </w:pBdr>
        <w:spacing w:after="0" w:line="240" w:lineRule="auto"/>
        <w:jc w:val="both"/>
        <w:rPr>
          <w:rFonts w:ascii="Arial" w:eastAsia="Arial" w:hAnsi="Arial" w:cs="Arial"/>
          <w:color w:val="000000"/>
        </w:rPr>
      </w:pPr>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On nam obezbjeđuje čist vazduh i vodu, hranu, lijek, energiju, zaštitu od prirodnih katastrofa, kao i kulturnu i rekreativnu inspiraciju.</w:t>
      </w:r>
    </w:p>
    <w:p w:rsidR="00D14804" w:rsidRDefault="00D14804">
      <w:pPr>
        <w:pBdr>
          <w:top w:val="nil"/>
          <w:left w:val="nil"/>
          <w:bottom w:val="nil"/>
          <w:right w:val="nil"/>
          <w:between w:val="nil"/>
        </w:pBdr>
        <w:spacing w:after="0" w:line="240" w:lineRule="auto"/>
        <w:jc w:val="both"/>
        <w:rPr>
          <w:rFonts w:ascii="Arial" w:eastAsia="Arial" w:hAnsi="Arial" w:cs="Arial"/>
          <w:color w:val="000000"/>
        </w:rPr>
      </w:pPr>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Priroda i biodiverzitet predstavljaju ključni prirodni kapital Crne Gore i osnov njenog održivog razvoja, a njihovo kontinuirano narušavanje predstavlja direktnu prijetnju ekonomskom razvoju, društvenoj otpornosti i ukupnoj sigurnosti životne sredine.</w:t>
      </w:r>
    </w:p>
    <w:p w:rsidR="00D14804" w:rsidRDefault="00D14804">
      <w:pPr>
        <w:spacing w:after="0" w:line="240" w:lineRule="auto"/>
        <w:jc w:val="both"/>
        <w:rPr>
          <w:rFonts w:ascii="Arial" w:eastAsia="Arial" w:hAnsi="Arial" w:cs="Arial"/>
          <w:color w:val="000000"/>
        </w:rPr>
      </w:pPr>
    </w:p>
    <w:p w:rsidR="00D14804" w:rsidRDefault="00E47E1B">
      <w:pPr>
        <w:spacing w:after="0" w:line="240" w:lineRule="auto"/>
        <w:jc w:val="both"/>
        <w:rPr>
          <w:rFonts w:ascii="Arial" w:eastAsia="Arial" w:hAnsi="Arial" w:cs="Arial"/>
          <w:color w:val="000000"/>
        </w:rPr>
      </w:pPr>
      <w:r>
        <w:rPr>
          <w:rFonts w:ascii="Arial" w:eastAsia="Arial" w:hAnsi="Arial" w:cs="Arial"/>
          <w:color w:val="000000"/>
        </w:rPr>
        <w:t>Očuvana priroda i biodiverzitet nijesu samo ekološka vrijednost, već temelj dugoročne stabilnosti, razvoja i bezbjednosti Crne Gore, čije dalje narušavanje dovodi u pitanje održivost društvenog i ekonomskog sistema države.</w:t>
      </w:r>
    </w:p>
    <w:p w:rsidR="00D14804" w:rsidRDefault="00D14804">
      <w:pPr>
        <w:pBdr>
          <w:top w:val="nil"/>
          <w:left w:val="nil"/>
          <w:bottom w:val="nil"/>
          <w:right w:val="nil"/>
          <w:between w:val="nil"/>
        </w:pBdr>
        <w:spacing w:line="240" w:lineRule="auto"/>
        <w:rPr>
          <w:sz w:val="20"/>
          <w:szCs w:val="20"/>
        </w:rPr>
      </w:pPr>
    </w:p>
    <w:p w:rsidR="00D14804" w:rsidRPr="00556B80" w:rsidRDefault="00905C68">
      <w:pPr>
        <w:pBdr>
          <w:top w:val="nil"/>
          <w:left w:val="nil"/>
          <w:bottom w:val="nil"/>
          <w:right w:val="nil"/>
          <w:between w:val="nil"/>
        </w:pBdr>
        <w:spacing w:line="240" w:lineRule="auto"/>
        <w:rPr>
          <w:rFonts w:ascii="Arial" w:eastAsia="Arial" w:hAnsi="Arial" w:cs="Arial"/>
          <w:bCs/>
          <w:color w:val="000000"/>
          <w:sz w:val="20"/>
          <w:szCs w:val="20"/>
        </w:rPr>
      </w:pPr>
      <w:r>
        <w:rPr>
          <w:rFonts w:ascii="Arial" w:eastAsia="Arial" w:hAnsi="Arial" w:cs="Arial"/>
          <w:b/>
          <w:bCs/>
          <w:color w:val="000000"/>
          <w:sz w:val="20"/>
          <w:szCs w:val="20"/>
        </w:rPr>
        <w:t>Grafik</w:t>
      </w:r>
      <w:r w:rsidR="00E47E1B">
        <w:rPr>
          <w:rFonts w:ascii="Arial" w:eastAsia="Arial" w:hAnsi="Arial" w:cs="Arial"/>
          <w:b/>
          <w:bCs/>
          <w:color w:val="000000"/>
          <w:sz w:val="20"/>
          <w:szCs w:val="20"/>
        </w:rPr>
        <w:t xml:space="preserve"> 1 – </w:t>
      </w:r>
      <w:r w:rsidR="00E47E1B" w:rsidRPr="00556B80">
        <w:rPr>
          <w:rFonts w:ascii="Arial" w:eastAsia="Arial" w:hAnsi="Arial" w:cs="Arial"/>
          <w:bCs/>
          <w:color w:val="000000"/>
          <w:sz w:val="20"/>
          <w:szCs w:val="20"/>
        </w:rPr>
        <w:t>Dimenzije vrijednosti biodiverziteta.</w:t>
      </w:r>
    </w:p>
    <w:p w:rsidR="00D14804" w:rsidRDefault="00A26374">
      <w:pPr>
        <w:spacing w:after="0"/>
        <w:rPr>
          <w:rFonts w:ascii="Arial" w:eastAsia="Arial" w:hAnsi="Arial" w:cs="Arial"/>
          <w:b/>
          <w:bCs/>
          <w:color w:val="000000"/>
        </w:rPr>
      </w:pPr>
      <w:sdt>
        <w:sdtPr>
          <w:tag w:val="goog_rdk_2"/>
          <w:id w:val="-298004898"/>
        </w:sdtPr>
        <w:sdtEndPr/>
        <w:sdtContent/>
      </w:sdt>
      <w:r w:rsidR="00E47E1B">
        <w:rPr>
          <w:rFonts w:ascii="Arial" w:eastAsia="Arial" w:hAnsi="Arial" w:cs="Arial"/>
          <w:b/>
          <w:bCs/>
          <w:noProof/>
        </w:rPr>
        <w:drawing>
          <wp:inline distT="114300" distB="114300" distL="114300" distR="114300">
            <wp:extent cx="5759775" cy="3467100"/>
            <wp:effectExtent l="0" t="0" r="0" b="0"/>
            <wp:docPr id="179557344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759775" cy="3467100"/>
                    </a:xfrm>
                    <a:prstGeom prst="rect">
                      <a:avLst/>
                    </a:prstGeom>
                    <a:ln/>
                  </pic:spPr>
                </pic:pic>
              </a:graphicData>
            </a:graphic>
          </wp:inline>
        </w:drawing>
      </w:r>
    </w:p>
    <w:p w:rsidR="00D14804" w:rsidRDefault="00D14804">
      <w:pPr>
        <w:pBdr>
          <w:top w:val="nil"/>
          <w:left w:val="nil"/>
          <w:bottom w:val="nil"/>
          <w:right w:val="nil"/>
          <w:between w:val="nil"/>
        </w:pBdr>
        <w:spacing w:after="0"/>
        <w:rPr>
          <w:rFonts w:ascii="Arial" w:eastAsia="Arial" w:hAnsi="Arial" w:cs="Arial"/>
          <w:b/>
          <w:bCs/>
          <w:color w:val="000000"/>
        </w:rPr>
      </w:pPr>
    </w:p>
    <w:p w:rsidR="00D14804" w:rsidRPr="00A95799" w:rsidRDefault="00A95799" w:rsidP="005406F9">
      <w:pPr>
        <w:pBdr>
          <w:top w:val="nil"/>
          <w:left w:val="nil"/>
          <w:bottom w:val="nil"/>
          <w:right w:val="nil"/>
          <w:between w:val="nil"/>
        </w:pBdr>
        <w:spacing w:after="0" w:line="240" w:lineRule="auto"/>
        <w:rPr>
          <w:rFonts w:ascii="Arial" w:eastAsia="Arial" w:hAnsi="Arial" w:cs="Arial"/>
        </w:rPr>
      </w:pPr>
      <w:r w:rsidRPr="00A95799">
        <w:rPr>
          <w:rFonts w:ascii="Arial" w:hAnsi="Arial" w:cs="Arial"/>
          <w:color w:val="000000"/>
        </w:rPr>
        <w:t>Globalne studije pokazuju da više od 50% svjetske ekonomije zavisi od prirode, dok se na svaki dolar uložen u prirodu vraća devet puta više. Procjena vrijednosti usluga koje pružaju ekosistemi koja je rađena 2013. godine u Crnoj Gori pokazala je da su direktne i indirektne koristi od biodiverziteta bile na nivou od jedne trećine BDP-a.</w:t>
      </w:r>
    </w:p>
    <w:p w:rsidR="00D14804" w:rsidRDefault="00D14804" w:rsidP="005406F9">
      <w:pPr>
        <w:pStyle w:val="Heading2"/>
        <w:rPr>
          <w:rFonts w:ascii="Arial" w:eastAsia="Arial" w:hAnsi="Arial" w:cs="Arial"/>
          <w:sz w:val="32"/>
          <w:szCs w:val="32"/>
        </w:rPr>
      </w:pPr>
    </w:p>
    <w:p w:rsidR="00A95799" w:rsidRPr="00A95799" w:rsidRDefault="00A95799" w:rsidP="00A95799"/>
    <w:p w:rsidR="00D14804" w:rsidRDefault="00E47E1B" w:rsidP="008166A6">
      <w:pPr>
        <w:pStyle w:val="Heading2"/>
        <w:numPr>
          <w:ilvl w:val="1"/>
          <w:numId w:val="15"/>
        </w:numPr>
        <w:rPr>
          <w:rFonts w:ascii="Arial" w:eastAsia="Arial" w:hAnsi="Arial" w:cs="Arial"/>
          <w:sz w:val="32"/>
          <w:szCs w:val="32"/>
        </w:rPr>
      </w:pPr>
      <w:bookmarkStart w:id="4" w:name="_Toc222754353"/>
      <w:r>
        <w:rPr>
          <w:rFonts w:ascii="Arial" w:eastAsia="Arial" w:hAnsi="Arial" w:cs="Arial"/>
          <w:sz w:val="32"/>
          <w:szCs w:val="32"/>
        </w:rPr>
        <w:t>Svrha donošenja strateškog dokumenta</w:t>
      </w:r>
      <w:bookmarkEnd w:id="4"/>
      <w:r>
        <w:rPr>
          <w:rFonts w:ascii="Arial" w:eastAsia="Arial" w:hAnsi="Arial" w:cs="Arial"/>
          <w:sz w:val="32"/>
          <w:szCs w:val="32"/>
        </w:rPr>
        <w:t xml:space="preserve"> </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Nacionalna strategija biodiverziteta (NSBAP) za period 2026–2031. godine i Akcioni plan za period 2026-2028. godina je glavni strateški dokument kojim se definišu nacionalni ciljevi, prioriteti i mjere zaštite biodiverziteta, u skladu sa Zakonom o zaštiti prirode („Službeni list CG“, br. 54/16, 18/19), ali i međunarodnim obavezama Crne Gore. Ovaj dokument predstavlja i glavni mehanizam za sprovođenje Kunming–Montreal globalnog okvira za biodiverzitet (KM-GBF) Konvencije o biološkoj raznovrsnosti (CBD) na nacionalnom nivou, čime država doprinosi globalnim naporima za očuvanje biodiverziteta. Takođe, u skladu sa odredbama ovog Zakona, dokument je izrađen za period od pet godina.</w:t>
      </w:r>
    </w:p>
    <w:p w:rsidR="00D02DC0"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NSBAP usmjerava politike, planiranje i upravljanje prirodnim resursima ka održivim praksama i integrisanju biodiverziteta u sve relevantne sektore. </w:t>
      </w:r>
    </w:p>
    <w:p w:rsidR="00E20EB9" w:rsidRPr="00E47E1B" w:rsidRDefault="00E20EB9">
      <w:pPr>
        <w:pBdr>
          <w:top w:val="nil"/>
          <w:left w:val="nil"/>
          <w:bottom w:val="nil"/>
          <w:right w:val="nil"/>
          <w:between w:val="nil"/>
        </w:pBdr>
        <w:spacing w:line="240" w:lineRule="auto"/>
        <w:jc w:val="both"/>
        <w:rPr>
          <w:rFonts w:ascii="Arial" w:eastAsia="Arial" w:hAnsi="Arial" w:cs="Arial"/>
          <w:color w:val="000000"/>
        </w:rPr>
      </w:pPr>
    </w:p>
    <w:p w:rsidR="00D14804" w:rsidRDefault="00E47E1B" w:rsidP="008166A6">
      <w:pPr>
        <w:pStyle w:val="Heading3"/>
        <w:numPr>
          <w:ilvl w:val="2"/>
          <w:numId w:val="14"/>
        </w:numPr>
        <w:rPr>
          <w:rFonts w:ascii="Arial" w:eastAsia="Arial" w:hAnsi="Arial" w:cs="Arial"/>
        </w:rPr>
      </w:pPr>
      <w:bookmarkStart w:id="5" w:name="_Toc222754354"/>
      <w:r>
        <w:rPr>
          <w:rFonts w:ascii="Arial" w:eastAsia="Arial" w:hAnsi="Arial" w:cs="Arial"/>
        </w:rPr>
        <w:t>Osvrt na Nacionalnu strategiju biodiverziteta sa akcionim planom 2016-2020. godine i izvještaje prema CBD</w:t>
      </w:r>
      <w:bookmarkEnd w:id="5"/>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Izvještaji o sprovođenju NSBAP-a do 2020. godine, kao i izvještaji Evropske komisije o napretku Crne Gore u procesu pristupanja Evropske unije (EU), posebno u okviru Poglavlja 27 – Životna sredina i klimatske promjene, kao i druge dostupne analize i pregledi, ukazuju na brojne izazove koji ograničavaju napredak u zaštiti biodiverziteta. Ovi nalazi potvrđeni su i u Petom i Šestom nacionalnom izvještaju Crne Gore prema Konvenciji o biološkoj raznovrsnosti (CBD), kao i u izvještajima o sprovođenju prethodne Nacionalne strategije biodiverziteta i akcionog plana za period 2016- 2020. godine.</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Implementacija prethodne NSBAP doprinijela je unapređenju zakonodavnog i institucionalnog okvira zaštite prirode, razvoju sistema zaštićenih područja i jačanju međunarodne saradnje. Međutim, nalazi Petog i Šestog nacionalnog izvještaja ukazuju da ostvareni napredak nije bio dovoljan da zaustavi negativne trendove u stanju biodiverziteta niti da obezbijedi potpunu realizaciju planiranih ciljeva i mjera.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Među najizraženijim izazovima identifikovani su nedovoljna i nestabilna finansijska sredstva, snažna oslonjenost na projektno finansiranje, fragmentirani institucionalni budžeti, kao i nedovoljna međusektorska koordinacija. Nedostatak dugoročnih i predvidivih finansijskih mehanizama za biodiverzitet prepoznat je kao jedna od ključnih prepreka za održivo upravljanje zaštićenim područjima i sprovođenje prioritetnih mjera očuvanja.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Mjere očuvanja biodiverziteta često nijesu bile sistematski integrisane u sektorske strategije i planove rada institucija, dok brojni projekti nijesu bili direktno povezani sa ciljevima i akcijama definisanim prethodnom NSBAP, što ukazuje na raskorak između strateškog planiranja i praktične implementacije. Izvještaji prethodne Strategije dodatno ukazuju da veliki broj planiranih akcija nije bio praćen jasno definisanim indikatorima učinka, odgovornim institucijama i budžetskim linijama, što je ograničilo njihovu operativnu realizaciju i praćenje napretka.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Istovremeno, pritisci poput gubitka i degradacije divljih vrsta i njihovih staništa, prekomjerne eksploatacije prirodnih resursa, zagađenja, širenja invazivnih stranih vrsta i negativnog uticaja klimatskih promjena dodatno ugrožavaju ekosisteme i vrste. Ovi pritisci su identifikovani kao ključni direktni i indirektni pokretači gubitka biodiverziteta u okviru CBD i KM-GBF.</w:t>
      </w:r>
    </w:p>
    <w:p w:rsidR="00126C41" w:rsidRDefault="00126C41">
      <w:pPr>
        <w:pBdr>
          <w:top w:val="nil"/>
          <w:left w:val="nil"/>
          <w:bottom w:val="nil"/>
          <w:right w:val="nil"/>
          <w:between w:val="nil"/>
        </w:pBdr>
        <w:spacing w:line="240" w:lineRule="auto"/>
        <w:jc w:val="both"/>
        <w:rPr>
          <w:rFonts w:ascii="Arial" w:eastAsia="Arial" w:hAnsi="Arial" w:cs="Arial"/>
          <w:color w:val="000000"/>
        </w:rPr>
      </w:pPr>
    </w:p>
    <w:p w:rsidR="00126C41" w:rsidRDefault="00126C41">
      <w:pPr>
        <w:pBdr>
          <w:top w:val="nil"/>
          <w:left w:val="nil"/>
          <w:bottom w:val="nil"/>
          <w:right w:val="nil"/>
          <w:between w:val="nil"/>
        </w:pBdr>
        <w:spacing w:line="240" w:lineRule="auto"/>
        <w:jc w:val="both"/>
        <w:rPr>
          <w:rFonts w:ascii="Arial" w:eastAsia="Arial" w:hAnsi="Arial" w:cs="Arial"/>
          <w:color w:val="000000"/>
        </w:rPr>
      </w:pPr>
    </w:p>
    <w:p w:rsidR="00D14804" w:rsidRDefault="00E47E1B" w:rsidP="008166A6">
      <w:pPr>
        <w:pStyle w:val="Heading2"/>
        <w:numPr>
          <w:ilvl w:val="1"/>
          <w:numId w:val="13"/>
        </w:numPr>
        <w:rPr>
          <w:rFonts w:ascii="Arial" w:eastAsia="Arial" w:hAnsi="Arial" w:cs="Arial"/>
          <w:sz w:val="32"/>
          <w:szCs w:val="32"/>
        </w:rPr>
      </w:pPr>
      <w:bookmarkStart w:id="6" w:name="_Toc222754355"/>
      <w:r>
        <w:rPr>
          <w:rFonts w:ascii="Arial" w:eastAsia="Arial" w:hAnsi="Arial" w:cs="Arial"/>
          <w:sz w:val="32"/>
          <w:szCs w:val="32"/>
        </w:rPr>
        <w:lastRenderedPageBreak/>
        <w:t>Evropski i međunarodni kontekst</w:t>
      </w:r>
      <w:bookmarkEnd w:id="6"/>
      <w:r>
        <w:rPr>
          <w:rFonts w:ascii="Arial" w:eastAsia="Arial" w:hAnsi="Arial" w:cs="Arial"/>
          <w:sz w:val="32"/>
          <w:szCs w:val="32"/>
        </w:rPr>
        <w:t xml:space="preserve"> </w:t>
      </w:r>
    </w:p>
    <w:p w:rsidR="00D14804" w:rsidRDefault="00E47E1B">
      <w:pPr>
        <w:pBdr>
          <w:top w:val="nil"/>
          <w:left w:val="nil"/>
          <w:bottom w:val="nil"/>
          <w:right w:val="nil"/>
          <w:between w:val="nil"/>
        </w:pBdr>
        <w:spacing w:before="280" w:after="280" w:line="240" w:lineRule="auto"/>
        <w:jc w:val="both"/>
        <w:rPr>
          <w:rFonts w:ascii="Arial" w:eastAsia="Arial" w:hAnsi="Arial" w:cs="Arial"/>
          <w:color w:val="000000"/>
        </w:rPr>
      </w:pPr>
      <w:r>
        <w:rPr>
          <w:rFonts w:ascii="Arial" w:eastAsia="Arial" w:hAnsi="Arial" w:cs="Arial"/>
          <w:color w:val="000000"/>
        </w:rPr>
        <w:t xml:space="preserve">Strategijom se nacionalni planski okvir zaštite i očuvanja biodiverziteta usklađuje sa EU i ostalim međunarodnim obavzema Crne Gore. Nacionalna strategija biodiverziteta 2026-2031. godine sa Akcionim planom (NSBAP) predstavlja ključni instrument za ispunjavanje međunarodnih i evropskih obaveza države u oblasti zaštite prirode, održivog korišćenja resursa i očuvanja ekosistema. Njena izrada i implementacija doprinose ostvarivanju ciljeva Konvencije o biološkoj raznovrsnosti (CBD) i Kunming–Montreal globalnog okvira za biodiverzitet, uključujući proširenje i efikasno upravljanje zaštićenim područjima, obnovu degradiranih ekosistema, održivo upravljanje šumama, vodama, ribarstvom i poljoprivredom, smanjenje pritisaka od zagađenja, primjenu rješenja zasnovanih na prirodi i integraciju biodiverziteta u sektorske politike. </w:t>
      </w:r>
      <w:sdt>
        <w:sdtPr>
          <w:tag w:val="goog_rdk_3"/>
          <w:id w:val="2136875333"/>
        </w:sdtPr>
        <w:sdtEndPr/>
        <w:sdtContent/>
      </w:sdt>
      <w:r>
        <w:rPr>
          <w:rFonts w:ascii="Arial" w:eastAsia="Arial" w:hAnsi="Arial" w:cs="Arial"/>
          <w:color w:val="000000"/>
        </w:rPr>
        <w:t>Strategija je usklađena sa ciljevima i zadacima KM-GBF i predstavlja osnov za nacionalno izvještavanje prema CBD konvenciji.</w:t>
      </w:r>
    </w:p>
    <w:p w:rsidR="00D14804" w:rsidRDefault="00E47E1B">
      <w:pPr>
        <w:pBdr>
          <w:top w:val="nil"/>
          <w:left w:val="nil"/>
          <w:bottom w:val="nil"/>
          <w:right w:val="nil"/>
          <w:between w:val="nil"/>
        </w:pBdr>
        <w:spacing w:before="280" w:after="280" w:line="240" w:lineRule="auto"/>
        <w:jc w:val="both"/>
        <w:rPr>
          <w:rFonts w:ascii="Arial" w:eastAsia="Arial" w:hAnsi="Arial" w:cs="Arial"/>
          <w:color w:val="000000"/>
        </w:rPr>
      </w:pPr>
      <w:r>
        <w:rPr>
          <w:rFonts w:ascii="Arial" w:eastAsia="Arial" w:hAnsi="Arial" w:cs="Arial"/>
          <w:color w:val="000000"/>
        </w:rPr>
        <w:t>NSBAP istovremeno integriše obaveze koje proističu iz drugih relevantnih međunarodnih sporazuma, uključujući Ramsarsku, Bernsku i Barselonsku konvenciju, CITES, kao i UNESCO mehanizme zaštite svjetske prirodne baštine i biosferskih rezervata, obezbjeđujući njihov koherentan doprinos upravljanju prirodnim kapitalom Crne Gore.</w:t>
      </w:r>
    </w:p>
    <w:p w:rsidR="00D14804" w:rsidRDefault="00E47E1B">
      <w:pPr>
        <w:pBdr>
          <w:top w:val="nil"/>
          <w:left w:val="nil"/>
          <w:bottom w:val="nil"/>
          <w:right w:val="nil"/>
          <w:between w:val="nil"/>
        </w:pBdr>
        <w:spacing w:before="280" w:after="280" w:line="240" w:lineRule="auto"/>
        <w:jc w:val="both"/>
        <w:rPr>
          <w:rFonts w:ascii="Arial" w:eastAsia="Arial" w:hAnsi="Arial" w:cs="Arial"/>
          <w:color w:val="000000"/>
        </w:rPr>
      </w:pPr>
      <w:r>
        <w:rPr>
          <w:rFonts w:ascii="Arial" w:eastAsia="Arial" w:hAnsi="Arial" w:cs="Arial"/>
          <w:color w:val="000000"/>
        </w:rPr>
        <w:t>Strategija je usklađena sa pravnom tekovinom Evropske unije i prioritetima iz Poglavlja 27 – Životna sredina i klimatske promjene, posebno sa Direktivom o staništima i Direktivom o pticama, EU Strategijom biodiverziteta do 2030. godine i ciljevima zaštite najmanje 30% teritorije, uključujući 10% strogo zaštićenih područja, kao i sa novim EU Zakonom o obnovi prirode. Time se uspostavlja nacionalni okvir za identifikaciju i obnovu degradiranih ekosistema, praćenje napretka i buduću integraciju u ekološku mrežu Natura 2000 po pristupanju Evropskoj uniji. Strategija je takođe usklađena sa Evropskim zelenim dogovorom i Zelenom agendom za Zapadni Balkan.</w:t>
      </w:r>
    </w:p>
    <w:p w:rsidR="0021529C" w:rsidRPr="0021529C" w:rsidRDefault="0021529C" w:rsidP="0021529C">
      <w:pPr>
        <w:pBdr>
          <w:top w:val="nil"/>
          <w:left w:val="nil"/>
          <w:bottom w:val="nil"/>
          <w:right w:val="nil"/>
          <w:between w:val="nil"/>
        </w:pBdr>
        <w:spacing w:before="280" w:after="280" w:line="240" w:lineRule="auto"/>
        <w:jc w:val="both"/>
        <w:rPr>
          <w:rFonts w:ascii="Arial" w:eastAsia="Arial" w:hAnsi="Arial" w:cs="Arial"/>
          <w:color w:val="000000"/>
        </w:rPr>
      </w:pPr>
      <w:r w:rsidRPr="0021529C">
        <w:rPr>
          <w:rFonts w:ascii="Arial" w:eastAsia="Arial" w:hAnsi="Arial" w:cs="Arial"/>
          <w:color w:val="000000"/>
        </w:rPr>
        <w:t xml:space="preserve">U procesu izrade </w:t>
      </w:r>
      <w:r>
        <w:rPr>
          <w:rFonts w:ascii="Arial" w:eastAsia="Arial" w:hAnsi="Arial" w:cs="Arial"/>
          <w:color w:val="000000"/>
        </w:rPr>
        <w:t>NSBAP</w:t>
      </w:r>
      <w:r w:rsidRPr="0021529C">
        <w:rPr>
          <w:rFonts w:ascii="Arial" w:eastAsia="Arial" w:hAnsi="Arial" w:cs="Arial"/>
          <w:color w:val="000000"/>
        </w:rPr>
        <w:t xml:space="preserve">, polazna osnova predstavlja usklađivanje sa </w:t>
      </w:r>
      <w:r>
        <w:rPr>
          <w:rFonts w:ascii="Arial" w:eastAsia="Arial" w:hAnsi="Arial" w:cs="Arial"/>
          <w:color w:val="000000"/>
        </w:rPr>
        <w:t>KM-GBF</w:t>
      </w:r>
      <w:r w:rsidRPr="0021529C">
        <w:rPr>
          <w:rFonts w:ascii="Arial" w:eastAsia="Arial" w:hAnsi="Arial" w:cs="Arial"/>
          <w:color w:val="000000"/>
        </w:rPr>
        <w:t xml:space="preserve">, usvojenim u okviru </w:t>
      </w:r>
      <w:r>
        <w:rPr>
          <w:rFonts w:ascii="Arial" w:eastAsia="Arial" w:hAnsi="Arial" w:cs="Arial"/>
          <w:color w:val="000000"/>
        </w:rPr>
        <w:t>CBD</w:t>
      </w:r>
      <w:r w:rsidRPr="0021529C">
        <w:rPr>
          <w:rFonts w:ascii="Arial" w:eastAsia="Arial" w:hAnsi="Arial" w:cs="Arial"/>
          <w:color w:val="000000"/>
        </w:rPr>
        <w:t xml:space="preserve">. Time se </w:t>
      </w:r>
      <w:r>
        <w:rPr>
          <w:rFonts w:ascii="Arial" w:eastAsia="Arial" w:hAnsi="Arial" w:cs="Arial"/>
          <w:color w:val="000000"/>
        </w:rPr>
        <w:t>ova s</w:t>
      </w:r>
      <w:r w:rsidRPr="0021529C">
        <w:rPr>
          <w:rFonts w:ascii="Arial" w:eastAsia="Arial" w:hAnsi="Arial" w:cs="Arial"/>
          <w:color w:val="000000"/>
        </w:rPr>
        <w:t xml:space="preserve">trategija sistematski povezuje sa ciljevima iz </w:t>
      </w:r>
      <w:r>
        <w:rPr>
          <w:rFonts w:ascii="Arial" w:eastAsia="Arial" w:hAnsi="Arial" w:cs="Arial"/>
          <w:color w:val="000000"/>
        </w:rPr>
        <w:t>UN Agende za održivi razvoj do 2</w:t>
      </w:r>
      <w:r w:rsidR="00785783">
        <w:rPr>
          <w:rFonts w:ascii="Arial" w:eastAsia="Arial" w:hAnsi="Arial" w:cs="Arial"/>
          <w:color w:val="000000"/>
        </w:rPr>
        <w:t>030. godine</w:t>
      </w:r>
      <w:r w:rsidR="00D44E7B">
        <w:rPr>
          <w:rFonts w:ascii="Arial" w:eastAsia="Arial" w:hAnsi="Arial" w:cs="Arial"/>
          <w:color w:val="000000"/>
        </w:rPr>
        <w:t xml:space="preserve"> (Agenda</w:t>
      </w:r>
      <w:r w:rsidR="00D44E7B" w:rsidRPr="0021529C">
        <w:rPr>
          <w:rFonts w:ascii="Arial" w:eastAsia="Arial" w:hAnsi="Arial" w:cs="Arial"/>
          <w:color w:val="000000"/>
        </w:rPr>
        <w:t xml:space="preserve"> 2030</w:t>
      </w:r>
      <w:r w:rsidR="00D44E7B">
        <w:rPr>
          <w:rFonts w:ascii="Arial" w:eastAsia="Arial" w:hAnsi="Arial" w:cs="Arial"/>
          <w:color w:val="000000"/>
        </w:rPr>
        <w:t>)</w:t>
      </w:r>
      <w:r w:rsidRPr="0021529C">
        <w:rPr>
          <w:rFonts w:ascii="Arial" w:eastAsia="Arial" w:hAnsi="Arial" w:cs="Arial"/>
          <w:color w:val="000000"/>
        </w:rPr>
        <w:t xml:space="preserve">, budući da je međunarodnim analizama </w:t>
      </w:r>
      <w:r w:rsidRPr="00785783">
        <w:rPr>
          <w:rFonts w:ascii="Arial" w:eastAsia="Arial" w:hAnsi="Arial" w:cs="Arial"/>
          <w:color w:val="000000"/>
        </w:rPr>
        <w:t xml:space="preserve">potvrđen visok stepen komplementarnosti između ciljeva </w:t>
      </w:r>
      <w:r w:rsidR="00785783" w:rsidRPr="00785783">
        <w:rPr>
          <w:rFonts w:ascii="Arial" w:eastAsia="Arial" w:hAnsi="Arial" w:cs="Arial"/>
          <w:color w:val="000000"/>
        </w:rPr>
        <w:t>KM-GBF</w:t>
      </w:r>
      <w:r w:rsidRPr="00785783">
        <w:rPr>
          <w:rFonts w:ascii="Arial" w:eastAsia="Arial" w:hAnsi="Arial" w:cs="Arial"/>
          <w:color w:val="000000"/>
        </w:rPr>
        <w:t xml:space="preserve"> i Ciljeva održivog razvoja</w:t>
      </w:r>
      <w:r w:rsidR="00785783" w:rsidRPr="00785783">
        <w:rPr>
          <w:rFonts w:ascii="Arial" w:eastAsia="Arial" w:hAnsi="Arial" w:cs="Arial"/>
          <w:color w:val="000000"/>
        </w:rPr>
        <w:t xml:space="preserve"> Ujedinjenih nacija</w:t>
      </w:r>
      <w:r w:rsidR="00785783">
        <w:rPr>
          <w:rFonts w:ascii="Arial" w:eastAsia="Arial" w:hAnsi="Arial" w:cs="Arial"/>
          <w:color w:val="000000"/>
        </w:rPr>
        <w:t xml:space="preserve"> (SDGs)</w:t>
      </w:r>
      <w:r w:rsidRPr="0021529C">
        <w:rPr>
          <w:rFonts w:ascii="Arial" w:eastAsia="Arial" w:hAnsi="Arial" w:cs="Arial"/>
          <w:color w:val="000000"/>
        </w:rPr>
        <w:t>. Posebno snažna povezanost identifikovana je sa SDG 14 (Život pod vodom), SDG 15 (Život na kopnu) i SDG 13 (Klimatska akcija), ali i sa SDG 6 (Čista voda i sanitarni uslovi) i SDG 12 (Odgovorna potrošnja i proizvodnja), koji su direktno povezani sa održivim up</w:t>
      </w:r>
      <w:r w:rsidR="00785783">
        <w:rPr>
          <w:rFonts w:ascii="Arial" w:eastAsia="Arial" w:hAnsi="Arial" w:cs="Arial"/>
          <w:color w:val="000000"/>
        </w:rPr>
        <w:t>ravljanjem prirodnim resursima.</w:t>
      </w:r>
    </w:p>
    <w:p w:rsidR="0021529C" w:rsidRDefault="0021529C">
      <w:pPr>
        <w:pBdr>
          <w:top w:val="nil"/>
          <w:left w:val="nil"/>
          <w:bottom w:val="nil"/>
          <w:right w:val="nil"/>
          <w:between w:val="nil"/>
        </w:pBdr>
        <w:spacing w:before="280" w:after="280" w:line="240" w:lineRule="auto"/>
        <w:jc w:val="both"/>
        <w:rPr>
          <w:rFonts w:ascii="Arial" w:eastAsia="Arial" w:hAnsi="Arial" w:cs="Arial"/>
          <w:color w:val="000000"/>
        </w:rPr>
      </w:pPr>
      <w:r w:rsidRPr="0021529C">
        <w:rPr>
          <w:rFonts w:ascii="Arial" w:eastAsia="Arial" w:hAnsi="Arial" w:cs="Arial"/>
          <w:color w:val="000000"/>
        </w:rPr>
        <w:t>Istovremeno, ciljevi koji se odnose na rodnu ravnopravnost i društvenu inkluziju, uključujući SDG 5 (Rodna ravnopravnost) i SDG 10 (Smanjenje nejednakosti), odražavaju principe pravične raspodjele koristi, participativnog odlučivanja i pristupa prirodnim resursima. Na taj način Strategija doprinosi integrisanom pristupu održivom razvoju, obezbjeđujući koherentnost između nacionalnih prioriteta u oblasti biodiverziteta, međunarodnih obaveza i šireg okvira Agende 2030.</w:t>
      </w:r>
    </w:p>
    <w:p w:rsidR="00D14804" w:rsidRDefault="00E47E1B">
      <w:pPr>
        <w:pBdr>
          <w:top w:val="nil"/>
          <w:left w:val="nil"/>
          <w:bottom w:val="nil"/>
          <w:right w:val="nil"/>
          <w:between w:val="nil"/>
        </w:pBdr>
        <w:spacing w:before="280" w:after="280" w:line="240" w:lineRule="auto"/>
        <w:jc w:val="both"/>
        <w:rPr>
          <w:rFonts w:ascii="Arial" w:eastAsia="Arial" w:hAnsi="Arial" w:cs="Arial"/>
          <w:color w:val="000000"/>
        </w:rPr>
      </w:pPr>
      <w:r>
        <w:rPr>
          <w:rFonts w:ascii="Arial" w:eastAsia="Arial" w:hAnsi="Arial" w:cs="Arial"/>
          <w:color w:val="000000"/>
        </w:rPr>
        <w:t xml:space="preserve">U skladu sa Programom pristupanja Crne Gore Evropskoj uniji za period 2025–2026. godine, usvajanje </w:t>
      </w:r>
      <w:r w:rsidR="0073617E">
        <w:rPr>
          <w:rFonts w:ascii="Arial" w:eastAsia="Arial" w:hAnsi="Arial" w:cs="Arial"/>
          <w:color w:val="000000"/>
        </w:rPr>
        <w:t>NSBAP</w:t>
      </w:r>
      <w:r>
        <w:rPr>
          <w:rFonts w:ascii="Arial" w:eastAsia="Arial" w:hAnsi="Arial" w:cs="Arial"/>
          <w:color w:val="000000"/>
        </w:rPr>
        <w:t>-a od strane Vlade Crne Gore planirano je u četvrtom kvartalu 2026. godine.</w:t>
      </w:r>
    </w:p>
    <w:p w:rsidR="00D14804" w:rsidRDefault="00E47E1B">
      <w:pPr>
        <w:pStyle w:val="Heading2"/>
        <w:rPr>
          <w:rFonts w:ascii="Arial" w:eastAsia="Arial" w:hAnsi="Arial" w:cs="Arial"/>
          <w:sz w:val="32"/>
          <w:szCs w:val="32"/>
        </w:rPr>
      </w:pPr>
      <w:bookmarkStart w:id="7" w:name="_Toc222754356"/>
      <w:r>
        <w:rPr>
          <w:rFonts w:ascii="Arial" w:eastAsia="Arial" w:hAnsi="Arial" w:cs="Arial"/>
          <w:sz w:val="32"/>
          <w:szCs w:val="32"/>
        </w:rPr>
        <w:t>1.3 Cilj izrade NSBAP 2026–2031</w:t>
      </w:r>
      <w:bookmarkEnd w:id="7"/>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Polazeći od ovih nalaza, nova Strategija biodiverziteta ima za cilj da odgovori na identifikovane izazove kroz jačanje finansijskih i institucionalnih mehanizama, unapređenje integracije biodiverziteta u sektorske politike i prostorno planiranje, uspostavljanje funkcionalnog sistema monitoringa i indikatora, kao i efikasniju implementaciju mjera očuvanja na nacionalnom i </w:t>
      </w:r>
      <w:r>
        <w:rPr>
          <w:rFonts w:ascii="Arial" w:eastAsia="Arial" w:hAnsi="Arial" w:cs="Arial"/>
          <w:color w:val="000000"/>
        </w:rPr>
        <w:lastRenderedPageBreak/>
        <w:t>lokalnom nivou. Strategija uvodi mjerljive ciljeve i indikatore usklađene sa Kunming–Montreal globalnim okvirom za biodiverzitet i politikama Evropske unije, te promoviše integrisani pristup biodiverzitetu i klimatskim promjenama kroz rješenja zasnovana na prirodi.</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Time se stvara osnova za održiv razvoj zasnovan na zdravim ekosistemima, otpornim zajednicama i dugoročno očuvanom prirodnom nasljeđu. Strategija predstavlja ključni instrument za jačanje institucionalnih kapaciteta, međusektorske koordinacije i mobilizaciju finansijskih sredstava za biodiverzitet, doprinoseći ostvarivanju nacionalnih i evropskih ciljeva očuvanja prirode do 2030. godine i vizije „života u skladu sa prirodom“ do 2050. godine.</w:t>
      </w:r>
    </w:p>
    <w:p w:rsidR="00D14804" w:rsidRDefault="00D14804">
      <w:pPr>
        <w:pBdr>
          <w:top w:val="nil"/>
          <w:left w:val="nil"/>
          <w:bottom w:val="nil"/>
          <w:right w:val="nil"/>
          <w:between w:val="nil"/>
        </w:pBdr>
        <w:spacing w:after="0" w:line="276" w:lineRule="auto"/>
        <w:rPr>
          <w:rFonts w:ascii="Arial" w:eastAsia="Arial" w:hAnsi="Arial" w:cs="Arial"/>
        </w:rPr>
      </w:pPr>
    </w:p>
    <w:bookmarkStart w:id="8" w:name="_Toc222754357"/>
    <w:p w:rsidR="00D14804" w:rsidRDefault="00A26374">
      <w:pPr>
        <w:pStyle w:val="Heading2"/>
        <w:rPr>
          <w:rFonts w:ascii="Arial" w:eastAsia="Arial" w:hAnsi="Arial" w:cs="Arial"/>
          <w:sz w:val="32"/>
          <w:szCs w:val="32"/>
        </w:rPr>
      </w:pPr>
      <w:sdt>
        <w:sdtPr>
          <w:tag w:val="goog_rdk_4"/>
          <w:id w:val="-2012821387"/>
        </w:sdtPr>
        <w:sdtEndPr/>
        <w:sdtContent/>
      </w:sdt>
      <w:r w:rsidR="00E47E1B" w:rsidRPr="00B168D6">
        <w:rPr>
          <w:rFonts w:ascii="Arial" w:hAnsi="Arial" w:cs="Arial"/>
          <w:sz w:val="32"/>
          <w:szCs w:val="32"/>
        </w:rPr>
        <w:t xml:space="preserve">1.4 </w:t>
      </w:r>
      <w:r w:rsidR="00E47E1B" w:rsidRPr="00B168D6">
        <w:rPr>
          <w:rFonts w:ascii="Arial" w:eastAsia="Arial" w:hAnsi="Arial" w:cs="Arial"/>
          <w:sz w:val="32"/>
          <w:szCs w:val="32"/>
        </w:rPr>
        <w:t>Pozicioniranje</w:t>
      </w:r>
      <w:r w:rsidR="00E47E1B">
        <w:rPr>
          <w:rFonts w:ascii="Arial" w:eastAsia="Arial" w:hAnsi="Arial" w:cs="Arial"/>
          <w:sz w:val="32"/>
          <w:szCs w:val="32"/>
        </w:rPr>
        <w:t xml:space="preserve"> NSBAP u strateškom okviru Crne Gore</w:t>
      </w:r>
      <w:bookmarkEnd w:id="8"/>
    </w:p>
    <w:p w:rsidR="00D14804" w:rsidRDefault="00E47E1B">
      <w:pPr>
        <w:spacing w:before="120" w:after="120" w:line="240" w:lineRule="auto"/>
        <w:jc w:val="both"/>
        <w:rPr>
          <w:rFonts w:ascii="Arial" w:eastAsia="Arial" w:hAnsi="Arial" w:cs="Arial"/>
          <w:color w:val="000000"/>
        </w:rPr>
      </w:pPr>
      <w:r>
        <w:rPr>
          <w:rFonts w:ascii="Arial" w:eastAsia="Arial" w:hAnsi="Arial" w:cs="Arial"/>
          <w:color w:val="000000"/>
        </w:rPr>
        <w:t xml:space="preserve">NSBAP 2026–2031 predstavlja glavni instrument za integraciju ciljeva očuvanja prirode u ukupni razvojni okvir Crne Gore, posebno u kontekstu pristupanja Evropskoj uniji. Kao jedan od temeljnih dokumenata za oblast životne sredine, NSBAP je direktno povezana sa procesom ispunjavanja obaveza iz Poglavlja 27, ali i sa drugim poglavljima u kojima se upravljanje resursima, planiranje prostora, poljoprivreda i ribarstvo ocjenjuju prema EU standardima. </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Strategija stoga doprinosi ispunjavanju zahtjeva koji se odnose na uspostavljanje ekološke mreže Natura 2000, održivo upravljanje šumama i vodama, procjene uticaja na životnu sredinu, strateško planiranje, klimatske promjene, te upravljanje morskim i kopnenim područjima. U tom smislu, NSBAP jača institucionalnu i plansku osnovu za pregovarački proces i ubrzanje usklađivanja sa pravnom tekovinom EU, posebno u dijelu koji se odnosi na nau</w:t>
      </w:r>
      <w:r>
        <w:rPr>
          <w:rFonts w:ascii="Arial" w:eastAsia="Arial" w:hAnsi="Arial" w:cs="Arial"/>
        </w:rPr>
        <w:t>č</w:t>
      </w:r>
      <w:r>
        <w:rPr>
          <w:rFonts w:ascii="Arial" w:eastAsia="Arial" w:hAnsi="Arial" w:cs="Arial"/>
          <w:color w:val="000000"/>
        </w:rPr>
        <w:t>no zasnovanom upravljanju prirodom (zasnovanom na podacima), ekosistemski pristup, integraciju zaštite prirode u sektorske politike i finansiranje.</w:t>
      </w:r>
    </w:p>
    <w:p w:rsidR="00D14804" w:rsidRPr="008722E0" w:rsidRDefault="00E47E1B">
      <w:pPr>
        <w:spacing w:before="120" w:after="120" w:line="240" w:lineRule="auto"/>
        <w:jc w:val="both"/>
        <w:rPr>
          <w:rFonts w:ascii="Arial" w:eastAsia="Arial" w:hAnsi="Arial" w:cs="Arial"/>
        </w:rPr>
      </w:pPr>
      <w:r>
        <w:rPr>
          <w:rFonts w:ascii="Arial" w:eastAsia="Arial" w:hAnsi="Arial" w:cs="Arial"/>
          <w:color w:val="000000"/>
        </w:rPr>
        <w:t xml:space="preserve">Vertikalna usklađenost NSBAP-a sa nacionalnim strateškim dokumentima ogleda se u njenoj komplementarnosti sa Nacionalnom strategijom održivog razvoja do 2030. godine, strateškim dokumentima za ruralni razvoj, klimatsku adaptaciju i prostorno planiranje. NSOR 2030 prepoznaje prirodni kapital kao jedan od osnovnih razvojnih resursa države, a NSBAP taj koncept operativno prevodi u mjere restauracije, zaštite i održivog korišćenja ekosistema, </w:t>
      </w:r>
      <w:r w:rsidRPr="008722E0">
        <w:rPr>
          <w:rFonts w:ascii="Arial" w:eastAsia="Arial" w:hAnsi="Arial" w:cs="Arial"/>
        </w:rPr>
        <w:t xml:space="preserve">čime podržava ekonomski model zasnovan na održivim praksama i dugoročnoj otpornosti. </w:t>
      </w:r>
      <w:sdt>
        <w:sdtPr>
          <w:tag w:val="goog_rdk_6"/>
          <w:id w:val="61496373"/>
        </w:sdtPr>
        <w:sdtEndPr/>
        <w:sdtContent/>
      </w:sdt>
      <w:r w:rsidRPr="008722E0">
        <w:rPr>
          <w:rFonts w:ascii="Arial" w:eastAsia="Arial" w:hAnsi="Arial" w:cs="Arial"/>
        </w:rPr>
        <w:t>U procesu pristupanja EU, posebna vrijednost Strategije ogleda se u jačanju institucionalnih mehanizama, razvoju kapaciteta, stabilnim finansijskim instrumentima i efikasnijem upravljanju zaštićenim područjima. Nova Strategija je operativno povezana sa fiskalnim planiranjem, programiranjem IPA sredstava i godišnjim izvještavanjem Vlade, čime njeni ciljevi postaju mjerljivi i politički obavezujući.</w:t>
      </w:r>
    </w:p>
    <w:p w:rsidR="00D14804" w:rsidRDefault="00E47E1B">
      <w:pPr>
        <w:spacing w:before="120" w:after="120" w:line="240" w:lineRule="auto"/>
        <w:jc w:val="both"/>
        <w:rPr>
          <w:rFonts w:ascii="Arial" w:eastAsia="Arial" w:hAnsi="Arial" w:cs="Arial"/>
          <w:color w:val="000000"/>
        </w:rPr>
      </w:pPr>
      <w:r>
        <w:rPr>
          <w:rFonts w:ascii="Arial" w:eastAsia="Arial" w:hAnsi="Arial" w:cs="Arial"/>
          <w:color w:val="000000"/>
        </w:rPr>
        <w:t>Prostorni plan Crne Gore do 2040. godine predstavlja jedan od najvažnijih strateških dokumenata koji određuju teritorijalni razvoj države i neposredno utiču na očuvanje prirode. Budući da se ključni pritisci na biodiverzitet u Crnoj Gori — uključujući urbanizaciju obale, razvoj turističke i energetske infrastrukture, eksploataciju prirodnih resursa i intervencije u riječnim ekosistemima — manifestuju upravo kroz prostorne odluke, usklađenost između NSBAP-a i Prostornog plana od presudnog je značaja. Iako Prostorni plan do 2040.godine prepoznaje potrebu očuvanja vrijednih prirodnih područja, u praksi još nisu dovoljno integrisani ekološki kriterijumi, niti je osigurana puna kompatibilnost sa međunarodnim obavezama Crne Gore, uključujući ciljeve zaštite 30% teritorije i 10% stroge zaštite do 2030. godine.</w:t>
      </w:r>
    </w:p>
    <w:p w:rsidR="00D14804" w:rsidRDefault="00E47E1B">
      <w:pPr>
        <w:spacing w:before="120" w:after="120" w:line="240" w:lineRule="auto"/>
        <w:jc w:val="both"/>
        <w:rPr>
          <w:rFonts w:ascii="Arial" w:eastAsia="Arial" w:hAnsi="Arial" w:cs="Arial"/>
          <w:color w:val="000000"/>
        </w:rPr>
      </w:pPr>
      <w:r>
        <w:rPr>
          <w:rFonts w:ascii="Arial" w:eastAsia="Arial" w:hAnsi="Arial" w:cs="Arial"/>
          <w:color w:val="000000"/>
        </w:rPr>
        <w:t xml:space="preserve">Horizontalna usklađenost NSBAP-a sa sektorskim strategijama predstavlja najznačajniji izazov, ali istovremeno i najveću priliku za održivi razvoj. </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 xml:space="preserve">U oblasti energetike, glavni konflikt proizlazi iz ubrzanog razvoja obnovljivih izvora i potrebe da se prostorno definišu zone pogodne za investicije, uz minimiziranje pritisaka na ključna staništa i migratorne </w:t>
      </w:r>
      <w:r>
        <w:rPr>
          <w:rFonts w:ascii="Arial" w:eastAsia="Arial" w:hAnsi="Arial" w:cs="Arial"/>
        </w:rPr>
        <w:t>koridore</w:t>
      </w:r>
      <w:r>
        <w:rPr>
          <w:rFonts w:ascii="Arial" w:eastAsia="Arial" w:hAnsi="Arial" w:cs="Arial"/>
          <w:color w:val="000000"/>
        </w:rPr>
        <w:t>. Energetski planovi često prednost daju investicionom tempu, dok procesi procjene uticaja na prirodu zahtjevaju temelj</w:t>
      </w:r>
      <w:r>
        <w:rPr>
          <w:rFonts w:ascii="Arial" w:eastAsia="Arial" w:hAnsi="Arial" w:cs="Arial"/>
        </w:rPr>
        <w:t>niji</w:t>
      </w:r>
      <w:r>
        <w:rPr>
          <w:rFonts w:ascii="Arial" w:eastAsia="Arial" w:hAnsi="Arial" w:cs="Arial"/>
          <w:color w:val="000000"/>
        </w:rPr>
        <w:t xml:space="preserve"> pristup. NSBAP stoga</w:t>
      </w:r>
      <w:r>
        <w:rPr>
          <w:rFonts w:ascii="Arial" w:eastAsia="Arial" w:hAnsi="Arial" w:cs="Arial"/>
        </w:rPr>
        <w:t xml:space="preserve"> </w:t>
      </w:r>
      <w:r>
        <w:rPr>
          <w:rFonts w:ascii="Arial" w:eastAsia="Arial" w:hAnsi="Arial" w:cs="Arial"/>
          <w:color w:val="000000"/>
        </w:rPr>
        <w:t>uspostav</w:t>
      </w:r>
      <w:r>
        <w:rPr>
          <w:rFonts w:ascii="Arial" w:eastAsia="Arial" w:hAnsi="Arial" w:cs="Arial"/>
        </w:rPr>
        <w:t>lja</w:t>
      </w:r>
      <w:r>
        <w:rPr>
          <w:rFonts w:ascii="Arial" w:eastAsia="Arial" w:hAnsi="Arial" w:cs="Arial"/>
          <w:color w:val="000000"/>
        </w:rPr>
        <w:t xml:space="preserve"> mehanizme za strateške procjene i mapiranje ekološki osjetljivih područja, kako bi se energetski razvoj uskladio sa ciljevima očuvanja biodiverziteta.</w:t>
      </w:r>
    </w:p>
    <w:p w:rsidR="00D14804" w:rsidRDefault="00E47E1B">
      <w:pPr>
        <w:spacing w:before="120" w:after="120" w:line="240" w:lineRule="auto"/>
        <w:jc w:val="both"/>
        <w:rPr>
          <w:rFonts w:ascii="Arial" w:eastAsia="Arial" w:hAnsi="Arial" w:cs="Arial"/>
        </w:rPr>
      </w:pPr>
      <w:r>
        <w:rPr>
          <w:rFonts w:ascii="Arial" w:eastAsia="Arial" w:hAnsi="Arial" w:cs="Arial"/>
          <w:color w:val="000000"/>
        </w:rPr>
        <w:lastRenderedPageBreak/>
        <w:t xml:space="preserve">Sektor turizma, posebno u obalnom </w:t>
      </w:r>
      <w:r>
        <w:rPr>
          <w:rFonts w:ascii="Arial" w:eastAsia="Arial" w:hAnsi="Arial" w:cs="Arial"/>
        </w:rPr>
        <w:t xml:space="preserve">području </w:t>
      </w:r>
      <w:r>
        <w:rPr>
          <w:rFonts w:ascii="Arial" w:eastAsia="Arial" w:hAnsi="Arial" w:cs="Arial"/>
          <w:color w:val="000000"/>
        </w:rPr>
        <w:t xml:space="preserve">ali sve više i u područjima značajnim za biodiverzitet u sjevernom i centralnom dijelu zemlje, i dalje generiše najizraženije prostorne pritiske: urbanizaciju, </w:t>
      </w:r>
      <w:r>
        <w:rPr>
          <w:rFonts w:ascii="Arial" w:eastAsia="Arial" w:hAnsi="Arial" w:cs="Arial"/>
        </w:rPr>
        <w:t>“</w:t>
      </w:r>
      <w:r>
        <w:rPr>
          <w:rFonts w:ascii="Arial" w:eastAsia="Arial" w:hAnsi="Arial" w:cs="Arial"/>
          <w:color w:val="000000"/>
        </w:rPr>
        <w:t>betonizaciju obale</w:t>
      </w:r>
      <w:r>
        <w:rPr>
          <w:rFonts w:ascii="Arial" w:eastAsia="Arial" w:hAnsi="Arial" w:cs="Arial"/>
        </w:rPr>
        <w:t>”</w:t>
      </w:r>
      <w:r>
        <w:rPr>
          <w:rFonts w:ascii="Arial" w:eastAsia="Arial" w:hAnsi="Arial" w:cs="Arial"/>
          <w:color w:val="000000"/>
        </w:rPr>
        <w:t>, degradaciju stani</w:t>
      </w:r>
      <w:r>
        <w:rPr>
          <w:rFonts w:ascii="Arial" w:eastAsia="Arial" w:hAnsi="Arial" w:cs="Arial"/>
        </w:rPr>
        <w:t>š</w:t>
      </w:r>
      <w:r>
        <w:rPr>
          <w:rFonts w:ascii="Arial" w:eastAsia="Arial" w:hAnsi="Arial" w:cs="Arial"/>
          <w:color w:val="000000"/>
        </w:rPr>
        <w:t>ta i konflikte sa planovima zaštite prirode. Iako savremene turističke politike promovišu održive modele, razvojni projekti često se realizuju bez adekvatn</w:t>
      </w:r>
      <w:r>
        <w:rPr>
          <w:rFonts w:ascii="Arial" w:eastAsia="Arial" w:hAnsi="Arial" w:cs="Arial"/>
        </w:rPr>
        <w:t>og</w:t>
      </w:r>
      <w:r>
        <w:rPr>
          <w:rFonts w:ascii="Arial" w:eastAsia="Arial" w:hAnsi="Arial" w:cs="Arial"/>
          <w:color w:val="000000"/>
        </w:rPr>
        <w:t xml:space="preserve"> vrednovanja ekološk</w:t>
      </w:r>
      <w:r>
        <w:rPr>
          <w:rFonts w:ascii="Arial" w:eastAsia="Arial" w:hAnsi="Arial" w:cs="Arial"/>
        </w:rPr>
        <w:t>i vrijednih područja</w:t>
      </w:r>
      <w:r>
        <w:rPr>
          <w:rFonts w:ascii="Arial" w:eastAsia="Arial" w:hAnsi="Arial" w:cs="Arial"/>
          <w:color w:val="000000"/>
        </w:rPr>
        <w:t xml:space="preserve">. NSBAP </w:t>
      </w:r>
      <w:r>
        <w:rPr>
          <w:rFonts w:ascii="Arial" w:eastAsia="Arial" w:hAnsi="Arial" w:cs="Arial"/>
        </w:rPr>
        <w:t xml:space="preserve">daje </w:t>
      </w:r>
      <w:r>
        <w:rPr>
          <w:rFonts w:ascii="Arial" w:eastAsia="Arial" w:hAnsi="Arial" w:cs="Arial"/>
          <w:color w:val="000000"/>
        </w:rPr>
        <w:t xml:space="preserve">i smjernice </w:t>
      </w:r>
      <w:r>
        <w:rPr>
          <w:rFonts w:ascii="Arial" w:eastAsia="Arial" w:hAnsi="Arial" w:cs="Arial"/>
        </w:rPr>
        <w:t>kako bi</w:t>
      </w:r>
      <w:r>
        <w:rPr>
          <w:rFonts w:ascii="Arial" w:eastAsia="Arial" w:hAnsi="Arial" w:cs="Arial"/>
          <w:color w:val="000000"/>
        </w:rPr>
        <w:t xml:space="preserve"> prostorno planiranje i turizam djel</w:t>
      </w:r>
      <w:r>
        <w:rPr>
          <w:rFonts w:ascii="Arial" w:eastAsia="Arial" w:hAnsi="Arial" w:cs="Arial"/>
        </w:rPr>
        <w:t>ovali</w:t>
      </w:r>
      <w:r>
        <w:rPr>
          <w:rFonts w:ascii="Arial" w:eastAsia="Arial" w:hAnsi="Arial" w:cs="Arial"/>
          <w:color w:val="000000"/>
        </w:rPr>
        <w:t xml:space="preserve"> u skladu sa nosivim kapacitetima ekosistema, te da se zone visoke prirodne vrijednosti tretiraju kao ograničavajući faktor za razvoj.</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 xml:space="preserve">U poljoprivredi i ruralnom razvoju konflikti su naročito izraženi kroz upotrebu pesticida, intenziviranje proizvodnje i pritiske na tradicionalne pejzaže, dok istovremeno IPARD III program otvara značajan potencijal za agroekološke mjere i zaštitu staništa. NSBAP </w:t>
      </w:r>
      <w:r>
        <w:rPr>
          <w:rFonts w:ascii="Arial" w:eastAsia="Arial" w:hAnsi="Arial" w:cs="Arial"/>
        </w:rPr>
        <w:t xml:space="preserve"> predlaže akcije za usklađjivanje</w:t>
      </w:r>
      <w:r>
        <w:rPr>
          <w:rFonts w:ascii="Arial" w:eastAsia="Arial" w:hAnsi="Arial" w:cs="Arial"/>
          <w:color w:val="000000"/>
        </w:rPr>
        <w:t xml:space="preserve"> poljoprivredne subvencije sa ekološkim performansama, jača praćenje efekata poljoprivredne proizvodnje na staništa i uvodiuslovljavanje podrške mjerama koje doprinose očuvanju prirode.</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Slično važi i za sektor šumarstva, gdje se eksploatacione prakse i koncesioni modeli često ne zasnivaju na ekosistemskom pristupu. Fragmentacija šuma, degradacija staništa i nedostatak integracije ekoloških podataka u gazdinske planove zahtijevaju da NSBAP da smjernice za upravljanje šumama, uključujući zaštitu osjetljivih područja i restauraciju degradiranih šumskih ekosistema.</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 xml:space="preserve">Vodoprivreda je sektor u kojem su konflikti sa biodiverzitetom među najizraženijim. Regulacija vodotoka, eksploatacija šljunka, izgradnja hidro-energetskih objekata i obaloutvrda, te neadekvatna primjena ekološki prihvatljivog proticaja ugrožavaju rijeke, močvare i delte. NSBAP </w:t>
      </w:r>
      <w:r>
        <w:rPr>
          <w:rFonts w:ascii="Arial" w:eastAsia="Arial" w:hAnsi="Arial" w:cs="Arial"/>
        </w:rPr>
        <w:t xml:space="preserve">zagovara dalje </w:t>
      </w:r>
      <w:r>
        <w:rPr>
          <w:rFonts w:ascii="Arial" w:eastAsia="Arial" w:hAnsi="Arial" w:cs="Arial"/>
          <w:color w:val="000000"/>
        </w:rPr>
        <w:t>usklad</w:t>
      </w:r>
      <w:r>
        <w:rPr>
          <w:rFonts w:ascii="Arial" w:eastAsia="Arial" w:hAnsi="Arial" w:cs="Arial"/>
        </w:rPr>
        <w:t>jivanje</w:t>
      </w:r>
      <w:r>
        <w:rPr>
          <w:rFonts w:ascii="Arial" w:eastAsia="Arial" w:hAnsi="Arial" w:cs="Arial"/>
          <w:color w:val="000000"/>
        </w:rPr>
        <w:t xml:space="preserve"> planov</w:t>
      </w:r>
      <w:r>
        <w:rPr>
          <w:rFonts w:ascii="Arial" w:eastAsia="Arial" w:hAnsi="Arial" w:cs="Arial"/>
        </w:rPr>
        <w:t>a</w:t>
      </w:r>
      <w:r>
        <w:rPr>
          <w:rFonts w:ascii="Arial" w:eastAsia="Arial" w:hAnsi="Arial" w:cs="Arial"/>
          <w:color w:val="000000"/>
        </w:rPr>
        <w:t xml:space="preserve"> upravljanja vodama sa ekološkim standardima i uvesti obavezne mjere restauracije za vodene ekosisteme.</w:t>
      </w:r>
    </w:p>
    <w:p w:rsidR="00D14804" w:rsidRDefault="00E47E1B">
      <w:pPr>
        <w:spacing w:before="120" w:after="120" w:line="240" w:lineRule="auto"/>
        <w:jc w:val="both"/>
        <w:rPr>
          <w:rFonts w:ascii="Arial" w:eastAsia="Arial" w:hAnsi="Arial" w:cs="Arial"/>
        </w:rPr>
      </w:pPr>
      <w:r>
        <w:rPr>
          <w:rFonts w:ascii="Arial" w:eastAsia="Arial" w:hAnsi="Arial" w:cs="Arial"/>
          <w:color w:val="000000"/>
        </w:rPr>
        <w:t xml:space="preserve">Ribarstvo i akvakultura, kroz planove za modernizaciju sektora, nadzor, kontrolu ulova i razvoj marikulture, imaju snažan uticaj na morski biodiverzitet. NSBAP </w:t>
      </w:r>
      <w:r>
        <w:rPr>
          <w:rFonts w:ascii="Arial" w:eastAsia="Arial" w:hAnsi="Arial" w:cs="Arial"/>
        </w:rPr>
        <w:t>obezbjedjuje</w:t>
      </w:r>
      <w:r>
        <w:rPr>
          <w:rFonts w:ascii="Arial" w:eastAsia="Arial" w:hAnsi="Arial" w:cs="Arial"/>
          <w:color w:val="000000"/>
        </w:rPr>
        <w:t xml:space="preserve"> mjere koje dodatno naglasavju potrebu </w:t>
      </w:r>
      <w:r>
        <w:rPr>
          <w:rFonts w:ascii="Arial" w:eastAsia="Arial" w:hAnsi="Arial" w:cs="Arial"/>
        </w:rPr>
        <w:t>uvodjenje</w:t>
      </w:r>
      <w:r>
        <w:rPr>
          <w:rFonts w:ascii="Arial" w:eastAsia="Arial" w:hAnsi="Arial" w:cs="Arial"/>
          <w:color w:val="000000"/>
        </w:rPr>
        <w:t xml:space="preserve"> ekosistemsk</w:t>
      </w:r>
      <w:r>
        <w:rPr>
          <w:rFonts w:ascii="Arial" w:eastAsia="Arial" w:hAnsi="Arial" w:cs="Arial"/>
        </w:rPr>
        <w:t>og</w:t>
      </w:r>
      <w:r>
        <w:rPr>
          <w:rFonts w:ascii="Arial" w:eastAsia="Arial" w:hAnsi="Arial" w:cs="Arial"/>
          <w:color w:val="000000"/>
        </w:rPr>
        <w:t xml:space="preserve"> pristupa upravljanju ribarstvom, zaštitu mrijestilišta, smanjenje prilova i integraciju sa prostornim planiranjem mora i mrežom morskih zaštićenih područja.</w:t>
      </w:r>
    </w:p>
    <w:p w:rsidR="00D14804" w:rsidRDefault="00E47E1B">
      <w:pPr>
        <w:spacing w:before="120" w:after="120" w:line="240" w:lineRule="auto"/>
        <w:jc w:val="both"/>
        <w:rPr>
          <w:rFonts w:ascii="Arial" w:eastAsia="Arial" w:hAnsi="Arial" w:cs="Arial"/>
        </w:rPr>
      </w:pPr>
      <w:r>
        <w:rPr>
          <w:rFonts w:ascii="Arial" w:eastAsia="Arial" w:hAnsi="Arial" w:cs="Arial"/>
        </w:rPr>
        <w:t>U saobraćaju i infrastrukturi rizici za biodiverzitet odnose se prvenstveno na fragmentaciju staništa, širenje putne, željezničke i lučke infrastrukture, kao i na pojačane pritiske na obalne, riječne i planinske ekosisteme. Iako je procjena uticaja na životnu sredinu, uključujući stratešku procjenu, normativno uređena i sprovodi se u skladu sa važećim zakonodavstvom, u praksi biodiverzitetski aspekti često nijesu dovoljno razrađeni, naročito u pogledu kumulativnih uticaja, ekološke povezanosti i dugoročnih efekata na ekosisteme. NSBAP doprinosi unapređenju kvaliteta i dosljednosti primjene postojećih procedura procjene uticaja kroz jasnije smjernice za razmatranje biodiverziteta, sistematsko definisanje i uključivanje ekoloških koridora i osjetljivih područja u planiranje saobraćajnih ruta, kao i jačanje praćenja sprovođenja mjera izbjegavanja, umanjenja i restauracije.</w:t>
      </w:r>
    </w:p>
    <w:p w:rsidR="00D14804" w:rsidRDefault="00E47E1B">
      <w:pPr>
        <w:spacing w:before="120" w:after="120" w:line="240" w:lineRule="auto"/>
        <w:jc w:val="both"/>
        <w:rPr>
          <w:rFonts w:ascii="Arial" w:eastAsia="Arial" w:hAnsi="Arial" w:cs="Arial"/>
        </w:rPr>
      </w:pPr>
      <w:r>
        <w:rPr>
          <w:rFonts w:ascii="Arial" w:eastAsia="Arial" w:hAnsi="Arial" w:cs="Arial"/>
        </w:rPr>
        <w:t xml:space="preserve">Cirkularna ekonomija kroz Nacionalnu strategiju cirkularne tranzicije do 2030. godine, ima potencijal da smanji pritiske na biodiverzitet kroz efikasnije korišćenje resursa, smanjenje nastanka otpada, ponovnu upotrebu materijala i ograničavanje zagađenja kopnenih i vodenih ekosistema. Međutim, u praksi mjere cirkularne tranzicije nijesu sistematski povezane sa ciljevima očuvanja i obnove biodiverziteta, niti su usmjerene na konkretna staništa i ekosisteme. Izostaje teritorijalni pristup koji bi povezao cirkularne mjere sa zaštićenim područjima, ekološkim koridorima i degradiranim zonama koje zahtijevaju restauraciju. NSBAP obezbjedjuje mjere za dodatnu i konkretniju, mjerljiviju integraciju ciljeva biodiverziteta u sektorske politike cirkularne ekonomije, uključujući uvođenje </w:t>
      </w:r>
      <w:sdt>
        <w:sdtPr>
          <w:tag w:val="goog_rdk_7"/>
          <w:id w:val="374958108"/>
          <w:showingPlcHdr/>
        </w:sdtPr>
        <w:sdtEndPr/>
        <w:sdtContent>
          <w:r w:rsidR="008722E0">
            <w:t xml:space="preserve">     </w:t>
          </w:r>
        </w:sdtContent>
      </w:sdt>
      <w:r>
        <w:rPr>
          <w:rFonts w:ascii="Arial" w:eastAsia="Arial" w:hAnsi="Arial" w:cs="Arial"/>
        </w:rPr>
        <w:t>pristupa provjere integracije biodiverziteta u sektorske politike i planove, praćenje uticaja na staništa i vrste, kao i usklađivanje sa ciljevima zastite i obnove ekosistema.</w:t>
      </w:r>
    </w:p>
    <w:p w:rsidR="00D14804" w:rsidRPr="008722E0" w:rsidRDefault="00E47E1B">
      <w:pPr>
        <w:spacing w:before="120" w:after="120" w:line="240" w:lineRule="auto"/>
        <w:jc w:val="both"/>
        <w:rPr>
          <w:rFonts w:ascii="Arial" w:eastAsia="Arial" w:hAnsi="Arial" w:cs="Arial"/>
        </w:rPr>
      </w:pPr>
      <w:r w:rsidRPr="008722E0">
        <w:rPr>
          <w:rFonts w:ascii="Arial" w:eastAsia="Arial" w:hAnsi="Arial" w:cs="Arial"/>
        </w:rPr>
        <w:t xml:space="preserve">NSBAP jasno definiše integraciju ekološke osjetljivosti, koridora, zaštićenih i planiranih restauracionih područja u prostorne planove svih nivoa, uz obaveznu primjenu mjera iz </w:t>
      </w:r>
      <w:r w:rsidRPr="008722E0">
        <w:rPr>
          <w:rFonts w:ascii="Arial" w:eastAsia="Arial" w:hAnsi="Arial" w:cs="Arial"/>
        </w:rPr>
        <w:lastRenderedPageBreak/>
        <w:t>strateških procjena i kumulativnih analiza pritisaka, naročito u obalnom i planinskom području gdje se dešava najveći konflikt između razvoja i zaštite prirode. Ovo predstavlja temelj za zaustavljanje daljeg gubitka staništa i fragmentacije prostora, te za očuvanje funkcionalne prostorne povezanosti ekosistema.</w:t>
      </w:r>
    </w:p>
    <w:p w:rsidR="00D14804" w:rsidRPr="00232084" w:rsidRDefault="00E47E1B">
      <w:pPr>
        <w:spacing w:before="120" w:after="120" w:line="240" w:lineRule="auto"/>
        <w:jc w:val="both"/>
        <w:rPr>
          <w:rFonts w:ascii="Arial" w:eastAsia="Arial" w:hAnsi="Arial" w:cs="Arial"/>
        </w:rPr>
      </w:pPr>
      <w:r>
        <w:rPr>
          <w:rFonts w:ascii="Arial" w:eastAsia="Arial" w:hAnsi="Arial" w:cs="Arial"/>
          <w:color w:val="000000"/>
        </w:rPr>
        <w:t xml:space="preserve">Sveobuhvatno posmatrano, NSBAP 2026–2031 je komplementarna glavnim razvojnim pravcima Crne Gore, ali uspjeh njene implementacije zavisi od jačanja međusektorske koordinacije, </w:t>
      </w:r>
      <w:r w:rsidRPr="00885D93">
        <w:rPr>
          <w:rFonts w:ascii="Arial" w:eastAsia="Arial" w:hAnsi="Arial" w:cs="Arial"/>
          <w:color w:val="000000"/>
        </w:rPr>
        <w:t>uspostavljanja stabilnih mehanizama finansiranja</w:t>
      </w:r>
      <w:r w:rsidRPr="00885D93">
        <w:rPr>
          <w:rFonts w:ascii="Arial" w:eastAsia="Arial" w:hAnsi="Arial" w:cs="Arial"/>
        </w:rPr>
        <w:t xml:space="preserve"> i dosljedne integracije i sprovođenja </w:t>
      </w:r>
      <w:r w:rsidR="0073617E" w:rsidRPr="00885D93">
        <w:rPr>
          <w:rFonts w:ascii="Arial" w:eastAsia="Arial" w:hAnsi="Arial" w:cs="Arial"/>
        </w:rPr>
        <w:t>NSBAP</w:t>
      </w:r>
      <w:r w:rsidRPr="00885D93">
        <w:rPr>
          <w:rFonts w:ascii="Arial" w:eastAsia="Arial" w:hAnsi="Arial" w:cs="Arial"/>
        </w:rPr>
        <w:t xml:space="preserve"> preporuka/smjernica od strane sektora </w:t>
      </w:r>
      <w:r w:rsidRPr="00885D93">
        <w:rPr>
          <w:rFonts w:ascii="Arial" w:eastAsia="Arial" w:hAnsi="Arial" w:cs="Arial"/>
          <w:color w:val="000000"/>
        </w:rPr>
        <w:t xml:space="preserve">čije politike stvaraju pritiske na </w:t>
      </w:r>
      <w:r w:rsidRPr="00885D93">
        <w:rPr>
          <w:rFonts w:ascii="Arial" w:eastAsia="Arial" w:hAnsi="Arial" w:cs="Arial"/>
        </w:rPr>
        <w:t xml:space="preserve">biodiverzitet </w:t>
      </w:r>
      <w:r w:rsidR="008722E0" w:rsidRPr="00885D93">
        <w:rPr>
          <w:rFonts w:ascii="Arial" w:eastAsia="Arial" w:hAnsi="Arial" w:cs="Arial"/>
        </w:rPr>
        <w:t>(</w:t>
      </w:r>
      <w:r w:rsidR="00232084" w:rsidRPr="00885D93">
        <w:rPr>
          <w:rFonts w:ascii="Arial" w:eastAsia="Arial" w:hAnsi="Arial" w:cs="Arial"/>
        </w:rPr>
        <w:t xml:space="preserve">detaljan prikaz dat je u </w:t>
      </w:r>
      <w:r w:rsidR="008722E0" w:rsidRPr="00885D93">
        <w:rPr>
          <w:rFonts w:ascii="Arial" w:eastAsia="Arial" w:hAnsi="Arial" w:cs="Arial"/>
        </w:rPr>
        <w:t>Tabela 01, Prilog I</w:t>
      </w:r>
      <w:r w:rsidRPr="00885D93">
        <w:rPr>
          <w:rFonts w:ascii="Arial" w:eastAsia="Arial" w:hAnsi="Arial" w:cs="Arial"/>
        </w:rPr>
        <w:t>). Ključna</w:t>
      </w:r>
      <w:r w:rsidRPr="00232084">
        <w:rPr>
          <w:rFonts w:ascii="Arial" w:eastAsia="Arial" w:hAnsi="Arial" w:cs="Arial"/>
        </w:rPr>
        <w:t xml:space="preserve"> </w:t>
      </w:r>
      <w:r>
        <w:rPr>
          <w:rFonts w:ascii="Arial" w:eastAsia="Arial" w:hAnsi="Arial" w:cs="Arial"/>
          <w:color w:val="000000"/>
        </w:rPr>
        <w:t>poruka je da zaštita prirode ne može više biti tretirana kao izolovana politika, već kao sastavni dio razvojne i pregovaračke agende u okviru p</w:t>
      </w:r>
      <w:r>
        <w:rPr>
          <w:rFonts w:ascii="Arial" w:eastAsia="Arial" w:hAnsi="Arial" w:cs="Arial"/>
        </w:rPr>
        <w:t xml:space="preserve">ristupanja </w:t>
      </w:r>
      <w:r>
        <w:rPr>
          <w:rFonts w:ascii="Arial" w:eastAsia="Arial" w:hAnsi="Arial" w:cs="Arial"/>
          <w:color w:val="000000"/>
        </w:rPr>
        <w:t>Crne Gore EU. NSBAP je stoga instrument koji istovremeno podr</w:t>
      </w:r>
      <w:r>
        <w:rPr>
          <w:rFonts w:ascii="Arial" w:eastAsia="Arial" w:hAnsi="Arial" w:cs="Arial"/>
        </w:rPr>
        <w:t>ž</w:t>
      </w:r>
      <w:r>
        <w:rPr>
          <w:rFonts w:ascii="Arial" w:eastAsia="Arial" w:hAnsi="Arial" w:cs="Arial"/>
          <w:color w:val="000000"/>
        </w:rPr>
        <w:t xml:space="preserve">ava razvoj, priprema </w:t>
      </w:r>
      <w:r w:rsidRPr="00232084">
        <w:rPr>
          <w:rFonts w:ascii="Arial" w:eastAsia="Arial" w:hAnsi="Arial" w:cs="Arial"/>
        </w:rPr>
        <w:t xml:space="preserve">državu za EU članstvo i jača otpornost ekosistema kao temelja dugoročnog održivog razvoja društva, doprinoseći tako ispunjavanju globalno preuzetih obaveza (definisanih GBF-om). </w:t>
      </w:r>
    </w:p>
    <w:p w:rsidR="00D14804" w:rsidRPr="008722E0" w:rsidRDefault="00E47E1B">
      <w:pPr>
        <w:spacing w:before="280" w:after="280" w:line="240" w:lineRule="auto"/>
        <w:jc w:val="both"/>
        <w:rPr>
          <w:rFonts w:ascii="Arial" w:eastAsia="Arial" w:hAnsi="Arial" w:cs="Arial"/>
        </w:rPr>
      </w:pPr>
      <w:r w:rsidRPr="008722E0">
        <w:rPr>
          <w:rFonts w:ascii="Arial" w:eastAsia="Arial" w:hAnsi="Arial" w:cs="Arial"/>
        </w:rPr>
        <w:t>Zbog toga NSBAP zagovara prelazak sa paralelnog sektorskog planiranja na integrisani pristup koji omogućava usklađeno sagledavanje ciljeva zaštite prirode, ekonomskog razvoja i društvenog blagostanja. To podrazumijeva snažniju međuresornu koordinaciju, obavezujuće mehanizme usklađivanja sektorskih strategija sa NSBAP-om, unapređenje metodologije izrade strateških dokumenata i dosljednu primjenu mjera kroz postupke strateške procjene uticaja (SEA/EIA).</w:t>
      </w:r>
    </w:p>
    <w:p w:rsidR="00D14804" w:rsidRPr="008722E0" w:rsidRDefault="00E47E1B">
      <w:pPr>
        <w:spacing w:before="280" w:after="280" w:line="240" w:lineRule="auto"/>
        <w:jc w:val="both"/>
        <w:rPr>
          <w:rFonts w:ascii="Arial" w:eastAsia="Arial" w:hAnsi="Arial" w:cs="Arial"/>
        </w:rPr>
      </w:pPr>
      <w:r w:rsidRPr="008722E0">
        <w:rPr>
          <w:rFonts w:ascii="Arial" w:eastAsia="Arial" w:hAnsi="Arial" w:cs="Arial"/>
        </w:rPr>
        <w:t>Posebnu ulogu u tom procesu ima sistemski pristup „biodiversity-proofing“, kojim se politike, planovi i programi procjenjuju u odnosu na njihove potencijalne uticaje na biodiverzitet, uz pravovremeno prepoznavanje rizika i prilagođavanje mjera.</w:t>
      </w:r>
    </w:p>
    <w:p w:rsidR="00D14804" w:rsidRPr="008722E0" w:rsidRDefault="00E47E1B">
      <w:pPr>
        <w:spacing w:before="280" w:after="280" w:line="240" w:lineRule="auto"/>
        <w:jc w:val="both"/>
        <w:rPr>
          <w:rFonts w:ascii="Arial" w:eastAsia="Arial" w:hAnsi="Arial" w:cs="Arial"/>
        </w:rPr>
      </w:pPr>
      <w:r w:rsidRPr="008722E0">
        <w:rPr>
          <w:rFonts w:ascii="Arial" w:eastAsia="Arial" w:hAnsi="Arial" w:cs="Arial"/>
        </w:rPr>
        <w:t>Na taj način NSBAP se pozicionira kao centralni okvir za usmjeravanje razvojnih politika ka održivosti, jačajući otpornost ekosistema kao temelja dugoročnog razvoja i evropske integracije Crne Gore.</w:t>
      </w:r>
    </w:p>
    <w:p w:rsidR="00D14804" w:rsidRDefault="00D14804">
      <w:pPr>
        <w:pBdr>
          <w:top w:val="nil"/>
          <w:left w:val="nil"/>
          <w:bottom w:val="nil"/>
          <w:right w:val="nil"/>
          <w:between w:val="nil"/>
        </w:pBdr>
        <w:spacing w:after="0"/>
        <w:jc w:val="both"/>
        <w:rPr>
          <w:rFonts w:ascii="Arial" w:eastAsia="Arial" w:hAnsi="Arial" w:cs="Arial"/>
          <w:color w:val="000000"/>
        </w:rPr>
      </w:pPr>
    </w:p>
    <w:p w:rsidR="00D14804" w:rsidRDefault="008722E0">
      <w:pPr>
        <w:pStyle w:val="Heading2"/>
        <w:rPr>
          <w:rFonts w:ascii="Arial" w:eastAsia="Arial" w:hAnsi="Arial" w:cs="Arial"/>
          <w:sz w:val="32"/>
          <w:szCs w:val="32"/>
        </w:rPr>
      </w:pPr>
      <w:bookmarkStart w:id="9" w:name="_Toc222754358"/>
      <w:r>
        <w:rPr>
          <w:rFonts w:ascii="Arial" w:eastAsia="Arial" w:hAnsi="Arial" w:cs="Arial"/>
          <w:sz w:val="32"/>
          <w:szCs w:val="32"/>
        </w:rPr>
        <w:t xml:space="preserve">1.5 </w:t>
      </w:r>
      <w:r w:rsidR="00E47E1B">
        <w:rPr>
          <w:rFonts w:ascii="Arial" w:eastAsia="Arial" w:hAnsi="Arial" w:cs="Arial"/>
          <w:sz w:val="32"/>
          <w:szCs w:val="32"/>
        </w:rPr>
        <w:t>Pozicioniranje NSBAP u pravnom okviru Crne Gore</w:t>
      </w:r>
      <w:bookmarkEnd w:id="9"/>
    </w:p>
    <w:p w:rsidR="00D14804" w:rsidRDefault="00E47E1B">
      <w:pPr>
        <w:pBdr>
          <w:top w:val="nil"/>
          <w:left w:val="nil"/>
          <w:bottom w:val="nil"/>
          <w:right w:val="nil"/>
          <w:between w:val="nil"/>
        </w:pBdr>
        <w:spacing w:before="240" w:after="240" w:line="240" w:lineRule="auto"/>
        <w:jc w:val="both"/>
        <w:rPr>
          <w:rFonts w:ascii="Arial" w:eastAsia="Arial" w:hAnsi="Arial" w:cs="Arial"/>
        </w:rPr>
      </w:pPr>
      <w:r>
        <w:rPr>
          <w:rFonts w:ascii="Arial" w:eastAsia="Arial" w:hAnsi="Arial" w:cs="Arial"/>
          <w:color w:val="000000"/>
        </w:rPr>
        <w:t>Ovaj pregled predstavlja sažetu analizu ključnih propisa relevantnih za izradu NSBAP. Analizirani su zakoni koji direktno ili indirektno utiču na stanje vrsta, staništa i ekosistema, uključujući oblasti zaštite prirode, životne sredine, planiranja prostora, upravljanja resursima, ribarstva, poljoprivrede, šumarstva, voda, morsk</w:t>
      </w:r>
      <w:r>
        <w:rPr>
          <w:rFonts w:ascii="Arial" w:eastAsia="Arial" w:hAnsi="Arial" w:cs="Arial"/>
        </w:rPr>
        <w:t>e</w:t>
      </w:r>
      <w:r>
        <w:rPr>
          <w:rFonts w:ascii="Arial" w:eastAsia="Arial" w:hAnsi="Arial" w:cs="Arial"/>
          <w:color w:val="000000"/>
        </w:rPr>
        <w:t xml:space="preserve"> sredine</w:t>
      </w:r>
      <w:r>
        <w:rPr>
          <w:rFonts w:ascii="Arial" w:eastAsia="Arial" w:hAnsi="Arial" w:cs="Arial"/>
        </w:rPr>
        <w:t>, morskog</w:t>
      </w:r>
      <w:r>
        <w:rPr>
          <w:rFonts w:ascii="Arial" w:eastAsia="Arial" w:hAnsi="Arial" w:cs="Arial"/>
          <w:color w:val="000000"/>
        </w:rPr>
        <w:t xml:space="preserve"> dobra, energetike, otpadnih voda i otpada i klimatskih promjena. Procjena obuhvata: normativni okvir, izazove u primjeni, moguće konflikte sa ciljevima očuvanja biodiverziteta i realcij</w:t>
      </w:r>
      <w:r>
        <w:rPr>
          <w:rFonts w:ascii="Arial" w:eastAsia="Arial" w:hAnsi="Arial" w:cs="Arial"/>
        </w:rPr>
        <w:t>u</w:t>
      </w:r>
      <w:r>
        <w:rPr>
          <w:rFonts w:ascii="Arial" w:eastAsia="Arial" w:hAnsi="Arial" w:cs="Arial"/>
          <w:color w:val="000000"/>
        </w:rPr>
        <w:t xml:space="preserve"> svakog zakona sa KM-GBF.</w:t>
      </w:r>
    </w:p>
    <w:p w:rsidR="00D14804" w:rsidRDefault="008722E0">
      <w:pPr>
        <w:pStyle w:val="Heading3"/>
        <w:rPr>
          <w:rFonts w:ascii="Arial" w:eastAsia="Arial" w:hAnsi="Arial" w:cs="Arial"/>
          <w:sz w:val="26"/>
          <w:szCs w:val="26"/>
        </w:rPr>
      </w:pPr>
      <w:bookmarkStart w:id="10" w:name="_Toc222754359"/>
      <w:r>
        <w:rPr>
          <w:rFonts w:ascii="Arial" w:eastAsia="Arial" w:hAnsi="Arial" w:cs="Arial"/>
          <w:sz w:val="26"/>
          <w:szCs w:val="26"/>
        </w:rPr>
        <w:t xml:space="preserve">1.5.1 </w:t>
      </w:r>
      <w:r w:rsidR="00E47E1B">
        <w:rPr>
          <w:rFonts w:ascii="Arial" w:eastAsia="Arial" w:hAnsi="Arial" w:cs="Arial"/>
          <w:sz w:val="26"/>
          <w:szCs w:val="26"/>
        </w:rPr>
        <w:t>Zakoni koji nemaju normativne konflikte, ali imaju izazove u implementaciji</w:t>
      </w:r>
      <w:bookmarkEnd w:id="10"/>
    </w:p>
    <w:p w:rsidR="00D14804" w:rsidRDefault="00E47E1B">
      <w:pPr>
        <w:pBdr>
          <w:top w:val="nil"/>
          <w:left w:val="nil"/>
          <w:bottom w:val="nil"/>
          <w:right w:val="nil"/>
          <w:between w:val="nil"/>
        </w:pBdr>
        <w:spacing w:before="240" w:after="240" w:line="240" w:lineRule="auto"/>
        <w:jc w:val="both"/>
        <w:rPr>
          <w:rFonts w:ascii="Arial" w:eastAsia="Arial" w:hAnsi="Arial" w:cs="Arial"/>
          <w:color w:val="000000"/>
        </w:rPr>
      </w:pPr>
      <w:r>
        <w:rPr>
          <w:rFonts w:ascii="Arial" w:eastAsia="Arial" w:hAnsi="Arial" w:cs="Arial"/>
          <w:color w:val="000000"/>
        </w:rPr>
        <w:t>Sljedeći zakoni su usklađeni sa ciljevima zaštite biodiverziteta i ne sadrže odredbe koje bi bile u koliziji sa principima očuvanja prirode. Međutim, izazovi se javljaju u njihovoj praktičnoj primjeni, posebno zbog ograničenih kapaciteta, nedovoljnih podataka, slabe međusektorske koordinacije i nedosljedne primjene zaštitnih mjera:</w:t>
      </w:r>
    </w:p>
    <w:p w:rsidR="00D14804" w:rsidRPr="001E7C35" w:rsidRDefault="00E47E1B" w:rsidP="008166A6">
      <w:pPr>
        <w:numPr>
          <w:ilvl w:val="0"/>
          <w:numId w:val="8"/>
        </w:numPr>
        <w:pBdr>
          <w:top w:val="nil"/>
          <w:left w:val="nil"/>
          <w:bottom w:val="nil"/>
          <w:right w:val="nil"/>
          <w:between w:val="nil"/>
        </w:pBdr>
        <w:spacing w:after="0" w:line="240" w:lineRule="auto"/>
        <w:ind w:left="714" w:hanging="357"/>
        <w:jc w:val="both"/>
        <w:rPr>
          <w:rFonts w:ascii="Times New Roman" w:eastAsia="Times New Roman" w:hAnsi="Times New Roman" w:cs="Times New Roman"/>
          <w:color w:val="000000"/>
          <w:sz w:val="20"/>
          <w:szCs w:val="20"/>
        </w:rPr>
      </w:pPr>
      <w:r w:rsidRPr="001E7C35">
        <w:rPr>
          <w:rFonts w:ascii="Arial" w:eastAsia="Arial" w:hAnsi="Arial" w:cs="Arial"/>
          <w:b/>
          <w:bCs/>
          <w:color w:val="000000"/>
          <w:sz w:val="20"/>
          <w:szCs w:val="20"/>
        </w:rPr>
        <w:t xml:space="preserve">Zakon o zaštiti prirode </w:t>
      </w:r>
      <w:r w:rsidRPr="001E7C35">
        <w:rPr>
          <w:rFonts w:ascii="Arial" w:eastAsia="Arial" w:hAnsi="Arial" w:cs="Arial"/>
          <w:color w:val="000000"/>
          <w:sz w:val="20"/>
          <w:szCs w:val="20"/>
        </w:rPr>
        <w:t>(„Službeni list CG“, br. 54/16 i 18/19)</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 o životnoj sredini </w:t>
      </w:r>
      <w:r>
        <w:rPr>
          <w:rFonts w:ascii="Arial" w:eastAsia="Arial" w:hAnsi="Arial" w:cs="Arial"/>
          <w:color w:val="000000"/>
          <w:sz w:val="20"/>
          <w:szCs w:val="20"/>
        </w:rPr>
        <w:t>(„Službeni list CG“, broj 52/16)</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 o procjeni uticaja na životnu sredinu </w:t>
      </w:r>
      <w:r>
        <w:rPr>
          <w:rFonts w:ascii="Arial" w:eastAsia="Arial" w:hAnsi="Arial" w:cs="Arial"/>
          <w:color w:val="000000"/>
          <w:sz w:val="20"/>
          <w:szCs w:val="20"/>
        </w:rPr>
        <w:t>(„Službeni list CG“, br. 75/18 i 59/21)</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lastRenderedPageBreak/>
        <w:t xml:space="preserve">Zakon o strateškoj procjeni uticaja na životnu sredinu </w:t>
      </w:r>
      <w:r>
        <w:rPr>
          <w:rFonts w:ascii="Arial" w:eastAsia="Arial" w:hAnsi="Arial" w:cs="Arial"/>
          <w:color w:val="000000"/>
          <w:sz w:val="20"/>
          <w:szCs w:val="20"/>
        </w:rPr>
        <w:t>(„Službeni list CG“, broj 94/24)</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 o invazivnim stranim vrstama </w:t>
      </w:r>
      <w:r>
        <w:rPr>
          <w:rFonts w:ascii="Arial" w:eastAsia="Arial" w:hAnsi="Arial" w:cs="Arial"/>
          <w:color w:val="000000"/>
          <w:sz w:val="20"/>
          <w:szCs w:val="20"/>
        </w:rPr>
        <w:t>(„Službeni list CG“, broj 18/19)</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 o zaštiti morske sredine </w:t>
      </w:r>
      <w:r>
        <w:rPr>
          <w:rFonts w:ascii="Arial" w:eastAsia="Arial" w:hAnsi="Arial" w:cs="Arial"/>
          <w:color w:val="000000"/>
          <w:sz w:val="20"/>
          <w:szCs w:val="20"/>
        </w:rPr>
        <w:t>(„Službeni list CG“, broj. 73/19)</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Zakon o nacionalnim parkovima</w:t>
      </w:r>
      <w:r>
        <w:rPr>
          <w:rFonts w:ascii="Arial" w:eastAsia="Arial" w:hAnsi="Arial" w:cs="Arial"/>
          <w:color w:val="000000"/>
          <w:sz w:val="20"/>
          <w:szCs w:val="20"/>
        </w:rPr>
        <w:t xml:space="preserve"> („Službeni list CG“, broj 39/16)</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Zakona o klimatskim promjenama </w:t>
      </w:r>
      <w:r>
        <w:rPr>
          <w:rFonts w:ascii="Arial" w:eastAsia="Arial" w:hAnsi="Arial" w:cs="Arial"/>
          <w:color w:val="000000"/>
          <w:sz w:val="20"/>
          <w:szCs w:val="20"/>
        </w:rPr>
        <w:t>(</w:t>
      </w:r>
      <w:r>
        <w:rPr>
          <w:rFonts w:ascii="Arial" w:eastAsia="Arial" w:hAnsi="Arial" w:cs="Arial"/>
          <w:sz w:val="20"/>
          <w:szCs w:val="20"/>
        </w:rPr>
        <w:t>„Službeni list CG“, broj 149/2025)</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color w:val="000000"/>
          <w:sz w:val="20"/>
          <w:szCs w:val="20"/>
        </w:rPr>
      </w:pPr>
      <w:r>
        <w:rPr>
          <w:rFonts w:ascii="Arial" w:eastAsia="Arial" w:hAnsi="Arial" w:cs="Arial"/>
          <w:b/>
          <w:bCs/>
          <w:color w:val="000000"/>
          <w:sz w:val="20"/>
          <w:szCs w:val="20"/>
        </w:rPr>
        <w:t xml:space="preserve">Zakon o upravljanju otpadom </w:t>
      </w:r>
      <w:r>
        <w:rPr>
          <w:rFonts w:ascii="Arial" w:eastAsia="Arial" w:hAnsi="Arial" w:cs="Arial"/>
          <w:color w:val="000000"/>
          <w:sz w:val="20"/>
          <w:szCs w:val="20"/>
        </w:rPr>
        <w:t>(„Službeni list CG“, broj 34/24 i 92/24)</w:t>
      </w:r>
    </w:p>
    <w:p w:rsidR="00D14804" w:rsidRDefault="00E47E1B" w:rsidP="008166A6">
      <w:pPr>
        <w:numPr>
          <w:ilvl w:val="0"/>
          <w:numId w:val="8"/>
        </w:numPr>
        <w:pBdr>
          <w:top w:val="nil"/>
          <w:left w:val="nil"/>
          <w:bottom w:val="nil"/>
          <w:right w:val="nil"/>
          <w:between w:val="nil"/>
        </w:pBdr>
        <w:spacing w:after="0" w:line="240" w:lineRule="auto"/>
        <w:ind w:left="714" w:hanging="357"/>
        <w:jc w:val="both"/>
        <w:rPr>
          <w:rFonts w:ascii="Arial" w:eastAsia="Arial" w:hAnsi="Arial" w:cs="Arial"/>
          <w:b/>
          <w:bCs/>
          <w:sz w:val="20"/>
          <w:szCs w:val="20"/>
        </w:rPr>
      </w:pPr>
      <w:r>
        <w:rPr>
          <w:rFonts w:ascii="Arial" w:eastAsia="Arial" w:hAnsi="Arial" w:cs="Arial"/>
          <w:b/>
          <w:bCs/>
          <w:sz w:val="20"/>
          <w:szCs w:val="20"/>
        </w:rPr>
        <w:t>Zakon o opravljanju komunalnim otpadnim vodama</w:t>
      </w:r>
      <w:r>
        <w:rPr>
          <w:rFonts w:ascii="Arial" w:eastAsia="Arial" w:hAnsi="Arial" w:cs="Arial"/>
          <w:sz w:val="20"/>
          <w:szCs w:val="20"/>
        </w:rPr>
        <w:t xml:space="preserve"> („Službeni list CG“, br. 002/17 i 084/24)</w:t>
      </w:r>
    </w:p>
    <w:p w:rsidR="00D14804" w:rsidRDefault="00E47E1B">
      <w:pPr>
        <w:pBdr>
          <w:top w:val="nil"/>
          <w:left w:val="nil"/>
          <w:bottom w:val="nil"/>
          <w:right w:val="nil"/>
          <w:between w:val="nil"/>
        </w:pBdr>
        <w:spacing w:after="0" w:line="240" w:lineRule="auto"/>
        <w:ind w:left="720"/>
        <w:jc w:val="both"/>
        <w:rPr>
          <w:rFonts w:ascii="Arial" w:eastAsia="Arial" w:hAnsi="Arial" w:cs="Arial"/>
          <w:color w:val="000000"/>
          <w:sz w:val="20"/>
          <w:szCs w:val="20"/>
        </w:rPr>
      </w:pPr>
      <w:r>
        <w:rPr>
          <w:rFonts w:ascii="Arial" w:eastAsia="Arial" w:hAnsi="Arial" w:cs="Arial"/>
          <w:b/>
          <w:bCs/>
          <w:color w:val="000000"/>
          <w:sz w:val="20"/>
          <w:szCs w:val="20"/>
        </w:rPr>
        <w:t> </w:t>
      </w:r>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Kod ovih zakona ključni izazovi su: nedovoljni monitoring i dostupnost podataka, ograničeni tehnički i institucionalni kapaciteti, selektivna primjena procedura (npr. strateške procjene uticaja (SEA) i procjene uticaja (EIA)), ograničena primjena ekosistemskog pristupa i izazovi u integraciji ciljeva zaštite prirode u sektorske politike.</w:t>
      </w:r>
    </w:p>
    <w:p w:rsidR="00D14804" w:rsidRDefault="00D14804">
      <w:pPr>
        <w:pBdr>
          <w:top w:val="nil"/>
          <w:left w:val="nil"/>
          <w:bottom w:val="nil"/>
          <w:right w:val="nil"/>
          <w:between w:val="nil"/>
        </w:pBdr>
        <w:spacing w:after="0" w:line="240" w:lineRule="auto"/>
        <w:jc w:val="both"/>
        <w:rPr>
          <w:rFonts w:ascii="Arial" w:eastAsia="Arial" w:hAnsi="Arial" w:cs="Arial"/>
        </w:rPr>
      </w:pPr>
    </w:p>
    <w:p w:rsidR="00D14804" w:rsidRDefault="008722E0">
      <w:pPr>
        <w:pStyle w:val="Heading3"/>
        <w:rPr>
          <w:rFonts w:ascii="Arial" w:eastAsia="Arial" w:hAnsi="Arial" w:cs="Arial"/>
          <w:sz w:val="26"/>
          <w:szCs w:val="26"/>
        </w:rPr>
      </w:pPr>
      <w:bookmarkStart w:id="11" w:name="_Toc222754360"/>
      <w:r>
        <w:rPr>
          <w:rFonts w:ascii="Arial" w:eastAsia="Arial" w:hAnsi="Arial" w:cs="Arial"/>
          <w:sz w:val="26"/>
          <w:szCs w:val="26"/>
        </w:rPr>
        <w:t xml:space="preserve">1.5.2 </w:t>
      </w:r>
      <w:r w:rsidR="00E47E1B">
        <w:rPr>
          <w:rFonts w:ascii="Arial" w:eastAsia="Arial" w:hAnsi="Arial" w:cs="Arial"/>
          <w:sz w:val="26"/>
          <w:szCs w:val="26"/>
        </w:rPr>
        <w:t>Zakoni sa većim izazovima u implemntaciji i manjim tačkama potencijalnih konflikata</w:t>
      </w:r>
      <w:bookmarkEnd w:id="11"/>
    </w:p>
    <w:p w:rsidR="00D14804" w:rsidRDefault="00E47E1B">
      <w:pPr>
        <w:pBdr>
          <w:top w:val="nil"/>
          <w:left w:val="nil"/>
          <w:bottom w:val="nil"/>
          <w:right w:val="nil"/>
          <w:between w:val="nil"/>
        </w:pBdr>
        <w:spacing w:before="240" w:after="240" w:line="240" w:lineRule="auto"/>
        <w:jc w:val="both"/>
        <w:rPr>
          <w:rFonts w:ascii="Arial" w:eastAsia="Arial" w:hAnsi="Arial" w:cs="Arial"/>
          <w:color w:val="000000"/>
        </w:rPr>
      </w:pPr>
      <w:r>
        <w:rPr>
          <w:rFonts w:ascii="Arial" w:eastAsia="Arial" w:hAnsi="Arial" w:cs="Arial"/>
          <w:color w:val="000000"/>
        </w:rPr>
        <w:t>Druga grupa obuhvata zakone koji, pored izazova u sprovođenju, sadrže i određene norme koje mogu doći u konflikt sa ciljevima očuvanja biodiverziteta. To su uglavnom zakoni koji regulišu korišćenje prostora, prirodnih resursa ili privredne aktivnosti koje mogu generisati pritiske na ekosisteme, odnosno staništa i vrste pojedinačno:</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vodama</w:t>
      </w:r>
      <w:r>
        <w:rPr>
          <w:rFonts w:ascii="Arial" w:eastAsia="Arial" w:hAnsi="Arial" w:cs="Arial"/>
          <w:color w:val="000000"/>
          <w:sz w:val="20"/>
          <w:szCs w:val="20"/>
        </w:rPr>
        <w:t xml:space="preserve"> („Službeni list RCG“, br. 27/07; „Službeni list CG“, br. 32/11, 54/16, 10/21, 44/21, 47/22 i 84/24) – nedovoljna primjena ekološkog protoka, fragmentacija vodotokova, nedovoljno normirani ukupni uticaji.</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šumama</w:t>
      </w:r>
      <w:r>
        <w:rPr>
          <w:rFonts w:ascii="Arial" w:eastAsia="Arial" w:hAnsi="Arial" w:cs="Arial"/>
          <w:color w:val="000000"/>
          <w:sz w:val="20"/>
          <w:szCs w:val="20"/>
        </w:rPr>
        <w:t xml:space="preserve"> („Službeni list CG“, br. 77/24 i 92/25) – mogućnosti krčenja i prenamjene, standardi monitoringa, konflikt između ekonomskih i ekoloških funkcija.</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poljoprivredi i ruralnom razvoju</w:t>
      </w:r>
      <w:r>
        <w:rPr>
          <w:rFonts w:ascii="Arial" w:eastAsia="Arial" w:hAnsi="Arial" w:cs="Arial"/>
          <w:color w:val="000000"/>
          <w:sz w:val="20"/>
          <w:szCs w:val="20"/>
        </w:rPr>
        <w:t xml:space="preserve"> („Službeni list CG“, br. 56/09, 40/11, 14/17, 6/19, 52/21, 59/21) – nedovoljno razrađene agroekološke mjere, prekomjerna upotreba hemikalija/pesticida, degradacija zemljišta.</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divljači i lovstvu</w:t>
      </w:r>
      <w:r>
        <w:rPr>
          <w:rFonts w:ascii="Arial" w:eastAsia="Arial" w:hAnsi="Arial" w:cs="Arial"/>
          <w:color w:val="000000"/>
          <w:sz w:val="20"/>
          <w:szCs w:val="20"/>
        </w:rPr>
        <w:t xml:space="preserve"> („Službeni lis CG“, br. 52/08…51/25) – izuzeća za odstrel, široke nadležnosti korisnika lovišta, nedostatak verifikacije podataka o brojnosti.</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uređenju prostora</w:t>
      </w:r>
      <w:r>
        <w:rPr>
          <w:rFonts w:ascii="Arial" w:eastAsia="Arial" w:hAnsi="Arial" w:cs="Arial"/>
          <w:color w:val="000000"/>
          <w:sz w:val="20"/>
          <w:szCs w:val="20"/>
        </w:rPr>
        <w:t xml:space="preserve"> („Službeni list CG“, broj 19/25) – nejasni ekološki standardi u prostornim podlogama, slab uticaj SPU na planska rješenja.</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izgradnji objekata</w:t>
      </w:r>
      <w:r>
        <w:rPr>
          <w:rFonts w:ascii="Arial" w:eastAsia="Arial" w:hAnsi="Arial" w:cs="Arial"/>
          <w:color w:val="000000"/>
          <w:sz w:val="20"/>
          <w:szCs w:val="20"/>
        </w:rPr>
        <w:t xml:space="preserve"> („Službeni list CG“, broj 19/25) – biodiverzitet se razmatra tek u PU fazi, nadzor i sprovođenje mjera zaštite u građenju su ograničeni.</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energetici</w:t>
      </w:r>
      <w:r>
        <w:rPr>
          <w:rFonts w:ascii="Arial" w:eastAsia="Arial" w:hAnsi="Arial" w:cs="Arial"/>
          <w:color w:val="000000"/>
          <w:sz w:val="20"/>
          <w:szCs w:val="20"/>
        </w:rPr>
        <w:t xml:space="preserve"> („Službeni list CG“, broj 28/25) – odsustvo eksplicitnih ekoloških standarda, manjak procjena kumulativnih uticaja energetskih projekata.</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Zakon o morskom dobru</w:t>
      </w:r>
      <w:r>
        <w:rPr>
          <w:rFonts w:ascii="Arial" w:eastAsia="Arial" w:hAnsi="Arial" w:cs="Arial"/>
          <w:color w:val="000000"/>
          <w:sz w:val="20"/>
          <w:szCs w:val="20"/>
        </w:rPr>
        <w:t xml:space="preserve"> („Službeni list RCG“, br. 14/92, 59/92, 27/94; „Službeni list CG“, br. 51/08, 21/09, 73/10, 40/11) – omogućava gradnju na obalnoj liniji bez obaveze obalnog odmaka; neusaglašen sa savremenim </w:t>
      </w:r>
      <w:r>
        <w:rPr>
          <w:rFonts w:ascii="Arial" w:eastAsia="Arial" w:hAnsi="Arial" w:cs="Arial"/>
          <w:sz w:val="20"/>
          <w:szCs w:val="20"/>
        </w:rPr>
        <w:t xml:space="preserve">IUOP </w:t>
      </w:r>
      <w:r>
        <w:rPr>
          <w:rFonts w:ascii="Arial" w:eastAsia="Arial" w:hAnsi="Arial" w:cs="Arial"/>
          <w:color w:val="000000"/>
          <w:sz w:val="20"/>
          <w:szCs w:val="20"/>
        </w:rPr>
        <w:t>pristupom i EU standardima.</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 xml:space="preserve">Zakon o morskom ribarstvu </w:t>
      </w:r>
      <w:r>
        <w:rPr>
          <w:rFonts w:ascii="Arial" w:eastAsia="Arial" w:hAnsi="Arial" w:cs="Arial"/>
          <w:color w:val="000000"/>
          <w:sz w:val="20"/>
          <w:szCs w:val="20"/>
        </w:rPr>
        <w:t>(„Službeni list CG“, broj 69/25) – nadzor, kontrola, koordinacija, prekomjerni izlovi.</w:t>
      </w:r>
    </w:p>
    <w:p w:rsidR="00D14804" w:rsidRDefault="00E47E1B" w:rsidP="008166A6">
      <w:pPr>
        <w:numPr>
          <w:ilvl w:val="0"/>
          <w:numId w:val="9"/>
        </w:numPr>
        <w:pBdr>
          <w:top w:val="nil"/>
          <w:left w:val="nil"/>
          <w:bottom w:val="nil"/>
          <w:right w:val="nil"/>
          <w:between w:val="nil"/>
        </w:pBdr>
        <w:spacing w:after="0" w:line="240" w:lineRule="auto"/>
        <w:jc w:val="both"/>
        <w:rPr>
          <w:color w:val="000000"/>
          <w:sz w:val="20"/>
          <w:szCs w:val="20"/>
        </w:rPr>
      </w:pPr>
      <w:r>
        <w:rPr>
          <w:rFonts w:ascii="Arial" w:eastAsia="Arial" w:hAnsi="Arial" w:cs="Arial"/>
          <w:b/>
          <w:bCs/>
          <w:color w:val="000000"/>
          <w:sz w:val="20"/>
          <w:szCs w:val="20"/>
        </w:rPr>
        <w:t xml:space="preserve">Zakon o slatkovodnom ribarstvu i akvakulturi </w:t>
      </w:r>
      <w:r>
        <w:rPr>
          <w:rFonts w:ascii="Arial" w:eastAsia="Arial" w:hAnsi="Arial" w:cs="Arial"/>
          <w:color w:val="000000"/>
          <w:sz w:val="20"/>
          <w:szCs w:val="20"/>
        </w:rPr>
        <w:t>(„Službeni list CG“, br. 17/18 i 69/25) – nadzor, kontrola, koordinacija, prekomjerni izlovi.</w:t>
      </w:r>
    </w:p>
    <w:p w:rsidR="00D14804" w:rsidRDefault="00E47E1B">
      <w:pPr>
        <w:pBdr>
          <w:top w:val="nil"/>
          <w:left w:val="nil"/>
          <w:bottom w:val="nil"/>
          <w:right w:val="nil"/>
          <w:between w:val="nil"/>
        </w:pBdr>
        <w:spacing w:before="240" w:after="240" w:line="240" w:lineRule="auto"/>
        <w:jc w:val="both"/>
        <w:rPr>
          <w:rFonts w:ascii="Arial" w:eastAsia="Arial" w:hAnsi="Arial" w:cs="Arial"/>
          <w:color w:val="000000"/>
        </w:rPr>
      </w:pPr>
      <w:r>
        <w:rPr>
          <w:rFonts w:ascii="Arial" w:eastAsia="Arial" w:hAnsi="Arial" w:cs="Arial"/>
          <w:color w:val="000000"/>
        </w:rPr>
        <w:t xml:space="preserve">Kod ovih zakona postoji veća vjerovatnoća konflikta između razvojnih aktivnosti i očuvanja prirode, naročito u obavljanjima privredne djelatnosti ili intervencijama u prostoru, i to u oblastima: prostornog planiranja, infrastrukture, energetike, upravljanja šumama i vodama, te korišćenja morskog dobra i ribarstva. Ovi konflikti su posebno relevantni za ciljeve Strategije </w:t>
      </w:r>
      <w:r>
        <w:rPr>
          <w:rFonts w:ascii="Arial" w:eastAsia="Arial" w:hAnsi="Arial" w:cs="Arial"/>
          <w:color w:val="000000"/>
        </w:rPr>
        <w:lastRenderedPageBreak/>
        <w:t>biodiverziteta jer mogu uticati na gubitke staništa, gubitak ekoloških procesa, degradaciju ekosistema i smanjenje populacija vrsta.</w:t>
      </w:r>
    </w:p>
    <w:p w:rsidR="00D14804" w:rsidRDefault="00E47E1B">
      <w:pPr>
        <w:pBdr>
          <w:top w:val="nil"/>
          <w:left w:val="nil"/>
          <w:bottom w:val="nil"/>
          <w:right w:val="nil"/>
          <w:between w:val="nil"/>
        </w:pBdr>
        <w:spacing w:before="240" w:after="240" w:line="240" w:lineRule="auto"/>
        <w:jc w:val="both"/>
        <w:rPr>
          <w:rFonts w:ascii="Arial" w:eastAsia="Arial" w:hAnsi="Arial" w:cs="Arial"/>
          <w:color w:val="000000"/>
        </w:rPr>
      </w:pPr>
      <w:r>
        <w:rPr>
          <w:rFonts w:ascii="Arial" w:eastAsia="Arial" w:hAnsi="Arial" w:cs="Arial"/>
        </w:rPr>
        <w:t xml:space="preserve">Iako brojni drugi sektorski zakoni imaju dodirne tačke, a u pojedinim slučajevima i tačke potencijalnog konflikta sa zaštitom biodiverziteta, u ovoj analizi razmatrani su isključivo najvažniji zakoni, odnosno oni čije odredbe imaju najveći uticaj na stanje vrsta, staništa i ekosistema. </w:t>
      </w:r>
      <w:r w:rsidRPr="00885D93">
        <w:rPr>
          <w:rFonts w:ascii="Arial" w:eastAsia="Arial" w:hAnsi="Arial" w:cs="Arial"/>
        </w:rPr>
        <w:t>Detaljnija analiza prethodno pomenutih zakona data je u Tabeli</w:t>
      </w:r>
      <w:r w:rsidR="008722E0" w:rsidRPr="00885D93">
        <w:rPr>
          <w:rFonts w:ascii="Arial" w:eastAsia="Arial" w:hAnsi="Arial" w:cs="Arial"/>
        </w:rPr>
        <w:t xml:space="preserve"> 02 u Prilogu II</w:t>
      </w:r>
      <w:r w:rsidRPr="00885D93">
        <w:rPr>
          <w:rFonts w:ascii="Arial" w:eastAsia="Arial" w:hAnsi="Arial" w:cs="Arial"/>
        </w:rPr>
        <w:t>.</w:t>
      </w:r>
    </w:p>
    <w:p w:rsidR="00D14804" w:rsidRDefault="00D14804">
      <w:pPr>
        <w:pBdr>
          <w:top w:val="nil"/>
          <w:left w:val="nil"/>
          <w:bottom w:val="nil"/>
          <w:right w:val="nil"/>
          <w:between w:val="nil"/>
        </w:pBdr>
        <w:spacing w:after="200" w:line="240" w:lineRule="auto"/>
        <w:jc w:val="both"/>
        <w:rPr>
          <w:rFonts w:ascii="Arial" w:eastAsia="Arial" w:hAnsi="Arial" w:cs="Arial"/>
          <w:b/>
          <w:bCs/>
          <w:color w:val="000000"/>
        </w:rPr>
      </w:pPr>
    </w:p>
    <w:p w:rsidR="00D14804" w:rsidRDefault="008722E0">
      <w:pPr>
        <w:pStyle w:val="Heading2"/>
        <w:rPr>
          <w:rFonts w:ascii="Arial" w:eastAsia="Arial" w:hAnsi="Arial" w:cs="Arial"/>
          <w:sz w:val="32"/>
          <w:szCs w:val="32"/>
        </w:rPr>
      </w:pPr>
      <w:bookmarkStart w:id="12" w:name="_Toc222754361"/>
      <w:r>
        <w:rPr>
          <w:rFonts w:ascii="Arial" w:eastAsia="Arial" w:hAnsi="Arial" w:cs="Arial"/>
          <w:sz w:val="32"/>
          <w:szCs w:val="32"/>
        </w:rPr>
        <w:t xml:space="preserve">1.6 </w:t>
      </w:r>
      <w:r w:rsidR="00E47E1B">
        <w:rPr>
          <w:rFonts w:ascii="Arial" w:eastAsia="Arial" w:hAnsi="Arial" w:cs="Arial"/>
          <w:sz w:val="32"/>
          <w:szCs w:val="32"/>
        </w:rPr>
        <w:t>Metodologija izrade NSBAP 2026-2031</w:t>
      </w:r>
      <w:bookmarkEnd w:id="12"/>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Izrada Strategije biodiverziteta sprovedena je kroz participativan, transparentan i inkluzivan proces, sa ciljem obezbjeđivanja stručne utemeljenosti, širokog vlasništva nad dokumentom i njegove primjenjivosti u praksi. Proces je bio zasnovan na kombinaciji stručnog rada, institucionalne saradnje i aktivnog uključivanja relevantnih aktera sa nacionalnog i lokalnog nivoa.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Za izradu Strategije formiran je stručni tim zadužen za analizu stanja, definisanje ciljeva, mjera i indikatora, kao i usklađivanje dokumenta sa međunarodnim obavezama Crne Gore. Paralelno je uspostavljena </w:t>
      </w:r>
      <w:r w:rsidRPr="00302676">
        <w:rPr>
          <w:rFonts w:ascii="Arial" w:eastAsia="Arial" w:hAnsi="Arial" w:cs="Arial"/>
          <w:i/>
          <w:color w:val="000000"/>
        </w:rPr>
        <w:t>Radna grupa</w:t>
      </w:r>
      <w:r w:rsidR="00302676" w:rsidRPr="00302676">
        <w:rPr>
          <w:rFonts w:ascii="Arial" w:eastAsia="Arial" w:hAnsi="Arial" w:cs="Arial"/>
          <w:i/>
          <w:color w:val="000000"/>
        </w:rPr>
        <w:t xml:space="preserve"> za praćenje realizacije procesa pripreme</w:t>
      </w:r>
      <w:r w:rsidRPr="00302676">
        <w:rPr>
          <w:rFonts w:ascii="Arial" w:eastAsia="Arial" w:hAnsi="Arial" w:cs="Arial"/>
          <w:i/>
          <w:color w:val="000000"/>
        </w:rPr>
        <w:t xml:space="preserve"> </w:t>
      </w:r>
      <w:r w:rsidR="00302676" w:rsidRPr="00302676">
        <w:rPr>
          <w:rFonts w:ascii="Arial" w:eastAsia="Arial" w:hAnsi="Arial" w:cs="Arial"/>
          <w:i/>
          <w:color w:val="000000"/>
        </w:rPr>
        <w:t>NS</w:t>
      </w:r>
      <w:r w:rsidR="00302676">
        <w:rPr>
          <w:rFonts w:ascii="Arial" w:eastAsia="Arial" w:hAnsi="Arial" w:cs="Arial"/>
          <w:i/>
          <w:color w:val="000000"/>
        </w:rPr>
        <w:t>B</w:t>
      </w:r>
      <w:r w:rsidR="00302676" w:rsidRPr="00302676">
        <w:rPr>
          <w:rFonts w:ascii="Arial" w:eastAsia="Arial" w:hAnsi="Arial" w:cs="Arial"/>
          <w:i/>
          <w:color w:val="000000"/>
        </w:rPr>
        <w:t>AP</w:t>
      </w:r>
      <w:r w:rsidR="004F5BEA">
        <w:rPr>
          <w:rFonts w:ascii="Arial" w:eastAsia="Arial" w:hAnsi="Arial" w:cs="Arial"/>
          <w:i/>
          <w:color w:val="000000"/>
        </w:rPr>
        <w:t xml:space="preserve"> 2026-2031</w:t>
      </w:r>
      <w:r w:rsidR="00FA549D">
        <w:rPr>
          <w:rFonts w:ascii="Arial" w:eastAsia="Arial" w:hAnsi="Arial" w:cs="Arial"/>
          <w:i/>
          <w:color w:val="000000"/>
        </w:rPr>
        <w:t xml:space="preserve"> </w:t>
      </w:r>
      <w:r w:rsidR="00FA549D" w:rsidRPr="004F5BEA">
        <w:rPr>
          <w:rFonts w:ascii="Arial" w:eastAsia="Arial" w:hAnsi="Arial" w:cs="Arial"/>
          <w:color w:val="000000"/>
        </w:rPr>
        <w:t xml:space="preserve">(Br:052-011/25/25-1342/14 od </w:t>
      </w:r>
      <w:r w:rsidR="004F5BEA" w:rsidRPr="004F5BEA">
        <w:rPr>
          <w:rFonts w:ascii="Arial" w:eastAsia="Arial" w:hAnsi="Arial" w:cs="Arial"/>
          <w:color w:val="000000"/>
        </w:rPr>
        <w:t>06.11.2025.godine</w:t>
      </w:r>
      <w:r w:rsidR="00FA549D" w:rsidRPr="004F5BEA">
        <w:rPr>
          <w:rFonts w:ascii="Arial" w:eastAsia="Arial" w:hAnsi="Arial" w:cs="Arial"/>
          <w:color w:val="000000"/>
        </w:rPr>
        <w:t>)</w:t>
      </w:r>
      <w:r w:rsidR="00302676">
        <w:rPr>
          <w:rFonts w:ascii="Arial" w:eastAsia="Arial" w:hAnsi="Arial" w:cs="Arial"/>
          <w:color w:val="000000"/>
        </w:rPr>
        <w:t xml:space="preserve"> </w:t>
      </w:r>
      <w:r>
        <w:rPr>
          <w:rFonts w:ascii="Arial" w:eastAsia="Arial" w:hAnsi="Arial" w:cs="Arial"/>
          <w:color w:val="000000"/>
        </w:rPr>
        <w:t xml:space="preserve">sa predstavnicima ključnih institucija nadležnih za zaštitu prirode i sektore povezane sa biodiverzitetom, čime je obezbijeđena institucionalna koordinacija i razmjena podataka tokom cijelog procesa. Analiza dosadašnjeg finansiranja očuvanja biodiverziteta i procjena potrebnih sredstava za ostvarivanje ciljeva </w:t>
      </w:r>
      <w:r w:rsidR="0073617E">
        <w:rPr>
          <w:rFonts w:ascii="Arial" w:eastAsia="Arial" w:hAnsi="Arial" w:cs="Arial"/>
          <w:color w:val="000000"/>
        </w:rPr>
        <w:t>NSBAP</w:t>
      </w:r>
      <w:r>
        <w:rPr>
          <w:rFonts w:ascii="Arial" w:eastAsia="Arial" w:hAnsi="Arial" w:cs="Arial"/>
          <w:color w:val="000000"/>
        </w:rPr>
        <w:t xml:space="preserve">-a sprovedene su u skladu sa </w:t>
      </w:r>
      <w:r w:rsidR="008722E0">
        <w:rPr>
          <w:rFonts w:ascii="Arial" w:eastAsia="Arial" w:hAnsi="Arial" w:cs="Arial"/>
          <w:color w:val="000000"/>
        </w:rPr>
        <w:t>preporukama Inicijative za finansiranje biodiverziteta (</w:t>
      </w:r>
      <w:r>
        <w:rPr>
          <w:rFonts w:ascii="Arial" w:eastAsia="Arial" w:hAnsi="Arial" w:cs="Arial"/>
          <w:color w:val="000000"/>
        </w:rPr>
        <w:t>BIOFIN</w:t>
      </w:r>
      <w:r w:rsidR="008722E0">
        <w:rPr>
          <w:rFonts w:ascii="Arial" w:eastAsia="Arial" w:hAnsi="Arial" w:cs="Arial"/>
          <w:color w:val="000000"/>
        </w:rPr>
        <w:t xml:space="preserve">). </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U okviru pripreme Strategije sproveden je niz konsultacija sa širokim spektrom zainteresovanih strana, uključujući nacionalne institucije, donosioce odluka i implementacione agencije, organizacije civilnog društva, naučno-istraživačke institucije, poslovni sektor, lokalne samouprave i upravljače zaštićenim područjima. Konsultacije su realizovane kroz individualne intervjue, fokus-grupe i tematske radionice, čime je omogućeno sveobuhvatno sagledavanje izazova, potreba i prioriteta.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Održane su dvije konsultativne radionice na kojima je širi krug aktera aktivno učestvovao u razmatranju nalaza, ciljeva, mjera i mehanizama sprovođenja Strategije, čime je dodatno ojačana relevantnost i prihvaćenost dokumenta. Nacrt Strategije je potom stavljen na javnu raspravu, tokom koje je zainteresovana javnost imala mogućnost da dostavi komentare i sugestije, koji su razmotreni i, gdje je bilo moguće, integrisani u konačnu verziju dokumenta.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Cjelokupan proces izrade Strategije realizovan je uz podršku Programa Ujedinjenih nacija za životnu sredinu (UNEP), kroz globalnu inicijativu NSBAP </w:t>
      </w:r>
      <w:r>
        <w:rPr>
          <w:rFonts w:ascii="Arial" w:eastAsia="Arial" w:hAnsi="Arial" w:cs="Arial"/>
          <w:i/>
          <w:iCs/>
          <w:color w:val="000000"/>
        </w:rPr>
        <w:t>Accelerator Partnership</w:t>
      </w:r>
      <w:r>
        <w:rPr>
          <w:rFonts w:ascii="Arial" w:eastAsia="Arial" w:hAnsi="Arial" w:cs="Arial"/>
          <w:color w:val="000000"/>
        </w:rPr>
        <w:t>, koju sprovode UNEP, UNDP i Sekretarijat Konvencije o biološkoj raznovrsnosti uz finansijsku podršku Globalnog fonda za životnu sredinu (GEF). Ova inicijativa pruža tehničku i metodološku podršku državama u usklađivanju nacionalnih strategija biodiverziteta sa KM-GBF, uključujući razvoj ciljeva i indikatora, jačanje kapaciteta, integraciju biodiverziteta u sektorske politike i identifikaciju finansijskih mehanizama za sprovođenje.</w:t>
      </w:r>
    </w:p>
    <w:p w:rsidR="00D14804" w:rsidRDefault="008722E0">
      <w:pPr>
        <w:pStyle w:val="Heading2"/>
        <w:rPr>
          <w:rFonts w:ascii="Arial" w:eastAsia="Arial" w:hAnsi="Arial" w:cs="Arial"/>
          <w:sz w:val="32"/>
          <w:szCs w:val="32"/>
        </w:rPr>
      </w:pPr>
      <w:bookmarkStart w:id="13" w:name="_Toc222754362"/>
      <w:r>
        <w:rPr>
          <w:rFonts w:ascii="Arial" w:eastAsia="Arial" w:hAnsi="Arial" w:cs="Arial"/>
          <w:sz w:val="32"/>
          <w:szCs w:val="32"/>
        </w:rPr>
        <w:t xml:space="preserve">1.7 </w:t>
      </w:r>
      <w:r w:rsidR="00E47E1B">
        <w:rPr>
          <w:rFonts w:ascii="Arial" w:eastAsia="Arial" w:hAnsi="Arial" w:cs="Arial"/>
          <w:sz w:val="32"/>
          <w:szCs w:val="32"/>
        </w:rPr>
        <w:t xml:space="preserve">Rodno odgovoran </w:t>
      </w:r>
      <w:r w:rsidR="00D02DC0">
        <w:rPr>
          <w:rFonts w:ascii="Arial" w:eastAsia="Arial" w:hAnsi="Arial" w:cs="Arial"/>
          <w:sz w:val="32"/>
          <w:szCs w:val="32"/>
        </w:rPr>
        <w:t>i inkluzivan pristup u izradi N</w:t>
      </w:r>
      <w:r w:rsidR="00E47E1B">
        <w:rPr>
          <w:rFonts w:ascii="Arial" w:eastAsia="Arial" w:hAnsi="Arial" w:cs="Arial"/>
          <w:sz w:val="32"/>
          <w:szCs w:val="32"/>
        </w:rPr>
        <w:t>S</w:t>
      </w:r>
      <w:r w:rsidR="00D02DC0">
        <w:rPr>
          <w:rFonts w:ascii="Arial" w:eastAsia="Arial" w:hAnsi="Arial" w:cs="Arial"/>
          <w:sz w:val="32"/>
          <w:szCs w:val="32"/>
        </w:rPr>
        <w:t>B</w:t>
      </w:r>
      <w:r w:rsidR="00E47E1B">
        <w:rPr>
          <w:rFonts w:ascii="Arial" w:eastAsia="Arial" w:hAnsi="Arial" w:cs="Arial"/>
          <w:sz w:val="32"/>
          <w:szCs w:val="32"/>
        </w:rPr>
        <w:t>AP 2026-2031</w:t>
      </w:r>
      <w:bookmarkEnd w:id="13"/>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Nacionalna strategija biodiverziteta 2026-2031. godine i Akcioni plan 2026-2028. godine prepoznaje da su rodna ravnopravnost, socijalna inkluzija i učešće lokalnih zajednica integralni preduslovi za legitimnost i održivost mjera zaštite i očuvanja biodiverziteta. U tom smislu, dokument je usklađen sa Zakonom o rodnoj ravnopravnosti </w:t>
      </w:r>
      <w:sdt>
        <w:sdtPr>
          <w:tag w:val="goog_rdk_12"/>
          <w:id w:val="1929815682"/>
        </w:sdtPr>
        <w:sdtEndPr/>
        <w:sdtContent/>
      </w:sdt>
      <w:r w:rsidR="00454403">
        <w:rPr>
          <w:rFonts w:ascii="Arial" w:eastAsia="Arial" w:hAnsi="Arial" w:cs="Arial"/>
          <w:color w:val="000000"/>
        </w:rPr>
        <w:t>(„Službeni list CG“</w:t>
      </w:r>
      <w:r>
        <w:rPr>
          <w:rFonts w:ascii="Arial" w:eastAsia="Arial" w:hAnsi="Arial" w:cs="Arial"/>
          <w:color w:val="000000"/>
        </w:rPr>
        <w:t xml:space="preserve"> br.</w:t>
      </w:r>
      <w:r w:rsidR="004F5BEA">
        <w:rPr>
          <w:rFonts w:ascii="Arial" w:eastAsia="Arial" w:hAnsi="Arial" w:cs="Arial"/>
          <w:color w:val="000000"/>
        </w:rPr>
        <w:t xml:space="preserve"> </w:t>
      </w:r>
      <w:r w:rsidR="00454403">
        <w:rPr>
          <w:rFonts w:ascii="Arial" w:eastAsia="Arial" w:hAnsi="Arial" w:cs="Arial"/>
          <w:color w:val="000000"/>
        </w:rPr>
        <w:t xml:space="preserve">73/10, 40/11 </w:t>
      </w:r>
      <w:r w:rsidR="00454403">
        <w:rPr>
          <w:rFonts w:ascii="Arial" w:eastAsia="Arial" w:hAnsi="Arial" w:cs="Arial"/>
          <w:color w:val="000000"/>
        </w:rPr>
        <w:lastRenderedPageBreak/>
        <w:t>i 35/15</w:t>
      </w:r>
      <w:r>
        <w:rPr>
          <w:rFonts w:ascii="Arial" w:eastAsia="Arial" w:hAnsi="Arial" w:cs="Arial"/>
          <w:color w:val="000000"/>
        </w:rPr>
        <w:t>) i relevantnim nacionalnim politikama rodne ravnopravnosti, kao i sa principima i standardima Evropske unije koji promovišu rodno odgovorno planiranje, nediskriminaciju i jednak pristup učestvovanju u procesima odlučivanja i upravljanja prirodnim resursima.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Rodna dimenzija je ugrađena i u metodologiju izrade Strategije. Stručni tim angažovan na izradi dokumenta bio je pretežno sastavljen od žena, kao  Radna grupa za izradu dokumenta. U konsultativnim procesima i radionicama sa zainteresovanim stranama zabilježeno je dominantno učešće žena, što odražava činjenicu da se očuvanjem biodiverziteta i prirode u Crnoj Gori u značajnoj mjeri bave žene, naročito kroz rad u institucijama, upravljanju zaštićenim područjima, civilnom sektoru i lokalnim samoupravama.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Tokom javne rasprave i konsultacija prikupljane su i razmatrane rodno senzitivne sugestije, uključujući preporuke koje se odnose na jačanje učešća žena u odlučivanju, osnaživanje žena u ruralnim područjima u pristupu resursima i koristima, kao i obezbjeđivanje inkluzivnih mehanizama za učešće ranjivih grupa i lokalnih zajednica. Predlozi koji su bili u skladu sa ciljevima Strategije i institucionalnim nadležnostima integrisani su u konačnu verziju dokumenta kroz mjere, indikatore i mehanizme sprovođenja koji podstiču participativno upravljanje, transparentnost i pravičnu raspodjelu koristi.</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Strategija ujedno uvažava da rodna ravnopravnost i inkluzija ranjivih grupa i lokalnih zajednica u zaštiti i očuvanju biodiverziteta ne podrazumijeva samo zastupljenost u procesima odlučivanja, već i jednak pristup pravdi, informacijama, resursima, finansijskim instrumentima priznavanju ravnopravnog doprinosa i učešća lokalne zajednice, žena i djevojka, djeca, mladih i osoba sa invaliditetom. Time se uspostavlja osnova za ravnopravnu, inkluzivnu i rodno osjetljivu implementaciju mjera zaštite biodiverziteta i jačanje socijalne održivosti </w:t>
      </w:r>
      <w:r w:rsidR="0073617E">
        <w:rPr>
          <w:rFonts w:ascii="Arial" w:eastAsia="Arial" w:hAnsi="Arial" w:cs="Arial"/>
          <w:color w:val="000000"/>
        </w:rPr>
        <w:t>NSBAP</w:t>
      </w:r>
      <w:r>
        <w:rPr>
          <w:rFonts w:ascii="Arial" w:eastAsia="Arial" w:hAnsi="Arial" w:cs="Arial"/>
          <w:color w:val="000000"/>
        </w:rPr>
        <w:t>-a.</w:t>
      </w:r>
    </w:p>
    <w:p w:rsidR="008722E0" w:rsidRDefault="008722E0">
      <w:pPr>
        <w:pStyle w:val="Heading2"/>
        <w:rPr>
          <w:rFonts w:ascii="Arial" w:eastAsia="Arial" w:hAnsi="Arial" w:cs="Arial"/>
          <w:sz w:val="32"/>
          <w:szCs w:val="32"/>
        </w:rPr>
      </w:pPr>
    </w:p>
    <w:p w:rsidR="00D14804" w:rsidRDefault="008722E0" w:rsidP="00B168D6">
      <w:pPr>
        <w:pStyle w:val="Heading2"/>
        <w:jc w:val="both"/>
        <w:rPr>
          <w:rFonts w:ascii="Arial" w:eastAsia="Arial" w:hAnsi="Arial" w:cs="Arial"/>
          <w:sz w:val="32"/>
          <w:szCs w:val="32"/>
        </w:rPr>
      </w:pPr>
      <w:bookmarkStart w:id="14" w:name="_Toc222754363"/>
      <w:r>
        <w:rPr>
          <w:rFonts w:ascii="Arial" w:eastAsia="Arial" w:hAnsi="Arial" w:cs="Arial"/>
          <w:sz w:val="32"/>
          <w:szCs w:val="32"/>
        </w:rPr>
        <w:t xml:space="preserve">1.8 </w:t>
      </w:r>
      <w:r w:rsidR="00E47E1B">
        <w:rPr>
          <w:rFonts w:ascii="Arial" w:eastAsia="Arial" w:hAnsi="Arial" w:cs="Arial"/>
          <w:sz w:val="32"/>
          <w:szCs w:val="32"/>
        </w:rPr>
        <w:t>Odluka o nepreduzimanju izrade Strateške procjene uticaja na životnu sredinu</w:t>
      </w:r>
      <w:r w:rsidR="00D02DC0">
        <w:rPr>
          <w:rFonts w:ascii="Arial" w:eastAsia="Arial" w:hAnsi="Arial" w:cs="Arial"/>
          <w:sz w:val="32"/>
          <w:szCs w:val="32"/>
        </w:rPr>
        <w:t xml:space="preserve"> (SEA)</w:t>
      </w:r>
      <w:bookmarkEnd w:id="14"/>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U skladu sa članom 13a Zakona o strateškoj procjeni uticaja na životnu sredinu („Službeni list CG“ broj</w:t>
      </w:r>
      <w:r>
        <w:rPr>
          <w:rFonts w:ascii="Arial" w:eastAsia="Arial" w:hAnsi="Arial" w:cs="Arial"/>
          <w:color w:val="000000"/>
          <w:sz w:val="20"/>
          <w:szCs w:val="20"/>
        </w:rPr>
        <w:t xml:space="preserve"> </w:t>
      </w:r>
      <w:r>
        <w:rPr>
          <w:rFonts w:ascii="Arial" w:eastAsia="Arial" w:hAnsi="Arial" w:cs="Arial"/>
          <w:color w:val="000000"/>
        </w:rPr>
        <w:t>94/24) sproveden je postupak prethodne procjene radi utvrđivanja potrebe za sprovođenjem strateške procjene uticaja na životnu sredinu za Nacionalnu strategiju biodiverziteta sa Akcionim planom. Tokom postupka sagledani su karakter, sadržaj, ciljevi i obuhvat dokumenta, kao i njegov potencijalni odnos prema životnoj sredini, uz primjenu zakonom propisanih kriterijuma.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Dokument ne utvrđuje konkretne prostorne zahvate, lokacije niti pojedinačne projekte, niti stvara pretpostavke za značajne negativne, kumulativne ili prekogranične uticaje na životnu sredinu, već postavlja strateški okvir za buduće politike, planove i programe zasnovane na principima održivosti i očuvanja biodiverziteta. Potencijalni uticaji pojedinačnih aktivnosti biće predmet odgovarajućih postupaka procjene uticaja na životnu sredinu u skladu sa važećim propisima.</w:t>
      </w:r>
    </w:p>
    <w:p w:rsidR="00D14804" w:rsidRDefault="00E47E1B">
      <w:pPr>
        <w:shd w:val="clear" w:color="auto" w:fill="FFFFFF"/>
        <w:spacing w:before="280" w:after="280" w:line="240" w:lineRule="auto"/>
        <w:jc w:val="both"/>
        <w:rPr>
          <w:rFonts w:ascii="Arial" w:eastAsia="Arial" w:hAnsi="Arial" w:cs="Arial"/>
          <w:b/>
          <w:bCs/>
          <w:color w:val="222222"/>
        </w:rPr>
      </w:pPr>
      <w:r>
        <w:rPr>
          <w:rFonts w:ascii="Arial" w:eastAsia="Arial" w:hAnsi="Arial" w:cs="Arial"/>
        </w:rPr>
        <w:t xml:space="preserve">Na osnovu sprovedene prethodne procjene i pribavljenih mišljenja nadležnih organa, ocijenjeno je da sprovođenje </w:t>
      </w:r>
      <w:r w:rsidR="0073617E">
        <w:rPr>
          <w:rFonts w:ascii="Arial" w:eastAsia="Arial" w:hAnsi="Arial" w:cs="Arial"/>
        </w:rPr>
        <w:t>NSBAP</w:t>
      </w:r>
      <w:r>
        <w:rPr>
          <w:rFonts w:ascii="Arial" w:eastAsia="Arial" w:hAnsi="Arial" w:cs="Arial"/>
        </w:rPr>
        <w:t>-a neće imati značajne negativne uticaje na životnu sredinu, te da nije potrebno sprovoditi stratešku procjenu uticaja na životnu sredinu za ovaj dokument.</w:t>
      </w:r>
    </w:p>
    <w:p w:rsidR="00D14804" w:rsidRDefault="00D14804">
      <w:pPr>
        <w:shd w:val="clear" w:color="auto" w:fill="FFFFFF"/>
        <w:spacing w:before="280" w:after="280" w:line="240" w:lineRule="auto"/>
        <w:rPr>
          <w:rFonts w:ascii="Arial" w:eastAsia="Arial" w:hAnsi="Arial" w:cs="Arial"/>
          <w:b/>
          <w:bCs/>
          <w:color w:val="222222"/>
        </w:rPr>
      </w:pPr>
    </w:p>
    <w:p w:rsidR="00D14804" w:rsidRDefault="00D14804">
      <w:pPr>
        <w:shd w:val="clear" w:color="auto" w:fill="FFFFFF"/>
        <w:spacing w:before="280" w:after="280" w:line="240" w:lineRule="auto"/>
        <w:rPr>
          <w:rFonts w:ascii="Arial" w:eastAsia="Arial" w:hAnsi="Arial" w:cs="Arial"/>
          <w:b/>
          <w:bCs/>
          <w:color w:val="222222"/>
        </w:rPr>
      </w:pPr>
    </w:p>
    <w:p w:rsidR="008722E0" w:rsidRDefault="008722E0">
      <w:pPr>
        <w:pStyle w:val="Heading1"/>
        <w:rPr>
          <w:rFonts w:ascii="Arial" w:eastAsia="Arial" w:hAnsi="Arial" w:cs="Arial"/>
          <w:sz w:val="40"/>
          <w:szCs w:val="40"/>
        </w:rPr>
      </w:pPr>
    </w:p>
    <w:p w:rsidR="00D14804" w:rsidRDefault="008722E0">
      <w:pPr>
        <w:pStyle w:val="Heading1"/>
        <w:rPr>
          <w:rFonts w:ascii="Arial" w:eastAsia="Arial" w:hAnsi="Arial" w:cs="Arial"/>
          <w:sz w:val="40"/>
          <w:szCs w:val="40"/>
        </w:rPr>
      </w:pPr>
      <w:bookmarkStart w:id="15" w:name="_Toc222754364"/>
      <w:r>
        <w:rPr>
          <w:rFonts w:ascii="Arial" w:eastAsia="Arial" w:hAnsi="Arial" w:cs="Arial"/>
          <w:sz w:val="40"/>
          <w:szCs w:val="40"/>
        </w:rPr>
        <w:lastRenderedPageBreak/>
        <w:t xml:space="preserve">II </w:t>
      </w:r>
      <w:r w:rsidR="00E47E1B">
        <w:rPr>
          <w:rFonts w:ascii="Arial" w:eastAsia="Arial" w:hAnsi="Arial" w:cs="Arial"/>
          <w:sz w:val="40"/>
          <w:szCs w:val="40"/>
        </w:rPr>
        <w:t>Analiza stanja</w:t>
      </w:r>
      <w:bookmarkEnd w:id="15"/>
      <w:r w:rsidR="00E47E1B">
        <w:rPr>
          <w:rFonts w:ascii="Arial" w:eastAsia="Arial" w:hAnsi="Arial" w:cs="Arial"/>
          <w:sz w:val="40"/>
          <w:szCs w:val="40"/>
        </w:rPr>
        <w:t xml:space="preserve"> </w:t>
      </w:r>
    </w:p>
    <w:p w:rsidR="00D14804" w:rsidRDefault="008722E0">
      <w:pPr>
        <w:pStyle w:val="Heading2"/>
        <w:rPr>
          <w:rFonts w:ascii="Arial" w:eastAsia="Arial" w:hAnsi="Arial" w:cs="Arial"/>
          <w:sz w:val="32"/>
          <w:szCs w:val="32"/>
        </w:rPr>
      </w:pPr>
      <w:bookmarkStart w:id="16" w:name="_Toc222754365"/>
      <w:r>
        <w:rPr>
          <w:rFonts w:ascii="Arial" w:eastAsia="Arial" w:hAnsi="Arial" w:cs="Arial"/>
          <w:sz w:val="32"/>
          <w:szCs w:val="32"/>
        </w:rPr>
        <w:t xml:space="preserve">2.1 </w:t>
      </w:r>
      <w:r w:rsidR="00E47E1B">
        <w:rPr>
          <w:rFonts w:ascii="Arial" w:eastAsia="Arial" w:hAnsi="Arial" w:cs="Arial"/>
          <w:sz w:val="32"/>
          <w:szCs w:val="32"/>
        </w:rPr>
        <w:t>Opšti trendovi biodiverziteta i krovni problem</w:t>
      </w:r>
      <w:bookmarkEnd w:id="16"/>
    </w:p>
    <w:p w:rsidR="00D14804" w:rsidRDefault="00E47E1B">
      <w:pPr>
        <w:spacing w:before="280" w:after="280" w:line="240" w:lineRule="auto"/>
        <w:jc w:val="both"/>
        <w:rPr>
          <w:rFonts w:ascii="Arial" w:eastAsia="Arial" w:hAnsi="Arial" w:cs="Arial"/>
        </w:rPr>
      </w:pPr>
      <w:r>
        <w:rPr>
          <w:rFonts w:ascii="Arial" w:eastAsia="Arial" w:hAnsi="Arial" w:cs="Arial"/>
          <w:b/>
          <w:bCs/>
        </w:rPr>
        <w:t>Biodiverzitet Crne Gore bilježi kontinuirani trend smanjenja na genetičkom nivou, kao i na nivou vrsta, staništa i ekosistema, što dovodi do slabljenja ekosistemskih funkcija, njihove otpornosti i sposobnosti da obezbijede usluge od ključnog značaja za održivi društveni i ekonomski razvoj.</w:t>
      </w:r>
      <w:r>
        <w:rPr>
          <w:rFonts w:ascii="Arial" w:eastAsia="Arial" w:hAnsi="Arial" w:cs="Arial"/>
        </w:rPr>
        <w:t xml:space="preserve"> Ovaj trend potvrđuju dostupni podaci, sektorske analize i rezultati konsultativnog procesa, koji ukazuju na gubitak i fragmentaciju staništa, smanjenje brojnosti i rasprostranjenja pojedinih vrsta, degradaciju ekosistema i povećanu ranjivost prirodnih sistema na klimatske promjene i druge pritiske.</w:t>
      </w:r>
    </w:p>
    <w:p w:rsidR="00D14804" w:rsidRDefault="00E47E1B">
      <w:pPr>
        <w:spacing w:before="280" w:after="280" w:line="240" w:lineRule="auto"/>
        <w:jc w:val="both"/>
        <w:rPr>
          <w:rFonts w:ascii="Arial" w:eastAsia="Arial" w:hAnsi="Arial" w:cs="Arial"/>
        </w:rPr>
      </w:pPr>
      <w:r>
        <w:rPr>
          <w:rFonts w:ascii="Arial" w:eastAsia="Arial" w:hAnsi="Arial" w:cs="Arial"/>
        </w:rPr>
        <w:t>Negativne promjene rezultat su kombinovanog djelovanja više faktora, među kojima se posebno izdvajaju promjene u korišćenju zemljišta, urbanizacija kao jedan od ključnih pritisaka, neodrživo korišćenje prirodnih resursa, zagađenje, klimatske promjene i širenje invazivnih vrsta. Dodatni izazov predstavlja nedovoljna integracija biodiverziteta u sektorske politike i razvojno planiranje, usljed čega kumulativni uticaji ekonomskih aktivnosti na prirodu često nijesu adekvatno prepoznati niti upravljani. Ograničeni podaci, nedovoljno razvijen monitoring i fragmentisana institucionalna odgovornost dodatno otežavaju donošenje odluka zasnovanih na dokazima.</w:t>
      </w:r>
    </w:p>
    <w:p w:rsidR="00D14804" w:rsidRDefault="00E47E1B">
      <w:pPr>
        <w:spacing w:before="280" w:after="280" w:line="240" w:lineRule="auto"/>
        <w:jc w:val="both"/>
        <w:rPr>
          <w:rFonts w:ascii="Arial" w:eastAsia="Arial" w:hAnsi="Arial" w:cs="Arial"/>
        </w:rPr>
      </w:pPr>
      <w:r>
        <w:rPr>
          <w:rFonts w:ascii="Arial" w:eastAsia="Arial" w:hAnsi="Arial" w:cs="Arial"/>
        </w:rPr>
        <w:t>Kao centralni, horizontalni sistemski problem prepoznaje se nedostatak kapaciteta, koordinacije i funkcionalnih, inkluzivnih mehanizama za upravljanje biodiverzitetom, što se ogleda u slaboj međusektorskoj saradnji, nedovoljnoj primjeni pravnog okvira, ograničenom, nestabilnom i ad hoc finansiranju, kao i nedovoljnom uključivanju lokalnih zajednica i drugih relevantnih aktera</w:t>
      </w:r>
      <w:r w:rsidRPr="001E7C35">
        <w:rPr>
          <w:rFonts w:ascii="Arial" w:eastAsia="Arial" w:hAnsi="Arial" w:cs="Arial"/>
        </w:rPr>
        <w:t>, uključujući ranjive kategorije društva, djecu, žene i mlade</w:t>
      </w:r>
      <w:r>
        <w:rPr>
          <w:rFonts w:ascii="Arial" w:eastAsia="Arial" w:hAnsi="Arial" w:cs="Arial"/>
        </w:rPr>
        <w:t>. Ove slabosti usporavaju odgovor na identifikovane pritiske i doprinose daljoj degradaciji prirode.</w:t>
      </w:r>
    </w:p>
    <w:p w:rsidR="00D14804" w:rsidRDefault="00E47E1B">
      <w:pPr>
        <w:spacing w:before="280" w:after="280" w:line="240" w:lineRule="auto"/>
        <w:jc w:val="both"/>
        <w:rPr>
          <w:rFonts w:ascii="Arial" w:eastAsia="Arial" w:hAnsi="Arial" w:cs="Arial"/>
          <w:b/>
          <w:bCs/>
        </w:rPr>
      </w:pPr>
      <w:r>
        <w:rPr>
          <w:rFonts w:ascii="Arial" w:eastAsia="Arial" w:hAnsi="Arial" w:cs="Arial"/>
        </w:rPr>
        <w:t xml:space="preserve">Uprkos tome, Crna Gora raspolaže značajnim prirodnim kapitalom, razvijenim pravnim okvirom i jasnim međunarodnim obavezama koji predstavljaju osnov za zaustavljanje negativnih trendova i uspostavljanje održivog upravljanja biodiverzitetom. </w:t>
      </w:r>
      <w:r>
        <w:rPr>
          <w:rFonts w:ascii="Arial" w:eastAsia="Arial" w:hAnsi="Arial" w:cs="Arial"/>
          <w:b/>
          <w:bCs/>
        </w:rPr>
        <w:t>Analiza stanja u okviru NSBAP-a stoga ima ključnu ulogu u definisanju prioritetnih problema i strateških odgovora usklađenih sa Kunming–Montreal globalnim okvirom za biodiverzitet, pravnom tekovinom Evropske unije i nacionalnim razvojnim prioritetima, čime NSBAP postaje temelj dugoročne otpornosti i održivog razvoja Crne Gore.</w:t>
      </w:r>
    </w:p>
    <w:p w:rsidR="00D14804" w:rsidRDefault="00D14804">
      <w:pPr>
        <w:spacing w:before="280" w:after="280" w:line="240" w:lineRule="auto"/>
        <w:jc w:val="both"/>
        <w:rPr>
          <w:rFonts w:ascii="Arial" w:eastAsia="Arial" w:hAnsi="Arial" w:cs="Arial"/>
          <w:b/>
          <w:bCs/>
        </w:rPr>
      </w:pPr>
    </w:p>
    <w:p w:rsidR="00D14804" w:rsidRDefault="008722E0" w:rsidP="00B168D6">
      <w:pPr>
        <w:pStyle w:val="Heading2"/>
        <w:jc w:val="both"/>
        <w:rPr>
          <w:rFonts w:ascii="Arial" w:eastAsia="Arial" w:hAnsi="Arial" w:cs="Arial"/>
          <w:sz w:val="32"/>
          <w:szCs w:val="32"/>
        </w:rPr>
      </w:pPr>
      <w:bookmarkStart w:id="17" w:name="_Toc222754366"/>
      <w:r w:rsidRPr="009A0C50">
        <w:rPr>
          <w:rFonts w:ascii="Arial" w:eastAsia="Arial" w:hAnsi="Arial" w:cs="Arial"/>
          <w:sz w:val="32"/>
          <w:szCs w:val="32"/>
        </w:rPr>
        <w:t xml:space="preserve">2.2 </w:t>
      </w:r>
      <w:r w:rsidR="00E47E1B" w:rsidRPr="009A0C50">
        <w:rPr>
          <w:rFonts w:ascii="Arial" w:eastAsia="Arial" w:hAnsi="Arial" w:cs="Arial"/>
          <w:sz w:val="32"/>
          <w:szCs w:val="32"/>
        </w:rPr>
        <w:t>Pregled postojećeg stanja biodiverziteta i ekosistema Crne Gore</w:t>
      </w:r>
      <w:bookmarkEnd w:id="17"/>
    </w:p>
    <w:p w:rsidR="00D14804" w:rsidRDefault="00E47E1B">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Crna Gora se, uprkos svojoj relativno maloj teritoriji, ubraja među zemlje sa izuzetno visokim </w:t>
      </w:r>
      <w:sdt>
        <w:sdtPr>
          <w:tag w:val="goog_rdk_13"/>
          <w:id w:val="-934882827"/>
        </w:sdtPr>
        <w:sdtEndPr/>
        <w:sdtContent/>
      </w:sdt>
      <w:sdt>
        <w:sdtPr>
          <w:tag w:val="goog_rdk_14"/>
          <w:id w:val="250948935"/>
        </w:sdtPr>
        <w:sdtEndPr/>
        <w:sdtContent/>
      </w:sdt>
      <w:r>
        <w:rPr>
          <w:rFonts w:ascii="Arial" w:eastAsia="Arial" w:hAnsi="Arial" w:cs="Arial"/>
          <w:color w:val="000000"/>
        </w:rPr>
        <w:t>stepenom diverziteta vrsta u evropskim i regionalnim okvirima. Geografski položaj na spoju Mediterana i kontinentalne Evrope, izražena geomorfološka raznovrsnost, prisustvo morskih, slatkovodnih, planinskih i krških ekosistema, kao i očuvani prirodni predjeli, stvorili su uslove za razvoj bogate i raznovrsne flore i faune. Ova kombinacija prirodnih faktora rezultirala je velikim brojem vrsta, visokim stepenom endemizma i prisustvom brojnih taksona od međunarodnog značaja za očuvanje.</w:t>
      </w:r>
    </w:p>
    <w:p w:rsidR="00D14804" w:rsidRDefault="00D14804">
      <w:pPr>
        <w:pBdr>
          <w:top w:val="nil"/>
          <w:left w:val="nil"/>
          <w:bottom w:val="nil"/>
          <w:right w:val="nil"/>
          <w:between w:val="nil"/>
        </w:pBdr>
        <w:spacing w:after="0" w:line="240" w:lineRule="auto"/>
        <w:jc w:val="both"/>
        <w:rPr>
          <w:rFonts w:ascii="Arial" w:eastAsia="Arial" w:hAnsi="Arial" w:cs="Arial"/>
          <w:color w:val="000000"/>
        </w:rPr>
      </w:pPr>
    </w:p>
    <w:p w:rsidR="00D14804" w:rsidRDefault="00E47E1B">
      <w:pPr>
        <w:pBdr>
          <w:top w:val="nil"/>
          <w:left w:val="nil"/>
          <w:bottom w:val="nil"/>
          <w:right w:val="nil"/>
          <w:between w:val="nil"/>
        </w:pBdr>
        <w:spacing w:after="0" w:line="240" w:lineRule="auto"/>
        <w:jc w:val="both"/>
        <w:rPr>
          <w:rFonts w:ascii="Arial" w:eastAsia="Arial" w:hAnsi="Arial" w:cs="Arial"/>
          <w:b/>
          <w:bCs/>
          <w:color w:val="000000"/>
        </w:rPr>
      </w:pPr>
      <w:r>
        <w:rPr>
          <w:rFonts w:ascii="Arial" w:eastAsia="Arial" w:hAnsi="Arial" w:cs="Arial"/>
          <w:color w:val="000000"/>
        </w:rPr>
        <w:t>U narednim sekcijama dat je prikaz glavnih elemenata biodiverziteta, dok su detaljnije informacije i podaci dostupni u</w:t>
      </w:r>
      <w:r w:rsidR="00971B9B">
        <w:rPr>
          <w:rFonts w:ascii="Arial" w:eastAsia="Arial" w:hAnsi="Arial" w:cs="Arial"/>
          <w:color w:val="000000"/>
        </w:rPr>
        <w:t xml:space="preserve"> zasebnom</w:t>
      </w:r>
      <w:r>
        <w:rPr>
          <w:rFonts w:ascii="Arial" w:eastAsia="Arial" w:hAnsi="Arial" w:cs="Arial"/>
          <w:color w:val="000000"/>
        </w:rPr>
        <w:t xml:space="preserve"> </w:t>
      </w:r>
      <w:r w:rsidR="004D3FF5" w:rsidRPr="00885D93">
        <w:rPr>
          <w:rFonts w:ascii="Arial" w:eastAsia="Arial" w:hAnsi="Arial" w:cs="Arial"/>
          <w:color w:val="000000"/>
        </w:rPr>
        <w:t xml:space="preserve">Prilogu </w:t>
      </w:r>
      <w:r w:rsidRPr="00885D93">
        <w:rPr>
          <w:rFonts w:ascii="Arial" w:eastAsia="Arial" w:hAnsi="Arial" w:cs="Arial"/>
          <w:color w:val="000000"/>
        </w:rPr>
        <w:t>I</w:t>
      </w:r>
      <w:r w:rsidR="008722E0" w:rsidRPr="00885D93">
        <w:rPr>
          <w:rFonts w:ascii="Arial" w:eastAsia="Arial" w:hAnsi="Arial" w:cs="Arial"/>
          <w:color w:val="000000"/>
        </w:rPr>
        <w:t>II</w:t>
      </w:r>
      <w:r w:rsidR="00971B9B" w:rsidRPr="00885D93">
        <w:rPr>
          <w:rFonts w:ascii="Arial" w:eastAsia="Arial" w:hAnsi="Arial" w:cs="Arial"/>
          <w:color w:val="000000"/>
        </w:rPr>
        <w:t xml:space="preserve"> i IV</w:t>
      </w:r>
      <w:r w:rsidR="008722E0" w:rsidRPr="00885D93">
        <w:rPr>
          <w:rFonts w:ascii="Arial" w:eastAsia="Arial" w:hAnsi="Arial" w:cs="Arial"/>
          <w:color w:val="000000"/>
        </w:rPr>
        <w:t xml:space="preserve"> </w:t>
      </w:r>
      <w:r w:rsidR="009A0C50" w:rsidRPr="00885D93">
        <w:rPr>
          <w:rFonts w:ascii="Arial" w:eastAsia="Arial" w:hAnsi="Arial" w:cs="Arial"/>
          <w:color w:val="000000"/>
        </w:rPr>
        <w:t>koj</w:t>
      </w:r>
      <w:r w:rsidR="00971B9B" w:rsidRPr="00885D93">
        <w:rPr>
          <w:rFonts w:ascii="Arial" w:eastAsia="Arial" w:hAnsi="Arial" w:cs="Arial"/>
          <w:color w:val="000000"/>
        </w:rPr>
        <w:t>i</w:t>
      </w:r>
      <w:r w:rsidR="009A0C50" w:rsidRPr="00885D93">
        <w:rPr>
          <w:rFonts w:ascii="Arial" w:eastAsia="Arial" w:hAnsi="Arial" w:cs="Arial"/>
          <w:color w:val="000000"/>
        </w:rPr>
        <w:t xml:space="preserve"> </w:t>
      </w:r>
      <w:r w:rsidR="00971B9B" w:rsidRPr="00885D93">
        <w:rPr>
          <w:rFonts w:ascii="Arial" w:eastAsia="Arial" w:hAnsi="Arial" w:cs="Arial"/>
          <w:color w:val="000000"/>
        </w:rPr>
        <w:t>su</w:t>
      </w:r>
      <w:r w:rsidR="009A0C50" w:rsidRPr="00885D93">
        <w:rPr>
          <w:rFonts w:ascii="Arial" w:eastAsia="Arial" w:hAnsi="Arial" w:cs="Arial"/>
          <w:color w:val="000000"/>
        </w:rPr>
        <w:t xml:space="preserve"> sastavni element</w:t>
      </w:r>
      <w:r w:rsidR="00971B9B" w:rsidRPr="00885D93">
        <w:rPr>
          <w:rFonts w:ascii="Arial" w:eastAsia="Arial" w:hAnsi="Arial" w:cs="Arial"/>
          <w:color w:val="000000"/>
        </w:rPr>
        <w:t>i ove strategije</w:t>
      </w:r>
      <w:r w:rsidRPr="00885D93">
        <w:rPr>
          <w:rFonts w:ascii="Arial" w:eastAsia="Arial" w:hAnsi="Arial" w:cs="Arial"/>
          <w:color w:val="000000"/>
        </w:rPr>
        <w:t>.</w:t>
      </w:r>
      <w:r>
        <w:rPr>
          <w:rFonts w:ascii="Arial" w:eastAsia="Arial" w:hAnsi="Arial" w:cs="Arial"/>
          <w:color w:val="000000"/>
        </w:rPr>
        <w:t xml:space="preserve"> </w:t>
      </w:r>
    </w:p>
    <w:p w:rsidR="00D14804" w:rsidRDefault="00D14804">
      <w:pPr>
        <w:pBdr>
          <w:top w:val="nil"/>
          <w:left w:val="nil"/>
          <w:bottom w:val="nil"/>
          <w:right w:val="nil"/>
          <w:between w:val="nil"/>
        </w:pBdr>
        <w:spacing w:after="0" w:line="240" w:lineRule="auto"/>
        <w:jc w:val="both"/>
        <w:rPr>
          <w:rFonts w:ascii="Arial" w:eastAsia="Arial" w:hAnsi="Arial" w:cs="Arial"/>
          <w:b/>
          <w:bCs/>
          <w:color w:val="000000"/>
        </w:rPr>
      </w:pPr>
    </w:p>
    <w:p w:rsidR="00D14804" w:rsidRDefault="008722E0">
      <w:pPr>
        <w:pStyle w:val="Heading3"/>
        <w:rPr>
          <w:rFonts w:ascii="Arial" w:eastAsia="Arial" w:hAnsi="Arial" w:cs="Arial"/>
          <w:sz w:val="26"/>
          <w:szCs w:val="26"/>
        </w:rPr>
      </w:pPr>
      <w:bookmarkStart w:id="18" w:name="_Toc222754367"/>
      <w:r>
        <w:rPr>
          <w:rFonts w:ascii="Arial" w:eastAsia="Arial" w:hAnsi="Arial" w:cs="Arial"/>
          <w:sz w:val="26"/>
          <w:szCs w:val="26"/>
        </w:rPr>
        <w:lastRenderedPageBreak/>
        <w:t xml:space="preserve">2.2.1 </w:t>
      </w:r>
      <w:r w:rsidR="00E47E1B">
        <w:rPr>
          <w:rFonts w:ascii="Arial" w:eastAsia="Arial" w:hAnsi="Arial" w:cs="Arial"/>
          <w:sz w:val="26"/>
          <w:szCs w:val="26"/>
        </w:rPr>
        <w:t>Analiza učinka i nedostataka Nacionalne strategije biodiverziteta 2016-2020. godine</w:t>
      </w:r>
      <w:bookmarkEnd w:id="18"/>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Prethodna Nacionalna strategija biodiverziteta s Akcionim planom za period 2016–2020. godine predstavljala je ključni strateški okvir za očuvanje biološke raznovrsnosti u Crnoj Gori, definišući 7 strateških ciljeva, 21 operativni cilj i ukupno 63 mjere usmjerene na zaštitu prirode i održivo upravljanje biodiverzitetom</w:t>
      </w:r>
      <w:r>
        <w:rPr>
          <w:rFonts w:ascii="Arial" w:eastAsia="Arial" w:hAnsi="Arial" w:cs="Arial"/>
          <w:color w:val="222222"/>
          <w:vertAlign w:val="superscript"/>
        </w:rPr>
        <w:footnoteReference w:id="2"/>
      </w:r>
      <w:r>
        <w:rPr>
          <w:rFonts w:ascii="Arial" w:eastAsia="Arial" w:hAnsi="Arial" w:cs="Arial"/>
          <w:color w:val="222222"/>
        </w:rPr>
        <w:t>. </w:t>
      </w:r>
    </w:p>
    <w:p w:rsidR="00D14804" w:rsidRDefault="00D14804">
      <w:pPr>
        <w:shd w:val="clear" w:color="auto" w:fill="FFFFFF"/>
        <w:spacing w:after="0" w:line="240" w:lineRule="auto"/>
        <w:jc w:val="both"/>
        <w:rPr>
          <w:rFonts w:ascii="Arial" w:eastAsia="Arial" w:hAnsi="Arial" w:cs="Arial"/>
          <w:b/>
          <w:bCs/>
          <w:color w:val="222222"/>
        </w:rPr>
      </w:pPr>
    </w:p>
    <w:p w:rsidR="00D14804" w:rsidRDefault="00E47E1B">
      <w:pPr>
        <w:pStyle w:val="Heading4"/>
        <w:rPr>
          <w:rFonts w:ascii="Arial" w:eastAsia="Arial" w:hAnsi="Arial" w:cs="Arial"/>
          <w:color w:val="000000"/>
        </w:rPr>
      </w:pPr>
      <w:r>
        <w:rPr>
          <w:rFonts w:ascii="Arial" w:eastAsia="Arial" w:hAnsi="Arial" w:cs="Arial"/>
          <w:color w:val="000000"/>
        </w:rPr>
        <w:t>Ostvareni napredak</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Implementacija Strategije doprinijela je unapređenju zakonodavnog i institucionalnog okvira, kao i u određenoj mjeri jačanje integracije biodiverziteta u razvojne i sektorske politike, uključujući strategije poljoprivrede, šumarstva i ribarstva. Ovakav pristup omogućio je da strateški dokumenti postanu instrumenti sprovođenja globalnih ciljeva biodiverziteta i Aichi ciljeva na nacionalnom nivou. U oblasti zaštite prirode zabilježeni su konkretni pomaci, uključujući:</w:t>
      </w:r>
    </w:p>
    <w:p w:rsidR="00D14804" w:rsidRDefault="00E47E1B" w:rsidP="008166A6">
      <w:pPr>
        <w:numPr>
          <w:ilvl w:val="0"/>
          <w:numId w:val="2"/>
        </w:numPr>
        <w:shd w:val="clear" w:color="auto" w:fill="FFFFFF"/>
        <w:spacing w:after="0" w:line="240" w:lineRule="auto"/>
        <w:jc w:val="both"/>
        <w:rPr>
          <w:rFonts w:ascii="Arial" w:eastAsia="Arial" w:hAnsi="Arial" w:cs="Arial"/>
          <w:color w:val="222222"/>
        </w:rPr>
      </w:pPr>
      <w:r>
        <w:rPr>
          <w:rFonts w:ascii="Arial" w:eastAsia="Arial" w:hAnsi="Arial" w:cs="Arial"/>
          <w:color w:val="222222"/>
        </w:rPr>
        <w:t>povećanje površine zaštićenih područja i identifikaciju važnih područja za ptice i biljke,</w:t>
      </w:r>
    </w:p>
    <w:p w:rsidR="00D14804" w:rsidRDefault="00E47E1B" w:rsidP="008166A6">
      <w:pPr>
        <w:numPr>
          <w:ilvl w:val="0"/>
          <w:numId w:val="2"/>
        </w:numPr>
        <w:shd w:val="clear" w:color="auto" w:fill="FFFFFF"/>
        <w:spacing w:after="0" w:line="240" w:lineRule="auto"/>
        <w:jc w:val="both"/>
        <w:rPr>
          <w:rFonts w:ascii="Arial" w:eastAsia="Arial" w:hAnsi="Arial" w:cs="Arial"/>
          <w:color w:val="222222"/>
        </w:rPr>
      </w:pPr>
      <w:r>
        <w:rPr>
          <w:rFonts w:ascii="Arial" w:eastAsia="Arial" w:hAnsi="Arial" w:cs="Arial"/>
          <w:color w:val="222222"/>
        </w:rPr>
        <w:t>uključivanje novih lokaliteta na Ramsarsku listu,</w:t>
      </w:r>
    </w:p>
    <w:p w:rsidR="00D14804" w:rsidRDefault="00E47E1B" w:rsidP="008166A6">
      <w:pPr>
        <w:numPr>
          <w:ilvl w:val="0"/>
          <w:numId w:val="2"/>
        </w:numPr>
        <w:shd w:val="clear" w:color="auto" w:fill="FFFFFF"/>
        <w:spacing w:after="0" w:line="240" w:lineRule="auto"/>
        <w:jc w:val="both"/>
        <w:rPr>
          <w:rFonts w:ascii="Arial" w:eastAsia="Arial" w:hAnsi="Arial" w:cs="Arial"/>
          <w:color w:val="222222"/>
        </w:rPr>
      </w:pPr>
      <w:r>
        <w:rPr>
          <w:rFonts w:ascii="Arial" w:eastAsia="Arial" w:hAnsi="Arial" w:cs="Arial"/>
          <w:color w:val="222222"/>
        </w:rPr>
        <w:t>započinjanje uspostavljanja mreže Natura 2000,</w:t>
      </w:r>
    </w:p>
    <w:p w:rsidR="00D14804" w:rsidRDefault="00E47E1B" w:rsidP="008166A6">
      <w:pPr>
        <w:numPr>
          <w:ilvl w:val="0"/>
          <w:numId w:val="2"/>
        </w:numPr>
        <w:shd w:val="clear" w:color="auto" w:fill="FFFFFF"/>
        <w:spacing w:after="0" w:line="240" w:lineRule="auto"/>
        <w:jc w:val="both"/>
        <w:rPr>
          <w:rFonts w:ascii="Arial" w:eastAsia="Arial" w:hAnsi="Arial" w:cs="Arial"/>
          <w:color w:val="222222"/>
        </w:rPr>
      </w:pPr>
      <w:r>
        <w:rPr>
          <w:rFonts w:ascii="Arial" w:eastAsia="Arial" w:hAnsi="Arial" w:cs="Arial"/>
          <w:color w:val="222222"/>
        </w:rPr>
        <w:t>unapređenje obrazovanja, istraživanja i javne svijesti o biodiverzitetu.</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Ovi rezultati potvrđuju da je Strategija doprinijela jačanju sistema zaštite prirode, dostupnosti znanja i institucionalnih mehanizama za planiranje i upravljanje biodiverzitetom. </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Takođe je evidentiran napredak u smanjenju pojedinih pritisaka na biodiverzitet, naročito kroz unapređenje upravljanja otpadom, komunalne infrastrukture i održivijih praksi u resursno zavisnim sektorima poput šumarstva i ribarstva. </w:t>
      </w:r>
    </w:p>
    <w:p w:rsidR="00D14804" w:rsidRDefault="00D14804">
      <w:pPr>
        <w:shd w:val="clear" w:color="auto" w:fill="FFFFFF"/>
        <w:spacing w:after="0" w:line="240" w:lineRule="auto"/>
        <w:jc w:val="both"/>
        <w:rPr>
          <w:rFonts w:ascii="Arial" w:eastAsia="Arial" w:hAnsi="Arial" w:cs="Arial"/>
          <w:b/>
          <w:bCs/>
          <w:color w:val="222222"/>
        </w:rPr>
      </w:pPr>
    </w:p>
    <w:p w:rsidR="00D14804" w:rsidRDefault="00E47E1B">
      <w:pPr>
        <w:pStyle w:val="Heading4"/>
        <w:rPr>
          <w:rFonts w:ascii="Arial" w:eastAsia="Arial" w:hAnsi="Arial" w:cs="Arial"/>
          <w:color w:val="000000"/>
        </w:rPr>
      </w:pPr>
      <w:r>
        <w:rPr>
          <w:rFonts w:ascii="Arial" w:eastAsia="Arial" w:hAnsi="Arial" w:cs="Arial"/>
          <w:color w:val="000000"/>
        </w:rPr>
        <w:t>Ograničenja u sprovođenju</w:t>
      </w:r>
    </w:p>
    <w:p w:rsidR="00D14804" w:rsidRDefault="00D14804">
      <w:pPr>
        <w:shd w:val="clear" w:color="auto" w:fill="FFFFFF"/>
        <w:spacing w:after="0" w:line="240" w:lineRule="auto"/>
        <w:jc w:val="both"/>
        <w:rPr>
          <w:rFonts w:ascii="Arial" w:eastAsia="Arial" w:hAnsi="Arial" w:cs="Arial"/>
          <w:b/>
          <w:bCs/>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Uprkos ostvarenim pomacima, ukupna realizacija mjera bila je ograničena, od ukupno 63 planirane mjere stepen realizacije je sljedeći:</w:t>
      </w:r>
    </w:p>
    <w:p w:rsidR="00D14804" w:rsidRDefault="00E47E1B" w:rsidP="008166A6">
      <w:pPr>
        <w:numPr>
          <w:ilvl w:val="0"/>
          <w:numId w:val="3"/>
        </w:numPr>
        <w:shd w:val="clear" w:color="auto" w:fill="FFFFFF"/>
        <w:spacing w:after="0" w:line="240" w:lineRule="auto"/>
        <w:jc w:val="both"/>
        <w:rPr>
          <w:rFonts w:ascii="Arial" w:eastAsia="Arial" w:hAnsi="Arial" w:cs="Arial"/>
          <w:color w:val="222222"/>
        </w:rPr>
      </w:pPr>
      <w:r>
        <w:rPr>
          <w:rFonts w:ascii="Arial" w:eastAsia="Arial" w:hAnsi="Arial" w:cs="Arial"/>
          <w:b/>
          <w:bCs/>
          <w:color w:val="222222"/>
        </w:rPr>
        <w:t>7,9%</w:t>
      </w:r>
      <w:r>
        <w:rPr>
          <w:rFonts w:ascii="Arial" w:eastAsia="Arial" w:hAnsi="Arial" w:cs="Arial"/>
          <w:color w:val="222222"/>
        </w:rPr>
        <w:t> je u potpunosti realizovano,</w:t>
      </w:r>
    </w:p>
    <w:p w:rsidR="00D14804" w:rsidRDefault="00E47E1B" w:rsidP="008166A6">
      <w:pPr>
        <w:numPr>
          <w:ilvl w:val="0"/>
          <w:numId w:val="3"/>
        </w:numPr>
        <w:shd w:val="clear" w:color="auto" w:fill="FFFFFF"/>
        <w:spacing w:after="0" w:line="240" w:lineRule="auto"/>
        <w:jc w:val="both"/>
        <w:rPr>
          <w:rFonts w:ascii="Arial" w:eastAsia="Arial" w:hAnsi="Arial" w:cs="Arial"/>
          <w:color w:val="222222"/>
        </w:rPr>
      </w:pPr>
      <w:r>
        <w:rPr>
          <w:rFonts w:ascii="Arial" w:eastAsia="Arial" w:hAnsi="Arial" w:cs="Arial"/>
          <w:b/>
          <w:bCs/>
          <w:color w:val="222222"/>
        </w:rPr>
        <w:t>58,7%</w:t>
      </w:r>
      <w:r>
        <w:rPr>
          <w:rFonts w:ascii="Arial" w:eastAsia="Arial" w:hAnsi="Arial" w:cs="Arial"/>
          <w:color w:val="222222"/>
        </w:rPr>
        <w:t> djelimično realizovano,</w:t>
      </w:r>
    </w:p>
    <w:p w:rsidR="00D14804" w:rsidRDefault="00E47E1B" w:rsidP="008166A6">
      <w:pPr>
        <w:numPr>
          <w:ilvl w:val="0"/>
          <w:numId w:val="3"/>
        </w:numPr>
        <w:shd w:val="clear" w:color="auto" w:fill="FFFFFF"/>
        <w:spacing w:after="0" w:line="240" w:lineRule="auto"/>
        <w:jc w:val="both"/>
        <w:rPr>
          <w:rFonts w:ascii="Arial" w:eastAsia="Arial" w:hAnsi="Arial" w:cs="Arial"/>
          <w:color w:val="222222"/>
        </w:rPr>
      </w:pPr>
      <w:r>
        <w:rPr>
          <w:rFonts w:ascii="Arial" w:eastAsia="Arial" w:hAnsi="Arial" w:cs="Arial"/>
          <w:b/>
          <w:bCs/>
          <w:color w:val="222222"/>
        </w:rPr>
        <w:t>33,4%</w:t>
      </w:r>
      <w:r>
        <w:rPr>
          <w:rFonts w:ascii="Arial" w:eastAsia="Arial" w:hAnsi="Arial" w:cs="Arial"/>
          <w:color w:val="222222"/>
        </w:rPr>
        <w:t> nije realizovano.</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Ovakav rezultat ukazuje na djelimičnu implementaciju Strategije tokom cijelog perioda njenog sprovođenja. Izvještaji dodatno ukazuju da veliki broj mjera koje zahtijevaju kontinuirano sprovođenje, uprkos sprovedenim istraživanjima, proglašenju novih zaštićenih područja i drugim aktivnostima, nijovaj strateški dokument nije u potpunosti realizovan do 2020. godine</w:t>
      </w:r>
    </w:p>
    <w:p w:rsidR="00D14804" w:rsidRDefault="00D14804">
      <w:pPr>
        <w:shd w:val="clear" w:color="auto" w:fill="FFFFFF"/>
        <w:spacing w:after="0" w:line="240" w:lineRule="auto"/>
        <w:jc w:val="both"/>
        <w:rPr>
          <w:rFonts w:ascii="Arial" w:eastAsia="Arial" w:hAnsi="Arial" w:cs="Arial"/>
          <w:b/>
          <w:bCs/>
          <w:color w:val="222222"/>
        </w:rPr>
      </w:pPr>
    </w:p>
    <w:p w:rsidR="00D14804" w:rsidRDefault="00E47E1B">
      <w:pPr>
        <w:pStyle w:val="Heading4"/>
        <w:rPr>
          <w:rFonts w:ascii="Arial" w:eastAsia="Arial" w:hAnsi="Arial" w:cs="Arial"/>
          <w:color w:val="000000"/>
        </w:rPr>
      </w:pPr>
      <w:r>
        <w:rPr>
          <w:rFonts w:ascii="Arial" w:eastAsia="Arial" w:hAnsi="Arial" w:cs="Arial"/>
          <w:color w:val="000000"/>
        </w:rPr>
        <w:t>Strukturni izazovi</w:t>
      </w:r>
    </w:p>
    <w:p w:rsidR="00D14804" w:rsidRDefault="00D14804">
      <w:pPr>
        <w:shd w:val="clear" w:color="auto" w:fill="FFFFFF"/>
        <w:spacing w:after="0" w:line="240" w:lineRule="auto"/>
        <w:jc w:val="both"/>
        <w:rPr>
          <w:rFonts w:ascii="Arial" w:eastAsia="Arial" w:hAnsi="Arial" w:cs="Arial"/>
          <w:b/>
          <w:bCs/>
          <w:color w:val="222222"/>
        </w:rPr>
      </w:pPr>
    </w:p>
    <w:p w:rsidR="00D14804" w:rsidRPr="00230B95" w:rsidRDefault="00E47E1B" w:rsidP="008722E0">
      <w:pPr>
        <w:shd w:val="clear" w:color="auto" w:fill="FFFFFF"/>
        <w:spacing w:after="0" w:line="240" w:lineRule="auto"/>
        <w:jc w:val="both"/>
        <w:rPr>
          <w:rFonts w:ascii="Arial" w:eastAsia="Arial" w:hAnsi="Arial" w:cs="Arial"/>
          <w:color w:val="222222"/>
        </w:rPr>
      </w:pPr>
      <w:r>
        <w:rPr>
          <w:rFonts w:ascii="Arial" w:eastAsia="Arial" w:hAnsi="Arial" w:cs="Arial"/>
          <w:color w:val="222222"/>
        </w:rPr>
        <w:t>Analiza VI nacionalnog izvještaja identifikuje nekoliko ključnih sistemskih ograničenja</w:t>
      </w:r>
      <w:r>
        <w:rPr>
          <w:rFonts w:ascii="Arial" w:eastAsia="Arial" w:hAnsi="Arial" w:cs="Arial"/>
          <w:color w:val="222222"/>
          <w:vertAlign w:val="superscript"/>
        </w:rPr>
        <w:footnoteReference w:id="3"/>
      </w:r>
      <w:r>
        <w:rPr>
          <w:rFonts w:ascii="Arial" w:eastAsia="Arial" w:hAnsi="Arial" w:cs="Arial"/>
          <w:color w:val="222222"/>
        </w:rPr>
        <w:t>:</w:t>
      </w:r>
    </w:p>
    <w:p w:rsidR="00D14804" w:rsidRPr="008722E0" w:rsidRDefault="00E47E1B" w:rsidP="008166A6">
      <w:pPr>
        <w:numPr>
          <w:ilvl w:val="0"/>
          <w:numId w:val="10"/>
        </w:numPr>
        <w:pBdr>
          <w:top w:val="nil"/>
          <w:left w:val="nil"/>
          <w:bottom w:val="nil"/>
          <w:right w:val="nil"/>
          <w:between w:val="nil"/>
        </w:pBdr>
        <w:shd w:val="clear" w:color="auto" w:fill="FFFFFF"/>
        <w:spacing w:after="0" w:line="240" w:lineRule="auto"/>
        <w:jc w:val="both"/>
        <w:rPr>
          <w:rFonts w:ascii="Arial" w:eastAsia="Arial" w:hAnsi="Arial" w:cs="Arial"/>
          <w:color w:val="222222"/>
        </w:rPr>
      </w:pPr>
      <w:r>
        <w:rPr>
          <w:rFonts w:ascii="Arial" w:eastAsia="Arial" w:hAnsi="Arial" w:cs="Arial"/>
          <w:color w:val="222222"/>
        </w:rPr>
        <w:t>Nedostatak podataka i monitoringa - Postojanje ograničenih i nedovoljno dostupnih podataka o biodiverzitetu otežavalo je procjene uticaja, planiranje mjera i donošenje odluka zasnovanih na dokazima. Nacionalni monitoring program nije obezbjeđivao dovoljno informacija za pouzdanu procjenu trendova stanja vrsta i staništa. </w:t>
      </w:r>
    </w:p>
    <w:p w:rsidR="00D14804" w:rsidRPr="008722E0" w:rsidRDefault="00E47E1B" w:rsidP="008166A6">
      <w:pPr>
        <w:numPr>
          <w:ilvl w:val="0"/>
          <w:numId w:val="11"/>
        </w:numPr>
        <w:pBdr>
          <w:top w:val="nil"/>
          <w:left w:val="nil"/>
          <w:bottom w:val="nil"/>
          <w:right w:val="nil"/>
          <w:between w:val="nil"/>
        </w:pBdr>
        <w:shd w:val="clear" w:color="auto" w:fill="FFFFFF"/>
        <w:spacing w:after="0" w:line="240" w:lineRule="auto"/>
        <w:jc w:val="both"/>
        <w:rPr>
          <w:rFonts w:ascii="Arial" w:eastAsia="Arial" w:hAnsi="Arial" w:cs="Arial"/>
          <w:color w:val="222222"/>
        </w:rPr>
      </w:pPr>
      <w:r>
        <w:rPr>
          <w:rFonts w:ascii="Arial" w:eastAsia="Arial" w:hAnsi="Arial" w:cs="Arial"/>
          <w:color w:val="222222"/>
        </w:rPr>
        <w:lastRenderedPageBreak/>
        <w:t>Nedovoljni finansijski i ljudski kapaciteti - Finansiranje zaštite biodiverziteta nije bilo dugoročno održivo i uglavnom se oslanjalo na međunarodne projekte i donatorska sredstva, što je ograničavalo kontinuitet sprovođenja mjera. </w:t>
      </w:r>
    </w:p>
    <w:p w:rsidR="00D14804" w:rsidRDefault="00E47E1B" w:rsidP="008166A6">
      <w:pPr>
        <w:numPr>
          <w:ilvl w:val="0"/>
          <w:numId w:val="12"/>
        </w:numPr>
        <w:pBdr>
          <w:top w:val="nil"/>
          <w:left w:val="nil"/>
          <w:bottom w:val="nil"/>
          <w:right w:val="nil"/>
          <w:between w:val="nil"/>
        </w:pBdr>
        <w:shd w:val="clear" w:color="auto" w:fill="FFFFFF"/>
        <w:spacing w:after="0" w:line="240" w:lineRule="auto"/>
        <w:jc w:val="both"/>
        <w:rPr>
          <w:rFonts w:ascii="Arial" w:eastAsia="Arial" w:hAnsi="Arial" w:cs="Arial"/>
          <w:b/>
          <w:bCs/>
          <w:color w:val="222222"/>
        </w:rPr>
      </w:pPr>
      <w:r>
        <w:rPr>
          <w:rFonts w:ascii="Arial" w:eastAsia="Arial" w:hAnsi="Arial" w:cs="Arial"/>
          <w:color w:val="222222"/>
        </w:rPr>
        <w:t>Slaba integracija i koordinacija -</w:t>
      </w:r>
      <w:r>
        <w:rPr>
          <w:rFonts w:ascii="Arial" w:eastAsia="Arial" w:hAnsi="Arial" w:cs="Arial"/>
          <w:b/>
          <w:bCs/>
          <w:color w:val="222222"/>
        </w:rPr>
        <w:t xml:space="preserve"> </w:t>
      </w:r>
      <w:r>
        <w:rPr>
          <w:rFonts w:ascii="Arial" w:eastAsia="Arial" w:hAnsi="Arial" w:cs="Arial"/>
          <w:color w:val="222222"/>
        </w:rPr>
        <w:t>Iako su postojali mehanizmi poput SPU i PU, nedostatak podataka, nedovoljna integracija komentara javnosti i uopštenost definisanih mjera otežavali su kontrolu njihove primjene i efikasno sprovođenje. Dodatno je prepoznata potreba jačanja koordinacije između resornih institucija, lokalnih samouprava i naučne zajednice, kao i unapređenja razmjene informacija o biodiverzitetu za potrebe planiranja i procjena uticaja. </w:t>
      </w:r>
    </w:p>
    <w:p w:rsidR="00D14804" w:rsidRDefault="00D14804" w:rsidP="008722E0">
      <w:pPr>
        <w:shd w:val="clear" w:color="auto" w:fill="FFFFFF"/>
        <w:spacing w:after="0" w:line="240" w:lineRule="auto"/>
        <w:jc w:val="both"/>
        <w:rPr>
          <w:rFonts w:ascii="Arial" w:eastAsia="Arial" w:hAnsi="Arial" w:cs="Arial"/>
          <w:b/>
          <w:bCs/>
          <w:color w:val="222222"/>
        </w:rPr>
      </w:pPr>
    </w:p>
    <w:p w:rsidR="00D14804" w:rsidRDefault="00E47E1B">
      <w:pPr>
        <w:pStyle w:val="Heading4"/>
        <w:rPr>
          <w:rFonts w:ascii="Arial" w:eastAsia="Arial" w:hAnsi="Arial" w:cs="Arial"/>
          <w:color w:val="000000"/>
        </w:rPr>
      </w:pPr>
      <w:r>
        <w:rPr>
          <w:rFonts w:ascii="Arial" w:eastAsia="Arial" w:hAnsi="Arial" w:cs="Arial"/>
          <w:color w:val="000000"/>
        </w:rPr>
        <w:t>Zaključna ocjena</w:t>
      </w:r>
    </w:p>
    <w:p w:rsidR="00D14804" w:rsidRDefault="00D14804">
      <w:pPr>
        <w:shd w:val="clear" w:color="auto" w:fill="FFFFFF"/>
        <w:spacing w:after="0" w:line="240" w:lineRule="auto"/>
        <w:jc w:val="both"/>
        <w:rPr>
          <w:rFonts w:ascii="Arial" w:eastAsia="Arial" w:hAnsi="Arial" w:cs="Arial"/>
          <w:b/>
          <w:bCs/>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Ukupno posmatrano, prethodna NSBAP doprinijela je:</w:t>
      </w:r>
    </w:p>
    <w:p w:rsidR="00D14804" w:rsidRDefault="00E47E1B" w:rsidP="008166A6">
      <w:pPr>
        <w:numPr>
          <w:ilvl w:val="0"/>
          <w:numId w:val="4"/>
        </w:numPr>
        <w:shd w:val="clear" w:color="auto" w:fill="FFFFFF"/>
        <w:spacing w:after="0" w:line="240" w:lineRule="auto"/>
        <w:jc w:val="both"/>
        <w:rPr>
          <w:rFonts w:ascii="Arial" w:eastAsia="Arial" w:hAnsi="Arial" w:cs="Arial"/>
          <w:color w:val="222222"/>
        </w:rPr>
      </w:pPr>
      <w:r>
        <w:rPr>
          <w:rFonts w:ascii="Arial" w:eastAsia="Arial" w:hAnsi="Arial" w:cs="Arial"/>
          <w:color w:val="222222"/>
        </w:rPr>
        <w:t>unapređenju zakonodavstva i institucionalnog okvira,</w:t>
      </w:r>
    </w:p>
    <w:p w:rsidR="00D14804" w:rsidRDefault="00E47E1B" w:rsidP="008166A6">
      <w:pPr>
        <w:numPr>
          <w:ilvl w:val="0"/>
          <w:numId w:val="4"/>
        </w:numPr>
        <w:shd w:val="clear" w:color="auto" w:fill="FFFFFF"/>
        <w:spacing w:after="0" w:line="240" w:lineRule="auto"/>
        <w:jc w:val="both"/>
        <w:rPr>
          <w:rFonts w:ascii="Arial" w:eastAsia="Arial" w:hAnsi="Arial" w:cs="Arial"/>
          <w:color w:val="222222"/>
        </w:rPr>
      </w:pPr>
      <w:r>
        <w:rPr>
          <w:rFonts w:ascii="Arial" w:eastAsia="Arial" w:hAnsi="Arial" w:cs="Arial"/>
          <w:color w:val="222222"/>
        </w:rPr>
        <w:t>povećanju obuhvata zaštićenih područja i jačanju međunarodne integracije,</w:t>
      </w:r>
    </w:p>
    <w:p w:rsidR="00D14804" w:rsidRDefault="00E47E1B" w:rsidP="008166A6">
      <w:pPr>
        <w:numPr>
          <w:ilvl w:val="0"/>
          <w:numId w:val="4"/>
        </w:numPr>
        <w:shd w:val="clear" w:color="auto" w:fill="FFFFFF"/>
        <w:spacing w:after="0" w:line="240" w:lineRule="auto"/>
        <w:jc w:val="both"/>
        <w:rPr>
          <w:rFonts w:ascii="Arial" w:eastAsia="Arial" w:hAnsi="Arial" w:cs="Arial"/>
          <w:color w:val="222222"/>
        </w:rPr>
      </w:pPr>
      <w:r>
        <w:rPr>
          <w:rFonts w:ascii="Arial" w:eastAsia="Arial" w:hAnsi="Arial" w:cs="Arial"/>
          <w:color w:val="222222"/>
        </w:rPr>
        <w:t>rastu javne svijesti i znanja o biodiverzitetu.</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Međutim, ograničena realizacija mjera, nedostatak stabilnog finansiranja, nedovoljni podaci i slabija međusektorska koordinacija spriječili su postizanje punog efekta Strategije i zaustavljanje negativnih trendova u stanju biodiverziteta.</w:t>
      </w:r>
    </w:p>
    <w:p w:rsidR="00D14804" w:rsidRDefault="00D14804">
      <w:pPr>
        <w:shd w:val="clear" w:color="auto" w:fill="FFFFFF"/>
        <w:spacing w:after="0" w:line="240" w:lineRule="auto"/>
        <w:jc w:val="both"/>
        <w:rPr>
          <w:rFonts w:ascii="Arial" w:eastAsia="Arial" w:hAnsi="Arial" w:cs="Arial"/>
          <w:color w:val="222222"/>
        </w:rPr>
      </w:pPr>
    </w:p>
    <w:p w:rsidR="00D14804" w:rsidRDefault="00E47E1B">
      <w:pPr>
        <w:shd w:val="clear" w:color="auto" w:fill="FFFFFF"/>
        <w:spacing w:after="0" w:line="240" w:lineRule="auto"/>
        <w:jc w:val="both"/>
        <w:rPr>
          <w:rFonts w:ascii="Arial" w:eastAsia="Arial" w:hAnsi="Arial" w:cs="Arial"/>
          <w:color w:val="222222"/>
        </w:rPr>
      </w:pPr>
      <w:r>
        <w:rPr>
          <w:rFonts w:ascii="Arial" w:eastAsia="Arial" w:hAnsi="Arial" w:cs="Arial"/>
          <w:color w:val="222222"/>
        </w:rPr>
        <w:t>Ovi nalazi predstavljaju ključnu osnovu za definisanje nove NSBAP 2026-2031, koja mora obezbijediti:</w:t>
      </w:r>
    </w:p>
    <w:p w:rsidR="00D14804" w:rsidRDefault="00E47E1B" w:rsidP="008166A6">
      <w:pPr>
        <w:numPr>
          <w:ilvl w:val="0"/>
          <w:numId w:val="5"/>
        </w:numPr>
        <w:shd w:val="clear" w:color="auto" w:fill="FFFFFF"/>
        <w:spacing w:after="0" w:line="240" w:lineRule="auto"/>
        <w:jc w:val="both"/>
        <w:rPr>
          <w:rFonts w:ascii="Arial" w:eastAsia="Arial" w:hAnsi="Arial" w:cs="Arial"/>
          <w:color w:val="222222"/>
        </w:rPr>
      </w:pPr>
      <w:r>
        <w:rPr>
          <w:rFonts w:ascii="Arial" w:eastAsia="Arial" w:hAnsi="Arial" w:cs="Arial"/>
          <w:color w:val="222222"/>
        </w:rPr>
        <w:t>realnije i mjerljive ciljeve,</w:t>
      </w:r>
    </w:p>
    <w:p w:rsidR="00D14804" w:rsidRDefault="00E47E1B" w:rsidP="008166A6">
      <w:pPr>
        <w:numPr>
          <w:ilvl w:val="0"/>
          <w:numId w:val="5"/>
        </w:numPr>
        <w:shd w:val="clear" w:color="auto" w:fill="FFFFFF"/>
        <w:spacing w:after="0" w:line="240" w:lineRule="auto"/>
        <w:jc w:val="both"/>
        <w:rPr>
          <w:rFonts w:ascii="Arial" w:eastAsia="Arial" w:hAnsi="Arial" w:cs="Arial"/>
          <w:color w:val="222222"/>
        </w:rPr>
      </w:pPr>
      <w:r>
        <w:rPr>
          <w:rFonts w:ascii="Arial" w:eastAsia="Arial" w:hAnsi="Arial" w:cs="Arial"/>
          <w:color w:val="222222"/>
        </w:rPr>
        <w:t>stabilne finansijske mehanizme,</w:t>
      </w:r>
    </w:p>
    <w:p w:rsidR="00D14804" w:rsidRDefault="00E47E1B" w:rsidP="008166A6">
      <w:pPr>
        <w:numPr>
          <w:ilvl w:val="0"/>
          <w:numId w:val="5"/>
        </w:numPr>
        <w:shd w:val="clear" w:color="auto" w:fill="FFFFFF"/>
        <w:spacing w:after="0" w:line="240" w:lineRule="auto"/>
        <w:jc w:val="both"/>
        <w:rPr>
          <w:rFonts w:ascii="Arial" w:eastAsia="Arial" w:hAnsi="Arial" w:cs="Arial"/>
          <w:color w:val="222222"/>
        </w:rPr>
      </w:pPr>
      <w:r>
        <w:rPr>
          <w:rFonts w:ascii="Arial" w:eastAsia="Arial" w:hAnsi="Arial" w:cs="Arial"/>
          <w:color w:val="222222"/>
        </w:rPr>
        <w:t>funkcionalan sistem monitoringa i podataka,</w:t>
      </w:r>
    </w:p>
    <w:p w:rsidR="00D14804" w:rsidRDefault="00E47E1B" w:rsidP="008166A6">
      <w:pPr>
        <w:numPr>
          <w:ilvl w:val="0"/>
          <w:numId w:val="5"/>
        </w:numPr>
        <w:shd w:val="clear" w:color="auto" w:fill="FFFFFF"/>
        <w:spacing w:after="0" w:line="240" w:lineRule="auto"/>
        <w:jc w:val="both"/>
        <w:rPr>
          <w:rFonts w:ascii="Arial" w:eastAsia="Arial" w:hAnsi="Arial" w:cs="Arial"/>
          <w:color w:val="222222"/>
        </w:rPr>
      </w:pPr>
      <w:r>
        <w:rPr>
          <w:rFonts w:ascii="Arial" w:eastAsia="Arial" w:hAnsi="Arial" w:cs="Arial"/>
          <w:color w:val="222222"/>
        </w:rPr>
        <w:t>snažniju integraciju biodiverziteta u sektorske politike i razvojno planiranje.</w:t>
      </w:r>
    </w:p>
    <w:p w:rsidR="00D14804" w:rsidRDefault="00D14804">
      <w:pPr>
        <w:rPr>
          <w:rFonts w:ascii="Arial" w:eastAsia="Arial" w:hAnsi="Arial" w:cs="Arial"/>
          <w:b/>
          <w:bCs/>
          <w:color w:val="222222"/>
        </w:rPr>
      </w:pPr>
    </w:p>
    <w:p w:rsidR="00D14804" w:rsidRDefault="008722E0">
      <w:pPr>
        <w:pStyle w:val="Heading3"/>
        <w:rPr>
          <w:rFonts w:ascii="Arial" w:eastAsia="Arial" w:hAnsi="Arial" w:cs="Arial"/>
          <w:sz w:val="26"/>
          <w:szCs w:val="26"/>
        </w:rPr>
      </w:pPr>
      <w:bookmarkStart w:id="19" w:name="_Toc222754368"/>
      <w:r>
        <w:rPr>
          <w:rFonts w:ascii="Arial" w:eastAsia="Arial" w:hAnsi="Arial" w:cs="Arial"/>
          <w:sz w:val="26"/>
          <w:szCs w:val="26"/>
        </w:rPr>
        <w:t xml:space="preserve">2.2.2 </w:t>
      </w:r>
      <w:r w:rsidR="00E47E1B">
        <w:rPr>
          <w:rFonts w:ascii="Arial" w:eastAsia="Arial" w:hAnsi="Arial" w:cs="Arial"/>
          <w:sz w:val="26"/>
          <w:szCs w:val="26"/>
        </w:rPr>
        <w:t>Vrijednosti biodiverziteta Crne Gore</w:t>
      </w:r>
      <w:bookmarkEnd w:id="19"/>
    </w:p>
    <w:p w:rsidR="00D14804" w:rsidRDefault="00B168D6">
      <w:p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 xml:space="preserve"> </w:t>
      </w:r>
    </w:p>
    <w:p w:rsidR="00D14804" w:rsidRDefault="00E47E1B">
      <w:pPr>
        <w:pStyle w:val="Heading4"/>
        <w:rPr>
          <w:rFonts w:ascii="Arial" w:eastAsia="Arial" w:hAnsi="Arial" w:cs="Arial"/>
          <w:color w:val="000000"/>
        </w:rPr>
      </w:pPr>
      <w:r>
        <w:rPr>
          <w:rFonts w:ascii="Arial" w:eastAsia="Arial" w:hAnsi="Arial" w:cs="Arial"/>
          <w:color w:val="000000"/>
        </w:rPr>
        <w:t>Genetski diverzitet</w:t>
      </w:r>
    </w:p>
    <w:p w:rsidR="00D14804" w:rsidRDefault="00E47E1B">
      <w:pPr>
        <w:spacing w:before="280" w:after="280" w:line="240" w:lineRule="auto"/>
        <w:jc w:val="both"/>
        <w:rPr>
          <w:rFonts w:ascii="Arial" w:eastAsia="Arial" w:hAnsi="Arial" w:cs="Arial"/>
        </w:rPr>
      </w:pPr>
      <w:r>
        <w:rPr>
          <w:rFonts w:ascii="Arial" w:eastAsia="Arial" w:hAnsi="Arial" w:cs="Arial"/>
        </w:rPr>
        <w:t>Genetski diverzitet predstavlja osnov dugoročne održivosti biodiverziteta, jer omogućava prilagođavanje vrsta promjenljivim uslovima životne sredine, otpornost na bolesti i klimatske ekstreme, kao i očuvanje evolutivnog potencijala prirodnih i poluprirodnih sistema.</w:t>
      </w:r>
    </w:p>
    <w:p w:rsidR="00D14804" w:rsidRDefault="00E47E1B">
      <w:pPr>
        <w:spacing w:before="280" w:after="280" w:line="240" w:lineRule="auto"/>
        <w:jc w:val="both"/>
        <w:rPr>
          <w:rFonts w:ascii="Arial" w:eastAsia="Arial" w:hAnsi="Arial" w:cs="Arial"/>
        </w:rPr>
      </w:pPr>
      <w:r>
        <w:rPr>
          <w:rFonts w:ascii="Arial" w:eastAsia="Arial" w:hAnsi="Arial" w:cs="Arial"/>
        </w:rPr>
        <w:t xml:space="preserve">Posebnu vrijednost genetskog diverziteta čine endemične vrste. U Crnoj Gori su zabilježene </w:t>
      </w:r>
      <w:r>
        <w:rPr>
          <w:rFonts w:ascii="Arial" w:eastAsia="Arial" w:hAnsi="Arial" w:cs="Arial"/>
          <w:b/>
          <w:bCs/>
        </w:rPr>
        <w:t>372 endemične vrste i podvrste biljaka</w:t>
      </w:r>
      <w:r>
        <w:rPr>
          <w:rFonts w:ascii="Arial" w:eastAsia="Arial" w:hAnsi="Arial" w:cs="Arial"/>
        </w:rPr>
        <w:t xml:space="preserve">. Visokoplaninski region Durmitora, sa kanjonskim dolinama Pive i Tare, predstavlja jedan od centara diverziteta balkanske endemične flore u Crnoj Gori, a znatnim brojem endema ističu se i Komovi, Lovćen, Orjen i Rumija. U biodiverzitetu svake države posebno su značajni endemi uskog areala, koji rastu isključivo na njenoj teritoriji, pa je njihovo očuvanje važno i sa aspekta očuvanja svjetskog genofonda. U Crnoj Gori je registrovano </w:t>
      </w:r>
      <w:r>
        <w:rPr>
          <w:rFonts w:ascii="Arial" w:eastAsia="Arial" w:hAnsi="Arial" w:cs="Arial"/>
          <w:b/>
          <w:bCs/>
        </w:rPr>
        <w:t>40 stenoendemičnih vrsta i podvrsta biljaka</w:t>
      </w:r>
      <w:r>
        <w:rPr>
          <w:rFonts w:ascii="Arial" w:eastAsia="Arial" w:hAnsi="Arial" w:cs="Arial"/>
        </w:rPr>
        <w:t xml:space="preserve">. Posebno je interesantan </w:t>
      </w:r>
      <w:r>
        <w:rPr>
          <w:rFonts w:ascii="Arial" w:eastAsia="Arial" w:hAnsi="Arial" w:cs="Arial"/>
          <w:i/>
          <w:iCs/>
        </w:rPr>
        <w:t>Petrolamium</w:t>
      </w:r>
      <w:r>
        <w:rPr>
          <w:rFonts w:ascii="Arial" w:eastAsia="Arial" w:hAnsi="Arial" w:cs="Arial"/>
        </w:rPr>
        <w:t xml:space="preserve"> sp., nedavno opisani monotipski rod iz porodice usnatica (Šurina et al., 2025). Usko rasprostranjenje ovog roda, ograničeno na dijelove Riječke i Lješanske nahije, ukazuje na dugotrajan i nezavisan evolutivni razvoj u specifičnim ekološkim, klimatskim i geološkim uslovima.</w:t>
      </w:r>
    </w:p>
    <w:p w:rsidR="00D14804" w:rsidRDefault="00E47E1B">
      <w:pPr>
        <w:spacing w:before="280" w:after="280" w:line="240" w:lineRule="auto"/>
        <w:jc w:val="both"/>
        <w:rPr>
          <w:rFonts w:ascii="Arial" w:eastAsia="Arial" w:hAnsi="Arial" w:cs="Arial"/>
        </w:rPr>
      </w:pPr>
      <w:r>
        <w:rPr>
          <w:rFonts w:ascii="Arial" w:eastAsia="Arial" w:hAnsi="Arial" w:cs="Arial"/>
        </w:rPr>
        <w:lastRenderedPageBreak/>
        <w:t xml:space="preserve">Za genetički biodiverzitet u Crnoj Gori značajno je i prisustvo starih, prirodnih šuma koje predstavljaju rezervoare autohtonog genetičkog materijala. Važan metod očuvanja genofonda drveća je osnivanje sjemenskih sastojina. U Crnoj Gori je registrovano </w:t>
      </w:r>
      <w:r>
        <w:rPr>
          <w:rFonts w:ascii="Arial" w:eastAsia="Arial" w:hAnsi="Arial" w:cs="Arial"/>
          <w:b/>
          <w:bCs/>
        </w:rPr>
        <w:t>16 sjemenskih objekata</w:t>
      </w:r>
      <w:r>
        <w:rPr>
          <w:rFonts w:ascii="Arial" w:eastAsia="Arial" w:hAnsi="Arial" w:cs="Arial"/>
        </w:rPr>
        <w:t xml:space="preserve"> značajnih šumskih vrsta, dok su još </w:t>
      </w:r>
      <w:r>
        <w:rPr>
          <w:rFonts w:ascii="Arial" w:eastAsia="Arial" w:hAnsi="Arial" w:cs="Arial"/>
          <w:b/>
          <w:bCs/>
        </w:rPr>
        <w:t>dva u fazi osnivanja</w:t>
      </w:r>
      <w:r>
        <w:rPr>
          <w:rFonts w:ascii="Arial" w:eastAsia="Arial" w:hAnsi="Arial" w:cs="Arial"/>
        </w:rPr>
        <w:t>.</w:t>
      </w:r>
    </w:p>
    <w:p w:rsidR="00D14804" w:rsidRDefault="00E47E1B">
      <w:pPr>
        <w:spacing w:before="280" w:after="280" w:line="240" w:lineRule="auto"/>
        <w:jc w:val="both"/>
        <w:rPr>
          <w:rFonts w:ascii="Arial" w:eastAsia="Arial" w:hAnsi="Arial" w:cs="Arial"/>
        </w:rPr>
      </w:pPr>
      <w:r>
        <w:rPr>
          <w:rFonts w:ascii="Arial" w:eastAsia="Arial" w:hAnsi="Arial" w:cs="Arial"/>
        </w:rPr>
        <w:t>Tokom posljednjih decenija povećavaju se površine pod visokoprinosnim sortama, koje su genetički relativno uniformne, što dovodi do „erozije“ agrobiodiverziteta. Uprkos tome, Crna Gora i dalje raspolaže bogatim genofondom agrobiodiverziteta, nastalim kao rezultat dugotrajnog suživota čovjeka i prirode u različitim agroekološkim uslovima. Prisutan je veći broj autohtonih sorti žitarica (kukuruz, ječam, ovas, raž), krompira, pasulja i raštana, kao i različitih vrsta voća (vinova loza, smokva, šipak, šljiva, jabuka). Značajan je i agrobiodiverzitet autohtonih rasa životinja, uključujući ovce (pramenka, žuja, ljaba, soja), goveče buša, domaću balkansku kozu, crnogorskog brdskog konja i domaćeg balkanskog magarca.</w:t>
      </w:r>
    </w:p>
    <w:p w:rsidR="00D14804" w:rsidRDefault="00E47E1B">
      <w:pPr>
        <w:pStyle w:val="Heading4"/>
        <w:rPr>
          <w:rFonts w:ascii="Arial" w:eastAsia="Arial" w:hAnsi="Arial" w:cs="Arial"/>
          <w:color w:val="000000"/>
        </w:rPr>
      </w:pPr>
      <w:r>
        <w:rPr>
          <w:rFonts w:ascii="Arial" w:eastAsia="Arial" w:hAnsi="Arial" w:cs="Arial"/>
          <w:color w:val="000000"/>
        </w:rPr>
        <w:t>Diverzitet vrsta</w:t>
      </w:r>
    </w:p>
    <w:p w:rsidR="008722E0" w:rsidRPr="008722E0" w:rsidRDefault="008722E0" w:rsidP="008722E0"/>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Dosadašnja istraživanja potvrđuju </w:t>
      </w:r>
      <w:r>
        <w:rPr>
          <w:rFonts w:ascii="Arial" w:eastAsia="Arial" w:hAnsi="Arial" w:cs="Arial"/>
          <w:b/>
          <w:bCs/>
          <w:color w:val="000000"/>
        </w:rPr>
        <w:t>prisustvo više hiljada vrsta</w:t>
      </w:r>
      <w:r>
        <w:rPr>
          <w:rFonts w:ascii="Arial" w:eastAsia="Arial" w:hAnsi="Arial" w:cs="Arial"/>
          <w:color w:val="000000"/>
        </w:rPr>
        <w:t xml:space="preserve"> iz gotovo svih glavnih taksonomskih grupa, uključujući gljive, lišajeve, mahovine, vaskularne biljke, beskičmenjake i kičmenjake. Posebno se ističe biljni svijet sa oko 3.600 vrsta vaskularnih biljaka, među kojima značajan udio čine balkanski i crnogorski endemi, što Crnu Goru svrstava među centre florističke raznovrsnosti na Balkanu. I druge grupe, poput algi, mahovina, gljiva, insekata i mekušaca, pokazuju izuzetno bogatstvo, uz procjene da je stvarni broj vrsta znatno veći od trenutno poznatog, posebno kod slabije istraženih taksona.</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Centri diverziteta ptica u Crnoj Gori obuhvataju drenažni basen Skadarskog jezera, Šasko jezero sa deltom rijeke Bojane, Ulcinjsku solanu, Buljaricu, Tivatska solila i planinske masive. Centri endemizma faune beskičmenjaka prepoznati su u području Skadarskog jezera sa okolinom, dolini rijeke Zete, kao i u izvorima i planinskim rijekama.</w:t>
      </w:r>
    </w:p>
    <w:tbl>
      <w:tblPr>
        <w:tblStyle w:val="a1"/>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7"/>
        <w:gridCol w:w="1731"/>
        <w:gridCol w:w="1731"/>
        <w:gridCol w:w="1731"/>
        <w:gridCol w:w="1731"/>
      </w:tblGrid>
      <w:tr w:rsidR="00D14804">
        <w:tc>
          <w:tcPr>
            <w:tcW w:w="2137" w:type="dxa"/>
            <w:shd w:val="clear" w:color="auto" w:fill="EDEDED"/>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Grupa</w:t>
            </w:r>
          </w:p>
        </w:tc>
        <w:tc>
          <w:tcPr>
            <w:tcW w:w="1731" w:type="dxa"/>
            <w:shd w:val="clear" w:color="auto" w:fill="EDEDED"/>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Brojnost vrsta</w:t>
            </w:r>
          </w:p>
        </w:tc>
        <w:tc>
          <w:tcPr>
            <w:tcW w:w="1731" w:type="dxa"/>
            <w:shd w:val="clear" w:color="auto" w:fill="EDEDED"/>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Endemične</w:t>
            </w:r>
          </w:p>
        </w:tc>
        <w:tc>
          <w:tcPr>
            <w:tcW w:w="1731" w:type="dxa"/>
            <w:shd w:val="clear" w:color="auto" w:fill="EDEDED"/>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Zakonom zaštićene</w:t>
            </w:r>
          </w:p>
        </w:tc>
        <w:tc>
          <w:tcPr>
            <w:tcW w:w="1731" w:type="dxa"/>
            <w:shd w:val="clear" w:color="auto" w:fill="EDEDED"/>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sz w:val="20"/>
                <w:szCs w:val="20"/>
              </w:rPr>
              <w:t>Prilog II Direktive o staništima</w:t>
            </w:r>
          </w:p>
        </w:tc>
      </w:tr>
      <w:tr w:rsidR="00D14804">
        <w:tc>
          <w:tcPr>
            <w:tcW w:w="2137" w:type="dxa"/>
          </w:tcPr>
          <w:p w:rsidR="00D14804" w:rsidRDefault="00387C89">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anchor distT="0" distB="0" distL="114300" distR="114300" simplePos="0" relativeHeight="251659264" behindDoc="1" locked="0" layoutInCell="1" allowOverlap="1" wp14:anchorId="3DD8EC7E" wp14:editId="325151B3">
                  <wp:simplePos x="0" y="0"/>
                  <wp:positionH relativeFrom="column">
                    <wp:posOffset>-26035</wp:posOffset>
                  </wp:positionH>
                  <wp:positionV relativeFrom="paragraph">
                    <wp:posOffset>169545</wp:posOffset>
                  </wp:positionV>
                  <wp:extent cx="444500" cy="425450"/>
                  <wp:effectExtent l="0" t="0" r="0" b="0"/>
                  <wp:wrapNone/>
                  <wp:docPr id="179557345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444500" cy="425450"/>
                          </a:xfrm>
                          <a:prstGeom prst="rect">
                            <a:avLst/>
                          </a:prstGeom>
                          <a:ln/>
                        </pic:spPr>
                      </pic:pic>
                    </a:graphicData>
                  </a:graphic>
                  <wp14:sizeRelH relativeFrom="margin">
                    <wp14:pctWidth>0</wp14:pctWidth>
                  </wp14:sizeRelH>
                  <wp14:sizeRelV relativeFrom="margin">
                    <wp14:pctHeight>0</wp14:pctHeight>
                  </wp14:sizeRelV>
                </wp:anchor>
              </w:drawing>
            </w:r>
            <w:r w:rsidR="00E47E1B">
              <w:rPr>
                <w:rFonts w:ascii="Arial" w:eastAsia="Arial" w:hAnsi="Arial" w:cs="Arial"/>
                <w:color w:val="000000"/>
                <w:sz w:val="18"/>
                <w:szCs w:val="18"/>
              </w:rPr>
              <w:t>Gljive</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2200</w:t>
            </w:r>
          </w:p>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Procjene 15000-25000</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3</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111</w:t>
            </w:r>
          </w:p>
        </w:tc>
        <w:tc>
          <w:tcPr>
            <w:tcW w:w="1731" w:type="dxa"/>
            <w:vAlign w:val="center"/>
          </w:tcPr>
          <w:p w:rsidR="00D14804" w:rsidRDefault="00D14804">
            <w:pPr>
              <w:pBdr>
                <w:top w:val="nil"/>
                <w:left w:val="nil"/>
                <w:bottom w:val="nil"/>
                <w:right w:val="nil"/>
                <w:between w:val="nil"/>
              </w:pBdr>
              <w:jc w:val="center"/>
              <w:rPr>
                <w:rFonts w:ascii="Arial" w:eastAsia="Arial" w:hAnsi="Arial" w:cs="Arial"/>
                <w:b/>
                <w:bCs/>
                <w:color w:val="000000"/>
                <w:sz w:val="18"/>
                <w:szCs w:val="18"/>
              </w:rPr>
            </w:pPr>
          </w:p>
        </w:tc>
      </w:tr>
      <w:tr w:rsidR="00D14804">
        <w:tc>
          <w:tcPr>
            <w:tcW w:w="2137" w:type="dxa"/>
          </w:tcPr>
          <w:p w:rsidR="00D14804" w:rsidRPr="00387C89" w:rsidRDefault="00387C89">
            <w:pPr>
              <w:pBdr>
                <w:top w:val="nil"/>
                <w:left w:val="nil"/>
                <w:bottom w:val="nil"/>
                <w:right w:val="nil"/>
                <w:between w:val="nil"/>
              </w:pBdr>
              <w:jc w:val="both"/>
              <w:rPr>
                <w:rFonts w:ascii="Arial" w:eastAsia="Arial" w:hAnsi="Arial" w:cs="Arial"/>
                <w:sz w:val="18"/>
                <w:szCs w:val="18"/>
              </w:rPr>
            </w:pPr>
            <w:r w:rsidRPr="00387C89">
              <w:rPr>
                <w:rFonts w:ascii="Arial" w:eastAsia="Arial" w:hAnsi="Arial" w:cs="Arial"/>
                <w:noProof/>
                <w:sz w:val="18"/>
                <w:szCs w:val="18"/>
              </w:rPr>
              <w:drawing>
                <wp:anchor distT="0" distB="0" distL="114300" distR="114300" simplePos="0" relativeHeight="251658240" behindDoc="1" locked="0" layoutInCell="1" allowOverlap="1" wp14:anchorId="5303704E" wp14:editId="0B3E6B2F">
                  <wp:simplePos x="0" y="0"/>
                  <wp:positionH relativeFrom="column">
                    <wp:posOffset>-13335</wp:posOffset>
                  </wp:positionH>
                  <wp:positionV relativeFrom="paragraph">
                    <wp:posOffset>144145</wp:posOffset>
                  </wp:positionV>
                  <wp:extent cx="468630" cy="476250"/>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630" cy="476250"/>
                          </a:xfrm>
                          <a:prstGeom prst="rect">
                            <a:avLst/>
                          </a:prstGeom>
                        </pic:spPr>
                      </pic:pic>
                    </a:graphicData>
                  </a:graphic>
                </wp:anchor>
              </w:drawing>
            </w:r>
            <w:r w:rsidR="00E47E1B" w:rsidRPr="00387C89">
              <w:rPr>
                <w:rFonts w:ascii="Arial" w:eastAsia="Arial" w:hAnsi="Arial" w:cs="Arial"/>
                <w:sz w:val="18"/>
                <w:szCs w:val="18"/>
              </w:rPr>
              <w:t>Alge</w:t>
            </w:r>
            <w:r>
              <w:rPr>
                <w:noProof/>
              </w:rPr>
              <w:t xml:space="preserve"> </w:t>
            </w:r>
          </w:p>
        </w:tc>
        <w:tc>
          <w:tcPr>
            <w:tcW w:w="1731" w:type="dxa"/>
            <w:vAlign w:val="center"/>
          </w:tcPr>
          <w:p w:rsidR="00D14804" w:rsidRPr="00387C89" w:rsidRDefault="00E47E1B">
            <w:pPr>
              <w:pBdr>
                <w:top w:val="nil"/>
                <w:left w:val="nil"/>
                <w:bottom w:val="nil"/>
                <w:right w:val="nil"/>
                <w:between w:val="nil"/>
              </w:pBdr>
              <w:jc w:val="center"/>
              <w:rPr>
                <w:rFonts w:ascii="Arial" w:eastAsia="Arial" w:hAnsi="Arial" w:cs="Arial"/>
                <w:b/>
                <w:bCs/>
                <w:sz w:val="18"/>
                <w:szCs w:val="18"/>
              </w:rPr>
            </w:pPr>
            <w:r w:rsidRPr="00387C89">
              <w:rPr>
                <w:rFonts w:ascii="Arial" w:eastAsia="Arial" w:hAnsi="Arial" w:cs="Arial"/>
                <w:b/>
                <w:bCs/>
                <w:sz w:val="18"/>
                <w:szCs w:val="18"/>
              </w:rPr>
              <w:t>1900 slatkovodnih i morskih, mikro i makroalgi</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sz w:val="18"/>
                <w:szCs w:val="18"/>
              </w:rPr>
              <w:t>3</w:t>
            </w:r>
          </w:p>
        </w:tc>
        <w:tc>
          <w:tcPr>
            <w:tcW w:w="1731" w:type="dxa"/>
            <w:vAlign w:val="center"/>
          </w:tcPr>
          <w:p w:rsidR="00D14804" w:rsidRDefault="00D14804">
            <w:pPr>
              <w:pBdr>
                <w:top w:val="nil"/>
                <w:left w:val="nil"/>
                <w:bottom w:val="nil"/>
                <w:right w:val="nil"/>
                <w:between w:val="nil"/>
              </w:pBdr>
              <w:jc w:val="center"/>
              <w:rPr>
                <w:rFonts w:ascii="Arial" w:eastAsia="Arial" w:hAnsi="Arial" w:cs="Arial"/>
                <w:b/>
                <w:bCs/>
                <w:color w:val="000000"/>
                <w:sz w:val="18"/>
                <w:szCs w:val="18"/>
              </w:rPr>
            </w:pPr>
          </w:p>
        </w:tc>
        <w:tc>
          <w:tcPr>
            <w:tcW w:w="1731" w:type="dxa"/>
            <w:vAlign w:val="center"/>
          </w:tcPr>
          <w:p w:rsidR="00D14804" w:rsidRDefault="00D14804">
            <w:pPr>
              <w:pBdr>
                <w:top w:val="nil"/>
                <w:left w:val="nil"/>
                <w:bottom w:val="nil"/>
                <w:right w:val="nil"/>
                <w:between w:val="nil"/>
              </w:pBdr>
              <w:jc w:val="center"/>
              <w:rPr>
                <w:rFonts w:ascii="Arial" w:eastAsia="Arial" w:hAnsi="Arial" w:cs="Arial"/>
                <w:b/>
                <w:bCs/>
                <w:color w:val="000000"/>
                <w:sz w:val="18"/>
                <w:szCs w:val="18"/>
              </w:rPr>
            </w:pPr>
          </w:p>
        </w:tc>
      </w:tr>
      <w:tr w:rsidR="00D14804">
        <w:tc>
          <w:tcPr>
            <w:tcW w:w="2137"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Lišajevi </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extent cx="476250" cy="428625"/>
                  <wp:effectExtent l="0" t="0" r="0" b="0"/>
                  <wp:docPr id="17955734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76250" cy="428625"/>
                          </a:xfrm>
                          <a:prstGeom prst="rect">
                            <a:avLst/>
                          </a:prstGeom>
                          <a:ln/>
                        </pic:spPr>
                      </pic:pic>
                    </a:graphicData>
                  </a:graphic>
                </wp:inline>
              </w:drawing>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900</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sz w:val="18"/>
                <w:szCs w:val="18"/>
              </w:rPr>
              <w:t>-</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sz w:val="18"/>
                <w:szCs w:val="18"/>
              </w:rPr>
              <w:t>1</w:t>
            </w:r>
          </w:p>
        </w:tc>
        <w:tc>
          <w:tcPr>
            <w:tcW w:w="1731" w:type="dxa"/>
            <w:vAlign w:val="center"/>
          </w:tcPr>
          <w:p w:rsidR="00D14804" w:rsidRDefault="00D14804">
            <w:pPr>
              <w:pBdr>
                <w:top w:val="nil"/>
                <w:left w:val="nil"/>
                <w:bottom w:val="nil"/>
                <w:right w:val="nil"/>
                <w:between w:val="nil"/>
              </w:pBdr>
              <w:jc w:val="center"/>
              <w:rPr>
                <w:rFonts w:ascii="Arial" w:eastAsia="Arial" w:hAnsi="Arial" w:cs="Arial"/>
                <w:b/>
                <w:bCs/>
                <w:color w:val="000000"/>
                <w:sz w:val="18"/>
                <w:szCs w:val="18"/>
              </w:rPr>
            </w:pPr>
          </w:p>
        </w:tc>
      </w:tr>
      <w:tr w:rsidR="00D14804">
        <w:tc>
          <w:tcPr>
            <w:tcW w:w="2137"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Mahovine</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extent cx="476250" cy="419100"/>
                  <wp:effectExtent l="0" t="0" r="0" b="0"/>
                  <wp:docPr id="17955734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476250" cy="419100"/>
                          </a:xfrm>
                          <a:prstGeom prst="rect">
                            <a:avLst/>
                          </a:prstGeom>
                          <a:ln/>
                        </pic:spPr>
                      </pic:pic>
                    </a:graphicData>
                  </a:graphic>
                </wp:inline>
              </w:drawing>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600 pravih mahovina</w:t>
            </w:r>
          </w:p>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100 jetranjača</w:t>
            </w:r>
          </w:p>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1 vrsta rogatih</w:t>
            </w:r>
          </w:p>
        </w:tc>
        <w:tc>
          <w:tcPr>
            <w:tcW w:w="1731" w:type="dxa"/>
            <w:vAlign w:val="center"/>
          </w:tcPr>
          <w:p w:rsidR="00D14804" w:rsidRDefault="00D14804">
            <w:pPr>
              <w:pBdr>
                <w:top w:val="nil"/>
                <w:left w:val="nil"/>
                <w:bottom w:val="nil"/>
                <w:right w:val="nil"/>
                <w:between w:val="nil"/>
              </w:pBdr>
              <w:jc w:val="center"/>
              <w:rPr>
                <w:rFonts w:ascii="Arial" w:eastAsia="Arial" w:hAnsi="Arial" w:cs="Arial"/>
                <w:b/>
                <w:bCs/>
                <w:color w:val="000000"/>
                <w:sz w:val="18"/>
                <w:szCs w:val="18"/>
              </w:rPr>
            </w:pP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23</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5</w:t>
            </w:r>
          </w:p>
        </w:tc>
      </w:tr>
      <w:tr w:rsidR="00D14804">
        <w:tc>
          <w:tcPr>
            <w:tcW w:w="2137" w:type="dxa"/>
          </w:tcPr>
          <w:p w:rsidR="00D14804" w:rsidRDefault="00E47E1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lastRenderedPageBreak/>
              <w:t>Vaskularne biljke</w:t>
            </w:r>
            <w:r>
              <w:rPr>
                <w:rFonts w:ascii="Arial" w:eastAsia="Arial" w:hAnsi="Arial" w:cs="Arial"/>
                <w:noProof/>
                <w:color w:val="000000"/>
                <w:sz w:val="18"/>
                <w:szCs w:val="18"/>
              </w:rPr>
              <w:drawing>
                <wp:inline distT="0" distB="0" distL="0" distR="0" wp14:editId="59B020B3">
                  <wp:extent cx="419100" cy="482600"/>
                  <wp:effectExtent l="0" t="0" r="0" b="0"/>
                  <wp:docPr id="179557345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419100" cy="482600"/>
                          </a:xfrm>
                          <a:prstGeom prst="rect">
                            <a:avLst/>
                          </a:prstGeom>
                          <a:ln/>
                        </pic:spPr>
                      </pic:pic>
                    </a:graphicData>
                  </a:graphic>
                </wp:inline>
              </w:drawing>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3600</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372 balkanska endema</w:t>
            </w:r>
          </w:p>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sz w:val="18"/>
                <w:szCs w:val="18"/>
              </w:rPr>
              <w:t xml:space="preserve">40 </w:t>
            </w:r>
            <w:r>
              <w:rPr>
                <w:rFonts w:ascii="Arial" w:eastAsia="Arial" w:hAnsi="Arial" w:cs="Arial"/>
                <w:b/>
                <w:bCs/>
                <w:color w:val="000000"/>
                <w:sz w:val="18"/>
                <w:szCs w:val="18"/>
              </w:rPr>
              <w:t>crnogorskih endema</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color w:val="000000"/>
                <w:sz w:val="18"/>
                <w:szCs w:val="18"/>
              </w:rPr>
              <w:t>300</w:t>
            </w:r>
          </w:p>
        </w:tc>
        <w:tc>
          <w:tcPr>
            <w:tcW w:w="1731" w:type="dxa"/>
            <w:vAlign w:val="center"/>
          </w:tcPr>
          <w:p w:rsidR="00D14804" w:rsidRDefault="00E47E1B">
            <w:pPr>
              <w:pBdr>
                <w:top w:val="nil"/>
                <w:left w:val="nil"/>
                <w:bottom w:val="nil"/>
                <w:right w:val="nil"/>
                <w:between w:val="nil"/>
              </w:pBdr>
              <w:jc w:val="center"/>
              <w:rPr>
                <w:rFonts w:ascii="Arial" w:eastAsia="Arial" w:hAnsi="Arial" w:cs="Arial"/>
                <w:b/>
                <w:bCs/>
                <w:color w:val="000000"/>
                <w:sz w:val="18"/>
                <w:szCs w:val="18"/>
              </w:rPr>
            </w:pPr>
            <w:r>
              <w:rPr>
                <w:rFonts w:ascii="Arial" w:eastAsia="Arial" w:hAnsi="Arial" w:cs="Arial"/>
                <w:b/>
                <w:bCs/>
                <w:sz w:val="18"/>
                <w:szCs w:val="18"/>
              </w:rPr>
              <w:t>18</w:t>
            </w:r>
          </w:p>
        </w:tc>
      </w:tr>
    </w:tbl>
    <w:p w:rsidR="00D14804" w:rsidRDefault="00D14804">
      <w:pPr>
        <w:pBdr>
          <w:top w:val="nil"/>
          <w:left w:val="nil"/>
          <w:bottom w:val="nil"/>
          <w:right w:val="nil"/>
          <w:between w:val="nil"/>
        </w:pBdr>
        <w:spacing w:after="0" w:line="240" w:lineRule="auto"/>
        <w:jc w:val="both"/>
        <w:rPr>
          <w:rFonts w:ascii="Arial" w:eastAsia="Arial" w:hAnsi="Arial" w:cs="Arial"/>
          <w:sz w:val="20"/>
          <w:szCs w:val="20"/>
        </w:rPr>
      </w:pPr>
    </w:p>
    <w:p w:rsidR="00D14804" w:rsidRDefault="00A26374">
      <w:pPr>
        <w:pBdr>
          <w:top w:val="nil"/>
          <w:left w:val="nil"/>
          <w:bottom w:val="nil"/>
          <w:right w:val="nil"/>
          <w:between w:val="nil"/>
        </w:pBdr>
        <w:spacing w:after="0" w:line="240" w:lineRule="auto"/>
        <w:jc w:val="both"/>
        <w:rPr>
          <w:rFonts w:ascii="Arial" w:eastAsia="Arial" w:hAnsi="Arial" w:cs="Arial"/>
          <w:color w:val="000000"/>
          <w:sz w:val="20"/>
          <w:szCs w:val="20"/>
        </w:rPr>
      </w:pPr>
      <w:sdt>
        <w:sdtPr>
          <w:tag w:val="goog_rdk_15"/>
          <w:id w:val="2147468710"/>
        </w:sdtPr>
        <w:sdtEndPr/>
        <w:sdtContent/>
      </w:sdt>
      <w:sdt>
        <w:sdtPr>
          <w:tag w:val="goog_rdk_16"/>
          <w:id w:val="-646021911"/>
        </w:sdtPr>
        <w:sdtEndPr/>
        <w:sdtContent/>
      </w:sdt>
      <w:r w:rsidR="00F42388">
        <w:rPr>
          <w:rFonts w:ascii="Arial" w:eastAsia="Arial" w:hAnsi="Arial" w:cs="Arial"/>
          <w:b/>
          <w:bCs/>
          <w:color w:val="000000"/>
          <w:sz w:val="20"/>
          <w:szCs w:val="20"/>
        </w:rPr>
        <w:t>Grafika</w:t>
      </w:r>
      <w:r w:rsidR="00E47E1B">
        <w:rPr>
          <w:rFonts w:ascii="Arial" w:eastAsia="Arial" w:hAnsi="Arial" w:cs="Arial"/>
          <w:b/>
          <w:bCs/>
          <w:color w:val="000000"/>
          <w:sz w:val="20"/>
          <w:szCs w:val="20"/>
        </w:rPr>
        <w:t xml:space="preserve"> 02 –</w:t>
      </w:r>
      <w:r w:rsidR="00E47E1B">
        <w:rPr>
          <w:rFonts w:ascii="Arial" w:eastAsia="Arial" w:hAnsi="Arial" w:cs="Arial"/>
          <w:color w:val="000000"/>
          <w:sz w:val="20"/>
          <w:szCs w:val="20"/>
        </w:rPr>
        <w:t xml:space="preserve"> Pregled </w:t>
      </w:r>
      <w:r w:rsidR="00E47E1B">
        <w:rPr>
          <w:rFonts w:ascii="Arial" w:eastAsia="Arial" w:hAnsi="Arial" w:cs="Arial"/>
          <w:sz w:val="20"/>
          <w:szCs w:val="20"/>
        </w:rPr>
        <w:t>d</w:t>
      </w:r>
      <w:r w:rsidR="00E47E1B">
        <w:rPr>
          <w:rFonts w:ascii="Arial" w:eastAsia="Arial" w:hAnsi="Arial" w:cs="Arial"/>
          <w:color w:val="000000"/>
          <w:sz w:val="20"/>
          <w:szCs w:val="20"/>
        </w:rPr>
        <w:t>iverziteta gljiva i biljaka u Crnoj Gori.</w:t>
      </w:r>
    </w:p>
    <w:p w:rsidR="00D14804" w:rsidRDefault="00D14804">
      <w:pPr>
        <w:pBdr>
          <w:top w:val="nil"/>
          <w:left w:val="nil"/>
          <w:bottom w:val="nil"/>
          <w:right w:val="nil"/>
          <w:between w:val="nil"/>
        </w:pBdr>
        <w:spacing w:line="240" w:lineRule="auto"/>
        <w:jc w:val="both"/>
        <w:rPr>
          <w:rFonts w:ascii="Arial" w:eastAsia="Arial" w:hAnsi="Arial" w:cs="Arial"/>
          <w:color w:val="000000"/>
        </w:rPr>
      </w:pP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b/>
          <w:bCs/>
          <w:color w:val="000000"/>
        </w:rPr>
        <w:t>Fauna Crne Gore</w:t>
      </w:r>
      <w:r>
        <w:rPr>
          <w:rFonts w:ascii="Arial" w:eastAsia="Arial" w:hAnsi="Arial" w:cs="Arial"/>
          <w:color w:val="000000"/>
        </w:rPr>
        <w:t xml:space="preserve"> takođe odražava visok stepen biološke raznovrsnosti. Zabilježen je veliki broj vrsta riba, vodozemaca, gmizavaca, ptica i sisara, uključujući endemične vrste i populacije od posebnog značaja za očuvanje na evropskom i globalnom nivou. Brojne vrste nalaze se na listama međunarodnih konvencija i direktiva, kao i na IUCN Crvenoj listi, što dodatno potvrđuje odgovornost Crne Gore u njihovom očuvanju.</w:t>
      </w:r>
    </w:p>
    <w:tbl>
      <w:tblPr>
        <w:tblStyle w:val="a2"/>
        <w:tblW w:w="9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6"/>
        <w:gridCol w:w="1221"/>
        <w:gridCol w:w="1433"/>
        <w:gridCol w:w="1326"/>
        <w:gridCol w:w="1327"/>
        <w:gridCol w:w="1442"/>
        <w:gridCol w:w="1212"/>
      </w:tblGrid>
      <w:tr w:rsidR="00D14804">
        <w:trPr>
          <w:trHeight w:val="1333"/>
        </w:trPr>
        <w:tc>
          <w:tcPr>
            <w:tcW w:w="1326"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Grupa</w:t>
            </w:r>
          </w:p>
        </w:tc>
        <w:tc>
          <w:tcPr>
            <w:tcW w:w="1221"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Brojnost vrsta</w:t>
            </w:r>
          </w:p>
        </w:tc>
        <w:tc>
          <w:tcPr>
            <w:tcW w:w="1433"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Endemične</w:t>
            </w:r>
          </w:p>
        </w:tc>
        <w:tc>
          <w:tcPr>
            <w:tcW w:w="1326"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Zakonom zaštićene</w:t>
            </w:r>
          </w:p>
        </w:tc>
        <w:tc>
          <w:tcPr>
            <w:tcW w:w="1327"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Na aneksima EU direktiva</w:t>
            </w:r>
          </w:p>
        </w:tc>
        <w:tc>
          <w:tcPr>
            <w:tcW w:w="1442" w:type="dxa"/>
            <w:shd w:val="clear" w:color="auto" w:fill="D5DCE4"/>
            <w:vAlign w:val="center"/>
          </w:tcPr>
          <w:p w:rsidR="00D14804" w:rsidRDefault="00E47E1B">
            <w:pPr>
              <w:pBdr>
                <w:top w:val="nil"/>
                <w:left w:val="nil"/>
                <w:bottom w:val="nil"/>
                <w:right w:val="nil"/>
                <w:between w:val="nil"/>
              </w:pBdr>
              <w:jc w:val="center"/>
              <w:rPr>
                <w:rFonts w:ascii="Arial" w:eastAsia="Arial" w:hAnsi="Arial" w:cs="Arial"/>
                <w:b/>
                <w:bCs/>
                <w:color w:val="000000"/>
                <w:sz w:val="20"/>
                <w:szCs w:val="20"/>
              </w:rPr>
            </w:pPr>
            <w:r>
              <w:rPr>
                <w:rFonts w:ascii="Arial" w:eastAsia="Arial" w:hAnsi="Arial" w:cs="Arial"/>
                <w:b/>
                <w:bCs/>
                <w:color w:val="000000"/>
                <w:sz w:val="20"/>
                <w:szCs w:val="20"/>
              </w:rPr>
              <w:t>Bernska konvencija</w:t>
            </w:r>
          </w:p>
        </w:tc>
        <w:tc>
          <w:tcPr>
            <w:tcW w:w="1212" w:type="dxa"/>
            <w:shd w:val="clear" w:color="auto" w:fill="D5DCE4"/>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20"/>
                <w:szCs w:val="20"/>
              </w:rPr>
            </w:pPr>
            <w:r>
              <w:rPr>
                <w:rFonts w:ascii="Arial" w:eastAsia="Arial" w:hAnsi="Arial" w:cs="Arial"/>
                <w:b/>
                <w:bCs/>
                <w:color w:val="000000"/>
                <w:sz w:val="20"/>
                <w:szCs w:val="20"/>
              </w:rPr>
              <w:t>IUCN Crvena lista</w:t>
            </w: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Sunđeri </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4A17305F">
                  <wp:extent cx="444500" cy="482600"/>
                  <wp:effectExtent l="0" t="0" r="0" b="0"/>
                  <wp:docPr id="179557345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444795" cy="482920"/>
                          </a:xfrm>
                          <a:prstGeom prst="rect">
                            <a:avLst/>
                          </a:prstGeom>
                          <a:ln/>
                        </pic:spPr>
                      </pic:pic>
                    </a:graphicData>
                  </a:graphic>
                </wp:inline>
              </w:drawing>
            </w:r>
          </w:p>
        </w:tc>
        <w:tc>
          <w:tcPr>
            <w:tcW w:w="1221" w:type="dxa"/>
            <w:vAlign w:val="center"/>
          </w:tcPr>
          <w:p w:rsidR="00D14804" w:rsidRDefault="00387C89">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88</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9</w:t>
            </w: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Dupljari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670D582F">
                  <wp:extent cx="528320" cy="533400"/>
                  <wp:effectExtent l="0" t="0" r="5080" b="0"/>
                  <wp:docPr id="17955734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528596" cy="533679"/>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50</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7</w:t>
            </w: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Pljosnati crvi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188FAA11">
                  <wp:extent cx="406400" cy="565150"/>
                  <wp:effectExtent l="0" t="0" r="0" b="6350"/>
                  <wp:docPr id="17955734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406852" cy="565779"/>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33</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Člankoviti crvi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022B4300">
                  <wp:extent cx="450850" cy="482600"/>
                  <wp:effectExtent l="0" t="0" r="6350" b="0"/>
                  <wp:docPr id="17955734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451223" cy="483000"/>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176</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w:t>
            </w: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Mekušci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extent cx="528320" cy="419302"/>
                  <wp:effectExtent l="0" t="0" r="0" b="0"/>
                  <wp:docPr id="17955734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28320" cy="419302"/>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871</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61</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18</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9</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11</w:t>
            </w:r>
          </w:p>
        </w:tc>
        <w:tc>
          <w:tcPr>
            <w:tcW w:w="121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32</w:t>
            </w: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Briozoa</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1385C7DB">
                  <wp:extent cx="431800" cy="438150"/>
                  <wp:effectExtent l="0" t="0" r="6350" b="0"/>
                  <wp:docPr id="17955734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432023" cy="438376"/>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49</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lastRenderedPageBreak/>
              <w:t>Paukoliki zgavkari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extent cx="476250" cy="522713"/>
                  <wp:effectExtent l="0" t="0" r="0" b="0"/>
                  <wp:docPr id="17955734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476250" cy="522713"/>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835</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5</w:t>
            </w: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Rakovi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1F5C2A9D">
                  <wp:extent cx="508000" cy="482600"/>
                  <wp:effectExtent l="0" t="0" r="6350" b="0"/>
                  <wp:docPr id="17955734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08063" cy="482660"/>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130</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w:t>
            </w: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Insekti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7E068143">
                  <wp:extent cx="469900" cy="527050"/>
                  <wp:effectExtent l="0" t="0" r="6350" b="6350"/>
                  <wp:docPr id="179557346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470074" cy="527245"/>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3600</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25</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14</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21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22</w:t>
            </w: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Bodljokošci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7D8AB2E4">
                  <wp:extent cx="482600" cy="463550"/>
                  <wp:effectExtent l="0" t="0" r="0" b="0"/>
                  <wp:docPr id="17955734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482709" cy="463655"/>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63</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w:t>
            </w: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Plaštaši </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187EFE14">
                  <wp:extent cx="387350" cy="476250"/>
                  <wp:effectExtent l="0" t="0" r="0" b="0"/>
                  <wp:docPr id="17955734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387464" cy="476390"/>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1433"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327"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44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Ribe</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3405F754">
                  <wp:extent cx="552450" cy="342900"/>
                  <wp:effectExtent l="0" t="0" r="0" b="0"/>
                  <wp:docPr id="17955734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a:stretch>
                            <a:fillRect/>
                          </a:stretch>
                        </pic:blipFill>
                        <pic:spPr>
                          <a:xfrm>
                            <a:off x="0" y="0"/>
                            <a:ext cx="552534" cy="342952"/>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524</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16</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11</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41</w:t>
            </w:r>
          </w:p>
        </w:tc>
        <w:tc>
          <w:tcPr>
            <w:tcW w:w="121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67</w:t>
            </w: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Vodozemci </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547C5D78">
                  <wp:extent cx="457200" cy="412750"/>
                  <wp:effectExtent l="0" t="0" r="0" b="6350"/>
                  <wp:docPr id="179557346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457469" cy="412993"/>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15</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16</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w:t>
            </w:r>
          </w:p>
        </w:tc>
        <w:tc>
          <w:tcPr>
            <w:tcW w:w="1212" w:type="dxa"/>
            <w:vAlign w:val="center"/>
          </w:tcPr>
          <w:p w:rsidR="00D14804" w:rsidRDefault="00D14804">
            <w:pPr>
              <w:pBdr>
                <w:top w:val="nil"/>
                <w:left w:val="nil"/>
                <w:bottom w:val="nil"/>
                <w:right w:val="nil"/>
                <w:between w:val="nil"/>
              </w:pBdr>
              <w:spacing w:after="200"/>
              <w:jc w:val="center"/>
              <w:rPr>
                <w:rFonts w:ascii="Arial" w:eastAsia="Arial" w:hAnsi="Arial" w:cs="Arial"/>
                <w:b/>
                <w:bCs/>
                <w:color w:val="000000"/>
                <w:sz w:val="18"/>
                <w:szCs w:val="18"/>
              </w:rPr>
            </w:pPr>
          </w:p>
        </w:tc>
      </w:tr>
      <w:tr w:rsidR="00D14804">
        <w:trPr>
          <w:trHeight w:val="1333"/>
        </w:trPr>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Gmizavci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383F845B">
                  <wp:extent cx="584200" cy="349250"/>
                  <wp:effectExtent l="0" t="0" r="6350" b="0"/>
                  <wp:docPr id="179557346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584297" cy="349308"/>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37</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38</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25</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21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20</w:t>
            </w:r>
          </w:p>
        </w:tc>
      </w:tr>
      <w:tr w:rsidR="00D14804" w:rsidTr="008722E0">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Ptice</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7D4CDF97">
                  <wp:extent cx="406400" cy="431800"/>
                  <wp:effectExtent l="0" t="0" r="0" b="6350"/>
                  <wp:docPr id="17955734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406856" cy="432284"/>
                          </a:xfrm>
                          <a:prstGeom prst="rect">
                            <a:avLst/>
                          </a:prstGeom>
                          <a:ln/>
                        </pic:spPr>
                      </pic:pic>
                    </a:graphicData>
                  </a:graphic>
                </wp:inline>
              </w:drawing>
            </w:r>
          </w:p>
        </w:tc>
        <w:tc>
          <w:tcPr>
            <w:tcW w:w="1221" w:type="dxa"/>
            <w:vAlign w:val="center"/>
          </w:tcPr>
          <w:p w:rsidR="00D14804" w:rsidRDefault="00E47E1B" w:rsidP="008722E0">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355</w:t>
            </w:r>
          </w:p>
        </w:tc>
        <w:tc>
          <w:tcPr>
            <w:tcW w:w="1433" w:type="dxa"/>
            <w:vAlign w:val="center"/>
          </w:tcPr>
          <w:p w:rsidR="00D14804" w:rsidRDefault="00D14804" w:rsidP="008722E0">
            <w:pPr>
              <w:pBdr>
                <w:top w:val="nil"/>
                <w:left w:val="nil"/>
                <w:bottom w:val="nil"/>
                <w:right w:val="nil"/>
                <w:between w:val="nil"/>
              </w:pBdr>
              <w:spacing w:after="200"/>
              <w:jc w:val="center"/>
              <w:rPr>
                <w:rFonts w:ascii="Arial" w:eastAsia="Arial" w:hAnsi="Arial" w:cs="Arial"/>
                <w:b/>
                <w:bCs/>
                <w:color w:val="000000"/>
                <w:sz w:val="18"/>
                <w:szCs w:val="18"/>
              </w:rPr>
            </w:pPr>
          </w:p>
        </w:tc>
        <w:tc>
          <w:tcPr>
            <w:tcW w:w="1326" w:type="dxa"/>
            <w:vAlign w:val="center"/>
          </w:tcPr>
          <w:p w:rsidR="00D14804" w:rsidRDefault="00E47E1B" w:rsidP="008722E0">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279</w:t>
            </w:r>
          </w:p>
        </w:tc>
        <w:tc>
          <w:tcPr>
            <w:tcW w:w="1327" w:type="dxa"/>
            <w:vAlign w:val="center"/>
          </w:tcPr>
          <w:p w:rsidR="00D14804" w:rsidRDefault="00E47E1B" w:rsidP="008722E0">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61</w:t>
            </w:r>
          </w:p>
        </w:tc>
        <w:tc>
          <w:tcPr>
            <w:tcW w:w="1442" w:type="dxa"/>
            <w:vAlign w:val="center"/>
          </w:tcPr>
          <w:p w:rsidR="00D14804" w:rsidRDefault="00D14804" w:rsidP="008722E0">
            <w:pPr>
              <w:pBdr>
                <w:top w:val="nil"/>
                <w:left w:val="nil"/>
                <w:bottom w:val="nil"/>
                <w:right w:val="nil"/>
                <w:between w:val="nil"/>
              </w:pBdr>
              <w:spacing w:after="200"/>
              <w:jc w:val="center"/>
              <w:rPr>
                <w:rFonts w:ascii="Arial" w:eastAsia="Arial" w:hAnsi="Arial" w:cs="Arial"/>
                <w:b/>
                <w:bCs/>
                <w:color w:val="000000"/>
                <w:sz w:val="18"/>
                <w:szCs w:val="18"/>
              </w:rPr>
            </w:pPr>
          </w:p>
        </w:tc>
        <w:tc>
          <w:tcPr>
            <w:tcW w:w="1212" w:type="dxa"/>
            <w:vAlign w:val="center"/>
          </w:tcPr>
          <w:p w:rsidR="00D14804" w:rsidRDefault="00E47E1B" w:rsidP="008722E0">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69</w:t>
            </w:r>
          </w:p>
        </w:tc>
      </w:tr>
      <w:tr w:rsidR="00D14804">
        <w:tc>
          <w:tcPr>
            <w:tcW w:w="1326" w:type="dxa"/>
          </w:tcPr>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Sisari</w:t>
            </w:r>
          </w:p>
          <w:p w:rsidR="00D14804" w:rsidRDefault="00E47E1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noProof/>
                <w:color w:val="000000"/>
                <w:sz w:val="18"/>
                <w:szCs w:val="18"/>
              </w:rPr>
              <w:drawing>
                <wp:inline distT="0" distB="0" distL="0" distR="0" wp14:editId="24110FEA">
                  <wp:extent cx="419100" cy="438150"/>
                  <wp:effectExtent l="0" t="0" r="0" b="0"/>
                  <wp:docPr id="179557344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419508" cy="438577"/>
                          </a:xfrm>
                          <a:prstGeom prst="rect">
                            <a:avLst/>
                          </a:prstGeom>
                          <a:ln/>
                        </pic:spPr>
                      </pic:pic>
                    </a:graphicData>
                  </a:graphic>
                </wp:inline>
              </w:drawing>
            </w:r>
          </w:p>
        </w:tc>
        <w:tc>
          <w:tcPr>
            <w:tcW w:w="1221"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95</w:t>
            </w:r>
          </w:p>
        </w:tc>
        <w:tc>
          <w:tcPr>
            <w:tcW w:w="1433"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326"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38</w:t>
            </w:r>
          </w:p>
        </w:tc>
        <w:tc>
          <w:tcPr>
            <w:tcW w:w="1327"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25</w:t>
            </w:r>
          </w:p>
        </w:tc>
        <w:tc>
          <w:tcPr>
            <w:tcW w:w="144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4</w:t>
            </w:r>
          </w:p>
        </w:tc>
        <w:tc>
          <w:tcPr>
            <w:tcW w:w="1212" w:type="dxa"/>
            <w:vAlign w:val="center"/>
          </w:tcPr>
          <w:p w:rsidR="00D14804" w:rsidRDefault="00E47E1B">
            <w:pPr>
              <w:pBdr>
                <w:top w:val="nil"/>
                <w:left w:val="nil"/>
                <w:bottom w:val="nil"/>
                <w:right w:val="nil"/>
                <w:between w:val="nil"/>
              </w:pBdr>
              <w:spacing w:after="200"/>
              <w:jc w:val="center"/>
              <w:rPr>
                <w:rFonts w:ascii="Arial" w:eastAsia="Arial" w:hAnsi="Arial" w:cs="Arial"/>
                <w:b/>
                <w:bCs/>
                <w:color w:val="000000"/>
                <w:sz w:val="18"/>
                <w:szCs w:val="18"/>
              </w:rPr>
            </w:pPr>
            <w:r>
              <w:rPr>
                <w:rFonts w:ascii="Arial" w:eastAsia="Arial" w:hAnsi="Arial" w:cs="Arial"/>
                <w:b/>
                <w:bCs/>
                <w:color w:val="000000"/>
                <w:sz w:val="18"/>
                <w:szCs w:val="18"/>
              </w:rPr>
              <w:t>20</w:t>
            </w:r>
          </w:p>
        </w:tc>
      </w:tr>
    </w:tbl>
    <w:p w:rsidR="00D14804" w:rsidRPr="003102B4" w:rsidRDefault="00DF1628">
      <w:p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b/>
          <w:bCs/>
          <w:color w:val="000000"/>
          <w:sz w:val="20"/>
          <w:szCs w:val="20"/>
        </w:rPr>
        <w:t>Grafika</w:t>
      </w:r>
      <w:r w:rsidR="00E47E1B" w:rsidRPr="003102B4">
        <w:rPr>
          <w:rFonts w:ascii="Arial" w:eastAsia="Arial" w:hAnsi="Arial" w:cs="Arial"/>
          <w:b/>
          <w:bCs/>
          <w:color w:val="000000"/>
          <w:sz w:val="20"/>
          <w:szCs w:val="20"/>
        </w:rPr>
        <w:t xml:space="preserve"> 03</w:t>
      </w:r>
      <w:r w:rsidR="00E47E1B" w:rsidRPr="003102B4">
        <w:rPr>
          <w:rFonts w:ascii="Arial" w:eastAsia="Arial" w:hAnsi="Arial" w:cs="Arial"/>
          <w:color w:val="000000"/>
          <w:sz w:val="20"/>
          <w:szCs w:val="20"/>
        </w:rPr>
        <w:t xml:space="preserve"> – Diverzitet faune u Crnoj Gori. </w:t>
      </w:r>
    </w:p>
    <w:p w:rsidR="00D14804" w:rsidRDefault="00D14804">
      <w:pPr>
        <w:pBdr>
          <w:top w:val="nil"/>
          <w:left w:val="nil"/>
          <w:bottom w:val="nil"/>
          <w:right w:val="nil"/>
          <w:between w:val="nil"/>
        </w:pBdr>
        <w:spacing w:line="240" w:lineRule="auto"/>
        <w:jc w:val="both"/>
        <w:rPr>
          <w:rFonts w:ascii="Arial" w:eastAsia="Arial" w:hAnsi="Arial" w:cs="Arial"/>
          <w:color w:val="000000"/>
        </w:rPr>
      </w:pP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Značajan dio specijskog diverziteta još uvijek nije u potpunosti istražen, naročito u grupama poput gljiva, beskičmenjaka i mikroorganizama, što ukazuje na potrebu za daljim sistematskim istraživanjima. Istovremeno, visok stepen zakonske zaštite pojedinih vrsta i njihovo prisustvo u međunarodnim mehanizmima zaštite naglašavaju važnost uspostavljanja efikasnih mjera očuvanja i upravljanja.</w:t>
      </w:r>
    </w:p>
    <w:p w:rsidR="00D14804" w:rsidRDefault="00D14804">
      <w:pPr>
        <w:pBdr>
          <w:top w:val="nil"/>
          <w:left w:val="nil"/>
          <w:bottom w:val="nil"/>
          <w:right w:val="nil"/>
          <w:between w:val="nil"/>
        </w:pBdr>
        <w:spacing w:after="0"/>
        <w:ind w:left="720"/>
        <w:rPr>
          <w:rFonts w:ascii="Arial" w:eastAsia="Arial" w:hAnsi="Arial" w:cs="Arial"/>
          <w:color w:val="000000"/>
        </w:rPr>
      </w:pPr>
    </w:p>
    <w:p w:rsidR="00D14804" w:rsidRDefault="00E47E1B">
      <w:pPr>
        <w:pStyle w:val="Heading4"/>
        <w:rPr>
          <w:rFonts w:ascii="Arial" w:eastAsia="Arial" w:hAnsi="Arial" w:cs="Arial"/>
          <w:color w:val="000000"/>
        </w:rPr>
      </w:pPr>
      <w:r>
        <w:rPr>
          <w:rFonts w:ascii="Arial" w:eastAsia="Arial" w:hAnsi="Arial" w:cs="Arial"/>
          <w:color w:val="000000"/>
        </w:rPr>
        <w:t>Diverzitet ekosistema</w:t>
      </w:r>
    </w:p>
    <w:p w:rsidR="00D14804" w:rsidRDefault="00E47E1B">
      <w:pPr>
        <w:spacing w:before="240" w:after="240" w:line="240" w:lineRule="auto"/>
        <w:jc w:val="both"/>
        <w:rPr>
          <w:rFonts w:ascii="Arial" w:eastAsia="Arial" w:hAnsi="Arial" w:cs="Arial"/>
        </w:rPr>
      </w:pPr>
      <w:r>
        <w:rPr>
          <w:rFonts w:ascii="Arial" w:eastAsia="Arial" w:hAnsi="Arial" w:cs="Arial"/>
        </w:rPr>
        <w:t>Prema Globalnoj tipologiju za podjelu ekosistema na Zemlji (https://global-ecosystems.org/), u Crnoj Gori su prisutne 4 osnovne i 5 prelaznih oblasti. Osnovne oblasti su: terestrična, marinska, slatkovodna i podzemna. U okviru prve oblasti u Crnoj Gori se javlja 5 bioma, marinska i slatkovodna su zastupljene sa po 3, dok podzemna ima 2. Prelazne oblasti ekosistema prisutne u Crnoj Gori su: marinsko-terestrični (3 bioma), marinsko-slatkovodni-terestrični (1 biom), podzemno-slatkovodni (2 bioma), podzemno-marinski (1 biom), terestrično-slatkovodni (1 biom). Svaki biom obuhvata više funkcionalnih grupa/ek</w:t>
      </w:r>
      <w:r w:rsidR="00FF696D">
        <w:rPr>
          <w:rFonts w:ascii="Arial" w:eastAsia="Arial" w:hAnsi="Arial" w:cs="Arial"/>
        </w:rPr>
        <w:t>osistema.</w:t>
      </w:r>
    </w:p>
    <w:p w:rsidR="00D14804" w:rsidRDefault="00D14804">
      <w:pPr>
        <w:spacing w:after="0" w:line="240" w:lineRule="auto"/>
        <w:rPr>
          <w:rFonts w:ascii="Arial" w:eastAsia="Arial" w:hAnsi="Arial" w:cs="Arial"/>
          <w:b/>
          <w:bCs/>
          <w:sz w:val="24"/>
          <w:szCs w:val="24"/>
        </w:rPr>
      </w:pPr>
    </w:p>
    <w:p w:rsidR="00D14804" w:rsidRDefault="00B176AC">
      <w:pPr>
        <w:pStyle w:val="Heading3"/>
        <w:rPr>
          <w:rFonts w:ascii="Arial" w:eastAsia="Arial" w:hAnsi="Arial" w:cs="Arial"/>
          <w:sz w:val="26"/>
          <w:szCs w:val="26"/>
        </w:rPr>
      </w:pPr>
      <w:bookmarkStart w:id="20" w:name="_Toc222754369"/>
      <w:r>
        <w:rPr>
          <w:rFonts w:ascii="Arial" w:eastAsia="Arial" w:hAnsi="Arial" w:cs="Arial"/>
          <w:sz w:val="26"/>
          <w:szCs w:val="26"/>
        </w:rPr>
        <w:t xml:space="preserve">2.2.3 </w:t>
      </w:r>
      <w:r w:rsidR="00E47E1B">
        <w:rPr>
          <w:rFonts w:ascii="Arial" w:eastAsia="Arial" w:hAnsi="Arial" w:cs="Arial"/>
          <w:sz w:val="26"/>
          <w:szCs w:val="26"/>
        </w:rPr>
        <w:t>Pregled zaštite i očuvanja i efektivnosti upravljanja biodiverzitetom Crne Gore</w:t>
      </w:r>
      <w:bookmarkEnd w:id="20"/>
    </w:p>
    <w:p w:rsidR="00D14804" w:rsidRDefault="00E47E1B">
      <w:pPr>
        <w:pStyle w:val="Heading4"/>
        <w:rPr>
          <w:rFonts w:ascii="Arial" w:eastAsia="Arial" w:hAnsi="Arial" w:cs="Arial"/>
          <w:color w:val="000000"/>
        </w:rPr>
      </w:pPr>
      <w:r>
        <w:rPr>
          <w:rFonts w:ascii="Arial" w:eastAsia="Arial" w:hAnsi="Arial" w:cs="Arial"/>
          <w:color w:val="000000"/>
        </w:rPr>
        <w:t xml:space="preserve">Okvir politika očuvanja biodiverziteta </w:t>
      </w:r>
      <w:r>
        <w:rPr>
          <w:rFonts w:ascii="Arial" w:eastAsia="Arial" w:hAnsi="Arial" w:cs="Arial"/>
          <w:color w:val="000000"/>
          <w:sz w:val="21"/>
          <w:szCs w:val="21"/>
        </w:rPr>
        <w:t> </w:t>
      </w:r>
    </w:p>
    <w:p w:rsidR="00D14804" w:rsidRDefault="00E47E1B">
      <w:pPr>
        <w:spacing w:before="280" w:after="280" w:line="240" w:lineRule="auto"/>
        <w:jc w:val="both"/>
        <w:rPr>
          <w:rFonts w:ascii="Arial" w:eastAsia="Arial" w:hAnsi="Arial" w:cs="Arial"/>
        </w:rPr>
      </w:pPr>
      <w:r>
        <w:rPr>
          <w:rFonts w:ascii="Arial" w:eastAsia="Arial" w:hAnsi="Arial" w:cs="Arial"/>
        </w:rPr>
        <w:t xml:space="preserve">Zaštita biodiverziteta u Crnoj Gori uređena je razvijenim pravnim, strateškim i institucionalnim okvirom koji obuhvata nacionalno zakonodavstvo, međunarodne konvencije i obaveze u procesu pristupanja Evropskoj uniji. Nacionalna politika zaštite prirode zasniva se prvenstveno na Zakonu o zaštiti prirode, kao i podzakonskim aktima kojima se utvrđuje zaštita pojedinih biljnih i životinjskih vrsta. Važan instrument za praćenje stanja biodiverziteta predstavljaju i nacionalne </w:t>
      </w:r>
      <w:r w:rsidRPr="00DF1628">
        <w:rPr>
          <w:rFonts w:ascii="Arial" w:eastAsia="Arial" w:hAnsi="Arial" w:cs="Arial"/>
        </w:rPr>
        <w:t>IUCN</w:t>
      </w:r>
      <w:r>
        <w:rPr>
          <w:rFonts w:ascii="Arial" w:eastAsia="Arial" w:hAnsi="Arial" w:cs="Arial"/>
        </w:rPr>
        <w:t xml:space="preserve"> Crvene liste, koje su izrađene za pojedine grupe faune (vodozemce i gmizavce, ptice i dnevne leptire), dok su za druge taksonomske grupe u fazi izrade.</w:t>
      </w:r>
    </w:p>
    <w:p w:rsidR="00D14804" w:rsidRDefault="00E47E1B">
      <w:pPr>
        <w:spacing w:before="280" w:after="280" w:line="240" w:lineRule="auto"/>
        <w:jc w:val="both"/>
        <w:rPr>
          <w:rFonts w:ascii="Arial" w:eastAsia="Arial" w:hAnsi="Arial" w:cs="Arial"/>
        </w:rPr>
      </w:pPr>
      <w:r>
        <w:rPr>
          <w:rFonts w:ascii="Arial" w:eastAsia="Arial" w:hAnsi="Arial" w:cs="Arial"/>
        </w:rPr>
        <w:t>Politika očuvanja biodiverziteta povezana je i sa sektorskim zakonodavstvom, naročito kroz propise koji uređuju lovstvo, morsko i slatkovodno ribarstvo i marikulturu, čime se uspostavlja okvir za održivo upravljanje vrstama, njihovim staništima i korišćenjem prirodnih resursa.</w:t>
      </w:r>
    </w:p>
    <w:p w:rsidR="00D14804" w:rsidRDefault="00E47E1B">
      <w:pPr>
        <w:spacing w:before="280" w:after="280" w:line="240" w:lineRule="auto"/>
        <w:jc w:val="both"/>
        <w:rPr>
          <w:rFonts w:ascii="Arial" w:eastAsia="Arial" w:hAnsi="Arial" w:cs="Arial"/>
        </w:rPr>
      </w:pPr>
      <w:r>
        <w:rPr>
          <w:rFonts w:ascii="Arial" w:eastAsia="Arial" w:hAnsi="Arial" w:cs="Arial"/>
        </w:rPr>
        <w:t>Crna Gora je potpisnica brojnih međunarodnih i regionalnih sporazuma koji čine temelj globalnog i evropskog sistema zaštite biodiverziteta, uključujući Bernsku, Ramsarsku i Bonsku konvenciju, CITES i mehanizme IUCN Crvenih lista. Ovi instrumenti omogućavaju usklađivanje nacionalnih politika sa međunarodnim standardima i doprinose zaštiti ugroženih i migratornih vrsta, vlažnih staništa i ekosistema od međunarodnog značaja.</w:t>
      </w:r>
    </w:p>
    <w:p w:rsidR="00D14804" w:rsidRDefault="00E47E1B">
      <w:pPr>
        <w:spacing w:before="280" w:after="280" w:line="240" w:lineRule="auto"/>
        <w:jc w:val="both"/>
        <w:rPr>
          <w:rFonts w:ascii="Arial" w:eastAsia="Arial" w:hAnsi="Arial" w:cs="Arial"/>
        </w:rPr>
      </w:pPr>
      <w:r>
        <w:rPr>
          <w:rFonts w:ascii="Arial" w:eastAsia="Arial" w:hAnsi="Arial" w:cs="Arial"/>
        </w:rPr>
        <w:t>U okviru procesa pristupanja Evropskoj uniji, sprovodi se harmonizacija sa pravnom tekovinom EU, prije svega sa Direktivom o staništima i Direktivom o pticama, koje predstavljaju osnov za uspostavljanje ekološke mreže Natura 2000. Dodatni doprinos zaštiti biodiverziteta ostvaruje se kroz druge relevantne direktive EU, uključujući Okvirnu direktivu o vodama, Okvirnu direktivu o morskoj strategiji i Direktivu o ekološkoj odgovornosti.</w:t>
      </w:r>
    </w:p>
    <w:p w:rsidR="00D14804" w:rsidRDefault="00E47E1B">
      <w:pPr>
        <w:spacing w:before="280" w:after="280" w:line="240" w:lineRule="auto"/>
        <w:jc w:val="both"/>
        <w:rPr>
          <w:rFonts w:ascii="Arial" w:eastAsia="Arial" w:hAnsi="Arial" w:cs="Arial"/>
        </w:rPr>
      </w:pPr>
      <w:r>
        <w:rPr>
          <w:rFonts w:ascii="Arial" w:eastAsia="Arial" w:hAnsi="Arial" w:cs="Arial"/>
        </w:rPr>
        <w:t>Na regionalnom nivou, Crna Gora učestvuje u specijalizovanim sporazumima i inicijativama usmjerenim na očuvanje migratornih vrsta i morskih i obalnih ekosistema, poput AEWA, EUROBATS, MoU Raptors, SPA/BD protokola Barselonske konvencije i Uredbe o evropskoj jegulji.</w:t>
      </w:r>
    </w:p>
    <w:p w:rsidR="00D14804" w:rsidRDefault="00E47E1B">
      <w:pPr>
        <w:spacing w:before="280" w:after="280" w:line="240" w:lineRule="auto"/>
        <w:jc w:val="both"/>
        <w:rPr>
          <w:rFonts w:ascii="Arial" w:eastAsia="Arial" w:hAnsi="Arial" w:cs="Arial"/>
        </w:rPr>
      </w:pPr>
      <w:r>
        <w:rPr>
          <w:rFonts w:ascii="Arial" w:eastAsia="Arial" w:hAnsi="Arial" w:cs="Arial"/>
        </w:rPr>
        <w:lastRenderedPageBreak/>
        <w:t>Pored zakonodavnog okvira, očuvanje biodiverziteta sprovodi se i kroz strateške i planske dokumente, među kojima centralno mjesto zauzima Nacionalna strategija biodiverziteta i akcioni plan (NSBAP), uz planove upravljanja zaštićenim područjima, lokalne ekološke akcione planove i tematske nacionalne programe, poput akcionog plana za suzbijanje ilegalnog ubijanja, uzimanja i trgovine pticama selicama.</w:t>
      </w:r>
    </w:p>
    <w:p w:rsidR="00D14804" w:rsidRDefault="00E47E1B">
      <w:pPr>
        <w:pStyle w:val="Heading4"/>
        <w:rPr>
          <w:rFonts w:ascii="Arial" w:eastAsia="Arial" w:hAnsi="Arial" w:cs="Arial"/>
          <w:color w:val="000000"/>
        </w:rPr>
      </w:pPr>
      <w:r>
        <w:rPr>
          <w:rFonts w:ascii="Arial" w:eastAsia="Arial" w:hAnsi="Arial" w:cs="Arial"/>
          <w:color w:val="000000"/>
        </w:rPr>
        <w:t>Zaštita i očuvanje genetskih resursa</w:t>
      </w:r>
    </w:p>
    <w:p w:rsidR="00D14804" w:rsidRDefault="00D14804"/>
    <w:p w:rsidR="00D14804" w:rsidRDefault="00E47E1B">
      <w:pPr>
        <w:spacing w:after="240" w:line="240" w:lineRule="auto"/>
        <w:jc w:val="both"/>
        <w:rPr>
          <w:rFonts w:ascii="Arial" w:eastAsia="Arial" w:hAnsi="Arial" w:cs="Arial"/>
        </w:rPr>
      </w:pPr>
      <w:r>
        <w:rPr>
          <w:rFonts w:ascii="Arial" w:eastAsia="Arial" w:hAnsi="Arial" w:cs="Arial"/>
        </w:rPr>
        <w:t>Očuvanje genetičkih resursa ima poseban značaj ne samo za očuvanje ukupnog biodiverziteta, već i za dugoročnu održivost poljoprivrede i otpornost ekosistema, posebno šuma. Posebno je važno očuvanje genetičkog diverziteta nativne flore i faune, sa naglaskom na stenoendemične biljne i životinjske vrste čiji je cjelokupan svjetski genofond vezan za teritoriju Crne Gore. </w:t>
      </w:r>
    </w:p>
    <w:p w:rsidR="00D14804" w:rsidRDefault="00E47E1B">
      <w:pPr>
        <w:spacing w:after="240" w:line="240" w:lineRule="auto"/>
        <w:jc w:val="both"/>
        <w:rPr>
          <w:rFonts w:ascii="Arial" w:eastAsia="Arial" w:hAnsi="Arial" w:cs="Arial"/>
        </w:rPr>
      </w:pPr>
      <w:r>
        <w:rPr>
          <w:rFonts w:ascii="Arial" w:eastAsia="Arial" w:hAnsi="Arial" w:cs="Arial"/>
        </w:rPr>
        <w:t>Postojeće aktivnosti i istraživanja su ograničenog obima i uglavnom fragmentisana. U Crnoj Gori imamo primjere očuva</w:t>
      </w:r>
      <w:r w:rsidR="00387C89">
        <w:rPr>
          <w:rFonts w:ascii="Arial" w:eastAsia="Arial" w:hAnsi="Arial" w:cs="Arial"/>
        </w:rPr>
        <w:t>nju genetskog diverziteta kroz </w:t>
      </w:r>
      <w:r>
        <w:rPr>
          <w:rFonts w:ascii="Arial" w:eastAsia="Arial" w:hAnsi="Arial" w:cs="Arial"/>
          <w:i/>
          <w:iCs/>
        </w:rPr>
        <w:t>in situ</w:t>
      </w:r>
      <w:r>
        <w:rPr>
          <w:rFonts w:ascii="Arial" w:eastAsia="Arial" w:hAnsi="Arial" w:cs="Arial"/>
        </w:rPr>
        <w:t xml:space="preserve"> mjere putem zaštite prirodnih populacija i njihovih staništa, kao i </w:t>
      </w:r>
      <w:r>
        <w:rPr>
          <w:rFonts w:ascii="Arial" w:eastAsia="Arial" w:hAnsi="Arial" w:cs="Arial"/>
          <w:i/>
          <w:iCs/>
        </w:rPr>
        <w:t>ex situ</w:t>
      </w:r>
      <w:r>
        <w:rPr>
          <w:rFonts w:ascii="Arial" w:eastAsia="Arial" w:hAnsi="Arial" w:cs="Arial"/>
        </w:rPr>
        <w:t xml:space="preserve"> mjere, kroz banke biljnih genetičkih resursa.</w:t>
      </w:r>
    </w:p>
    <w:p w:rsidR="00D14804" w:rsidRDefault="00E47E1B">
      <w:pPr>
        <w:spacing w:after="240" w:line="240" w:lineRule="auto"/>
        <w:jc w:val="both"/>
        <w:rPr>
          <w:rFonts w:ascii="Arial" w:eastAsia="Arial" w:hAnsi="Arial" w:cs="Arial"/>
        </w:rPr>
      </w:pPr>
      <w:r>
        <w:rPr>
          <w:rFonts w:ascii="Arial" w:eastAsia="Arial" w:hAnsi="Arial" w:cs="Arial"/>
        </w:rPr>
        <w:t>Inicijative za očuvanje genofonda biljnog biodiverziteta u Crnoj Gori obuhvataju mjere zaštite kako prirodnih, tako i kultivisanih elemenata genetičke raznolikosti. Od posebnog značaja za očuvanje genetičkog fitodiverziteta je zaštita starih i prirodnih šuma, koje predstavljaju rezervoare autohtonih i lokalno prilagođenih genetičkih resursa, kao i pojedinačni spomenici prirode. U tom kontekstu izdvajaju se 14 monumentalnih stabala koja imaju izuzetnu biološku, genetičku i kulturnu vrijednost. Dodatno, važnu ulogu u očuvanju i prezentaciji biljnog genofonda imaju specijalizovane botaničke kolekcije, među kojima se ističu Botanička bašta planinske flore u Dulovini kod Kolašina, Botanička bašta planinske flore u Brezojevicama u blizini Plava, kao i Arboretum generala Voja Kovačevića u Grahovu.</w:t>
      </w:r>
    </w:p>
    <w:p w:rsidR="00D14804" w:rsidRDefault="00E47E1B">
      <w:pPr>
        <w:spacing w:before="240" w:after="240" w:line="240" w:lineRule="auto"/>
        <w:jc w:val="both"/>
        <w:rPr>
          <w:rFonts w:ascii="Arial" w:eastAsia="Arial" w:hAnsi="Arial" w:cs="Arial"/>
        </w:rPr>
      </w:pPr>
      <w:r>
        <w:rPr>
          <w:rFonts w:ascii="Arial" w:eastAsia="Arial" w:hAnsi="Arial" w:cs="Arial"/>
        </w:rPr>
        <w:t>U sektoru šumarstva, očuvanje genofonda šumskih vrsta tradicionalno se zasniva na principima in situ zaštite, pri čemu je jedan od najznačajnijih metoda izdvajanje i namjensko korišćenje sjemenskih sastojina. U tom pogledu, u Crnoj Gori je registrovano 16 sjemenskih objekata najvažnijih šumskih vrsta, dok su još dva objekta u postupku registracije, što predstavlja važan osnov za dugoročno očuvanje i održivo korišćenje genetičkih resursa u šumarstvu.</w:t>
      </w:r>
    </w:p>
    <w:p w:rsidR="00D14804" w:rsidRDefault="00E47E1B">
      <w:pPr>
        <w:spacing w:after="240" w:line="240" w:lineRule="auto"/>
        <w:jc w:val="both"/>
        <w:rPr>
          <w:rFonts w:ascii="Arial" w:eastAsia="Arial" w:hAnsi="Arial" w:cs="Arial"/>
        </w:rPr>
      </w:pPr>
      <w:r>
        <w:rPr>
          <w:rFonts w:ascii="Arial" w:eastAsia="Arial" w:hAnsi="Arial" w:cs="Arial"/>
        </w:rPr>
        <w:t>Na Biotehničkom institutu je 2004. godine osnovana Banka biljnih gena. Banka gena danas obuhvata više kolekcija koje uključuju žita i kukuruz, povrće, voće, industrijske i krmne biljke, kao i ljekovito i aromatično bilje. Posebno se izdvaja kolekcija vinove loze, koja sa oko 410 uzoraka predstavlja jednu od najbogatijih kolekcija domaćih, odomaćenih i introdukovanih sorti vinove loze na Balkanu. Većina ovih uzoraka prikupljena je u okviru regionalne inicijative SEEDNET u periodu 2004–2011. godine.</w:t>
      </w:r>
    </w:p>
    <w:p w:rsidR="00D14804" w:rsidRDefault="00E47E1B">
      <w:pPr>
        <w:spacing w:after="240" w:line="240" w:lineRule="auto"/>
        <w:jc w:val="both"/>
        <w:rPr>
          <w:rFonts w:ascii="Arial" w:eastAsia="Arial" w:hAnsi="Arial" w:cs="Arial"/>
        </w:rPr>
      </w:pPr>
      <w:r>
        <w:rPr>
          <w:rFonts w:ascii="Arial" w:eastAsia="Arial" w:hAnsi="Arial" w:cs="Arial"/>
        </w:rPr>
        <w:t>Od 2024. do 2027. godine realizuje se i projekat „Biljni geni, vrste i zajednice“, finansiran od strane Ministarstva nauke Crne Gore, koji ima za cilj dalje jačanje kapaciteta Banke gena kroz prikupljanje, regeneraciju i očuvanje genetičkog materijala. U okviru projekta do sada su prikupljeni novi i obnovljeni postojeći uzorci starih sorti poljoprivrednih biljaka iz različitih djelova zemlje, sprovedena je regeneracija populacija pšenice i lokalnih sorti krompira, izvršena inventarizacija divljih srodnika gajenih biljaka, kao i prikupljanje sjemena rijetkih i ugroženih biljnih vrsta od konzervacijskog značaja. Iako Banka gena raspolaže savremenom opremom, dalji razvoj zahtijeva dodatno jačanje prostornih, kadrovskih i tehničkih kapaciteta.</w:t>
      </w:r>
    </w:p>
    <w:p w:rsidR="00D14804" w:rsidRDefault="00E47E1B">
      <w:pPr>
        <w:spacing w:after="240" w:line="240" w:lineRule="auto"/>
        <w:jc w:val="both"/>
        <w:rPr>
          <w:rFonts w:ascii="Arial" w:eastAsia="Arial" w:hAnsi="Arial" w:cs="Arial"/>
        </w:rPr>
      </w:pPr>
      <w:r>
        <w:rPr>
          <w:rFonts w:ascii="Arial" w:eastAsia="Arial" w:hAnsi="Arial" w:cs="Arial"/>
        </w:rPr>
        <w:t xml:space="preserve">Paralelno sa ovim aktivnostima, postoji inicijativa da se u okviru Crnogorske akademije nauka i umjetnosti uspostavi banka sjemena divlje flore, sa posebnim fokusom na endemične i lokalno endemične vrste. Ova inicijativa ima poseban značaj, s obzirom na to da su prioriteti </w:t>
      </w:r>
      <w:r>
        <w:rPr>
          <w:rFonts w:ascii="Arial" w:eastAsia="Arial" w:hAnsi="Arial" w:cs="Arial"/>
        </w:rPr>
        <w:lastRenderedPageBreak/>
        <w:t>Banke gena Biotehničkog instituta prvenstveno usmjereni na poljoprivredne kulture i njihove divlje srodnike, dok bi banka sjemena divlje flore dopunila postojeći sistem očuvanja genetičkih resursa.</w:t>
      </w:r>
    </w:p>
    <w:p w:rsidR="00D14804" w:rsidRDefault="00E47E1B">
      <w:pPr>
        <w:spacing w:after="240" w:line="240" w:lineRule="auto"/>
        <w:jc w:val="both"/>
        <w:rPr>
          <w:rFonts w:ascii="Arial" w:eastAsia="Arial" w:hAnsi="Arial" w:cs="Arial"/>
        </w:rPr>
      </w:pPr>
      <w:r>
        <w:rPr>
          <w:rFonts w:ascii="Arial" w:eastAsia="Arial" w:hAnsi="Arial" w:cs="Arial"/>
        </w:rPr>
        <w:t>U domenu animalnog genetičkog diverziteta, Ministarstvo poljoprivrede, šumarstva i vodoprivrede sprovodi programe podrške očuvanju autohtonih genetičkih resursa, koji već pokazuju pozitivne rezultate kroz povećanje brojnosti pojedinih rasa, poput goveda buše, i ovaca iz grupe pramenki.</w:t>
      </w:r>
    </w:p>
    <w:p w:rsidR="00D14804" w:rsidRDefault="00E47E1B">
      <w:pPr>
        <w:pStyle w:val="Heading4"/>
        <w:rPr>
          <w:rFonts w:ascii="Arial" w:eastAsia="Arial" w:hAnsi="Arial" w:cs="Arial"/>
          <w:color w:val="000000"/>
        </w:rPr>
      </w:pPr>
      <w:r>
        <w:rPr>
          <w:rFonts w:ascii="Arial" w:eastAsia="Arial" w:hAnsi="Arial" w:cs="Arial"/>
          <w:color w:val="000000"/>
        </w:rPr>
        <w:t xml:space="preserve">Zaštita i očuvanje vrsta </w:t>
      </w:r>
    </w:p>
    <w:p w:rsidR="00387C89" w:rsidRPr="00387C89" w:rsidRDefault="00387C89" w:rsidP="00387C89"/>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U Crnoj Gori je zakonom zaštićeno </w:t>
      </w:r>
      <w:r w:rsidRPr="00387C89">
        <w:rPr>
          <w:rFonts w:ascii="Arial" w:eastAsia="Arial" w:hAnsi="Arial" w:cs="Arial"/>
          <w:bCs/>
          <w:color w:val="000000"/>
        </w:rPr>
        <w:t>300 vrsta biljaka</w:t>
      </w:r>
      <w:r w:rsidRPr="00387C89">
        <w:rPr>
          <w:rFonts w:ascii="Arial" w:eastAsia="Arial" w:hAnsi="Arial" w:cs="Arial"/>
          <w:color w:val="000000"/>
        </w:rPr>
        <w:t xml:space="preserve"> (vaskularne biljke, mahovine i paprati). Neke od ovih vrsta imaju široku distribuciju i brojne, stabilne populacije, ali su zaštićene zbog toga što se nalaze na listi </w:t>
      </w:r>
      <w:r w:rsidRPr="00387C89">
        <w:rPr>
          <w:rFonts w:ascii="Arial" w:eastAsia="Arial" w:hAnsi="Arial" w:cs="Arial"/>
          <w:bCs/>
          <w:color w:val="000000"/>
        </w:rPr>
        <w:t>CITES Konvencije o međunarodnoj trgovini ugroženim vrstama divlje flore i faune</w:t>
      </w:r>
      <w:r w:rsidRPr="00387C89">
        <w:rPr>
          <w:rFonts w:ascii="Arial" w:eastAsia="Arial" w:hAnsi="Arial" w:cs="Arial"/>
          <w:color w:val="000000"/>
        </w:rPr>
        <w:t xml:space="preserve"> (npr. visibaba </w:t>
      </w:r>
      <w:r w:rsidRPr="00387C89">
        <w:rPr>
          <w:rFonts w:ascii="Arial" w:eastAsia="Arial" w:hAnsi="Arial" w:cs="Arial"/>
          <w:i/>
          <w:iCs/>
          <w:color w:val="000000"/>
        </w:rPr>
        <w:t>Galanthus nivalis</w:t>
      </w:r>
      <w:r w:rsidRPr="00387C89">
        <w:rPr>
          <w:rFonts w:ascii="Arial" w:eastAsia="Arial" w:hAnsi="Arial" w:cs="Arial"/>
          <w:color w:val="000000"/>
        </w:rPr>
        <w:t xml:space="preserve">). Lista zaštićenih vrsta ne sadrži kategorije zaštite, tako da jednak status imaju vrste sa stabilnim populacijama u Crnoj Gori i one čije su populacije posljednjih godina značajno smanjene i kod kojih postoji opasnost od daljeg opadanja brojnosti (npr. </w:t>
      </w:r>
      <w:r w:rsidRPr="00387C89">
        <w:rPr>
          <w:rFonts w:ascii="Arial" w:eastAsia="Arial" w:hAnsi="Arial" w:cs="Arial"/>
          <w:i/>
          <w:iCs/>
          <w:color w:val="000000"/>
        </w:rPr>
        <w:t>Euphorbia paralias</w:t>
      </w:r>
      <w:r w:rsidRPr="00387C89">
        <w:rPr>
          <w:rFonts w:ascii="Arial" w:eastAsia="Arial" w:hAnsi="Arial" w:cs="Arial"/>
          <w:color w:val="000000"/>
        </w:rPr>
        <w:t>).</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Nacionalnim zakonodavstvom zaštićeno je i </w:t>
      </w:r>
      <w:r w:rsidRPr="00387C89">
        <w:rPr>
          <w:rFonts w:ascii="Arial" w:eastAsia="Arial" w:hAnsi="Arial" w:cs="Arial"/>
          <w:bCs/>
          <w:color w:val="000000"/>
        </w:rPr>
        <w:t>455 vrsta životinja</w:t>
      </w:r>
      <w:r w:rsidRPr="00387C89">
        <w:rPr>
          <w:rFonts w:ascii="Arial" w:eastAsia="Arial" w:hAnsi="Arial" w:cs="Arial"/>
          <w:color w:val="000000"/>
        </w:rPr>
        <w:t xml:space="preserve">, kao i </w:t>
      </w:r>
      <w:r w:rsidRPr="00387C89">
        <w:rPr>
          <w:rFonts w:ascii="Arial" w:eastAsia="Arial" w:hAnsi="Arial" w:cs="Arial"/>
          <w:bCs/>
          <w:color w:val="000000"/>
        </w:rPr>
        <w:t>6 vrsta algi, 1 vrsta lišajeva i 111 vrsta gljiva</w:t>
      </w:r>
      <w:r w:rsidRPr="00387C89">
        <w:rPr>
          <w:rFonts w:ascii="Arial" w:eastAsia="Arial" w:hAnsi="Arial" w:cs="Arial"/>
          <w:color w:val="000000"/>
        </w:rPr>
        <w:t>. Pojedine zaštićene vrste više nijesu prisutne na teritoriji Crne Gore. U pripremi je proširena lista zaštićenih vrsta, ali ni ona ne predviđa različite kategorije zaštite.</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Do sada </w:t>
      </w:r>
      <w:r w:rsidRPr="00387C89">
        <w:rPr>
          <w:rFonts w:ascii="Arial" w:eastAsia="Arial" w:hAnsi="Arial" w:cs="Arial"/>
          <w:bCs/>
          <w:color w:val="000000"/>
        </w:rPr>
        <w:t>nijesu izrađene studije zaštite pojedinačnih vrsta</w:t>
      </w:r>
      <w:r w:rsidRPr="00387C89">
        <w:rPr>
          <w:rFonts w:ascii="Arial" w:eastAsia="Arial" w:hAnsi="Arial" w:cs="Arial"/>
          <w:color w:val="000000"/>
        </w:rPr>
        <w:t xml:space="preserve"> u okviru programa koje realizuju crnogorske institucije. Nekoliko studija zaštite vrsta, kao i konkretnih mjera zaštite na terenu, sprovedeno je pod rukovodstvom nevladinih organizacija (endemični taksoni </w:t>
      </w:r>
      <w:r w:rsidRPr="00387C89">
        <w:rPr>
          <w:rFonts w:ascii="Arial" w:eastAsia="Arial" w:hAnsi="Arial" w:cs="Arial"/>
          <w:i/>
          <w:iCs/>
          <w:color w:val="000000"/>
        </w:rPr>
        <w:t>Iris orjenii</w:t>
      </w:r>
      <w:r w:rsidRPr="00387C89">
        <w:rPr>
          <w:rFonts w:ascii="Arial" w:eastAsia="Arial" w:hAnsi="Arial" w:cs="Arial"/>
          <w:color w:val="000000"/>
        </w:rPr>
        <w:t xml:space="preserve">, </w:t>
      </w:r>
      <w:r w:rsidRPr="00387C89">
        <w:rPr>
          <w:rFonts w:ascii="Arial" w:eastAsia="Arial" w:hAnsi="Arial" w:cs="Arial"/>
          <w:i/>
          <w:iCs/>
          <w:color w:val="000000"/>
        </w:rPr>
        <w:t>Edraianthus wettsteinii</w:t>
      </w:r>
      <w:r w:rsidRPr="00387C89">
        <w:rPr>
          <w:rFonts w:ascii="Arial" w:eastAsia="Arial" w:hAnsi="Arial" w:cs="Arial"/>
          <w:color w:val="000000"/>
        </w:rPr>
        <w:t xml:space="preserve"> subsp. </w:t>
      </w:r>
      <w:r w:rsidRPr="00387C89">
        <w:rPr>
          <w:rFonts w:ascii="Arial" w:eastAsia="Arial" w:hAnsi="Arial" w:cs="Arial"/>
          <w:i/>
          <w:iCs/>
          <w:color w:val="000000"/>
        </w:rPr>
        <w:t>lovcenicus</w:t>
      </w:r>
      <w:r w:rsidRPr="00387C89">
        <w:rPr>
          <w:rFonts w:ascii="Arial" w:eastAsia="Arial" w:hAnsi="Arial" w:cs="Arial"/>
          <w:color w:val="000000"/>
        </w:rPr>
        <w:t xml:space="preserve">, </w:t>
      </w:r>
      <w:r w:rsidRPr="00387C89">
        <w:rPr>
          <w:rFonts w:ascii="Arial" w:eastAsia="Arial" w:hAnsi="Arial" w:cs="Arial"/>
          <w:i/>
          <w:iCs/>
          <w:color w:val="000000"/>
        </w:rPr>
        <w:t>Quercus robur</w:t>
      </w:r>
      <w:r w:rsidRPr="00387C89">
        <w:rPr>
          <w:rFonts w:ascii="Arial" w:eastAsia="Arial" w:hAnsi="Arial" w:cs="Arial"/>
          <w:color w:val="000000"/>
        </w:rPr>
        <w:t xml:space="preserve"> subsp. </w:t>
      </w:r>
      <w:r w:rsidRPr="00387C89">
        <w:rPr>
          <w:rFonts w:ascii="Arial" w:eastAsia="Arial" w:hAnsi="Arial" w:cs="Arial"/>
          <w:i/>
          <w:iCs/>
          <w:color w:val="000000"/>
        </w:rPr>
        <w:t>scutariensis</w:t>
      </w:r>
      <w:r w:rsidRPr="00387C89">
        <w:rPr>
          <w:rFonts w:ascii="Arial" w:eastAsia="Arial" w:hAnsi="Arial" w:cs="Arial"/>
          <w:color w:val="000000"/>
        </w:rPr>
        <w:t>).</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Uprkos velikom florističkom bogatstvu, </w:t>
      </w:r>
      <w:r w:rsidRPr="00387C89">
        <w:rPr>
          <w:rFonts w:ascii="Arial" w:eastAsia="Arial" w:hAnsi="Arial" w:cs="Arial"/>
          <w:bCs/>
          <w:color w:val="000000"/>
        </w:rPr>
        <w:t>Crna Gora još uvijek nema Crvenu listu flore</w:t>
      </w:r>
      <w:r w:rsidRPr="00387C89">
        <w:rPr>
          <w:rFonts w:ascii="Arial" w:eastAsia="Arial" w:hAnsi="Arial" w:cs="Arial"/>
          <w:color w:val="000000"/>
        </w:rPr>
        <w:t xml:space="preserve">. Najveći izazov u njenoj izradi, koja je započeta 2023. godine, predstavlja nedostatak recentnih podataka o distribuciji, veličini populacija i populacionim trendovima ugroženih vrsta. Više od </w:t>
      </w:r>
      <w:r w:rsidRPr="00387C89">
        <w:rPr>
          <w:rFonts w:ascii="Arial" w:eastAsia="Arial" w:hAnsi="Arial" w:cs="Arial"/>
          <w:bCs/>
          <w:color w:val="000000"/>
        </w:rPr>
        <w:t>dvije trećine taksona</w:t>
      </w:r>
      <w:r w:rsidRPr="00387C89">
        <w:rPr>
          <w:rFonts w:ascii="Arial" w:eastAsia="Arial" w:hAnsi="Arial" w:cs="Arial"/>
          <w:color w:val="000000"/>
        </w:rPr>
        <w:t xml:space="preserve"> predloženih za Crvenu listu ima </w:t>
      </w:r>
      <w:r w:rsidRPr="00387C89">
        <w:rPr>
          <w:rFonts w:ascii="Arial" w:eastAsia="Arial" w:hAnsi="Arial" w:cs="Arial"/>
          <w:bCs/>
          <w:color w:val="000000"/>
        </w:rPr>
        <w:t>IUCN kategoriju DD (Data Deficient)</w:t>
      </w:r>
      <w:r w:rsidRPr="00387C89">
        <w:rPr>
          <w:rFonts w:ascii="Arial" w:eastAsia="Arial" w:hAnsi="Arial" w:cs="Arial"/>
          <w:color w:val="000000"/>
        </w:rPr>
        <w:t xml:space="preserve">. Na osnovu raspoloživih podataka procijenjeno je da je više vrsta vezanih za staništa pjeskovitih plaža </w:t>
      </w:r>
      <w:r w:rsidRPr="00387C89">
        <w:rPr>
          <w:rFonts w:ascii="Arial" w:eastAsia="Arial" w:hAnsi="Arial" w:cs="Arial"/>
          <w:bCs/>
          <w:color w:val="000000"/>
        </w:rPr>
        <w:t>kritično ugroženo (CR)</w:t>
      </w:r>
      <w:r w:rsidRPr="00387C89">
        <w:rPr>
          <w:rFonts w:ascii="Arial" w:eastAsia="Arial" w:hAnsi="Arial" w:cs="Arial"/>
          <w:color w:val="000000"/>
        </w:rPr>
        <w:t xml:space="preserve"> usljed intenzivnog antropogenog pritiska. Precizni podaci o veličini njihovih populacija i dugoročnim trendovima nijesu dostupni, ali postoji realna mogućnost lokalnog iščezavanja pojedinih vrsta ukoliko se hitno ne preduzmu mjere zaštite.</w:t>
      </w:r>
    </w:p>
    <w:p w:rsidR="00387C89" w:rsidRDefault="00E47E1B" w:rsidP="00954AE7">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U Crnoj Gori su izrađene </w:t>
      </w:r>
      <w:r w:rsidRPr="00387C89">
        <w:rPr>
          <w:rFonts w:ascii="Arial" w:eastAsia="Arial" w:hAnsi="Arial" w:cs="Arial"/>
          <w:bCs/>
          <w:color w:val="000000"/>
        </w:rPr>
        <w:t>Crvene liste dnevnih leptira, riba, gmizavaca, vodozemaca i ptica</w:t>
      </w:r>
      <w:r w:rsidRPr="00387C89">
        <w:rPr>
          <w:rFonts w:ascii="Arial" w:eastAsia="Arial" w:hAnsi="Arial" w:cs="Arial"/>
          <w:color w:val="000000"/>
        </w:rPr>
        <w:t xml:space="preserve">, dok su </w:t>
      </w:r>
      <w:r w:rsidRPr="00387C89">
        <w:rPr>
          <w:rFonts w:ascii="Arial" w:eastAsia="Arial" w:hAnsi="Arial" w:cs="Arial"/>
          <w:bCs/>
          <w:color w:val="000000"/>
        </w:rPr>
        <w:t>Crvene liste vilinih konjica i sisara u fazi izrade</w:t>
      </w:r>
      <w:r w:rsidRPr="00387C89">
        <w:rPr>
          <w:rFonts w:ascii="Arial" w:eastAsia="Arial" w:hAnsi="Arial" w:cs="Arial"/>
          <w:color w:val="000000"/>
        </w:rPr>
        <w:t xml:space="preserve">. Georeferencirane baze podataka o vrstama često ne postoje ili su nepotpune, zbog čega je neophodno njihovo formiranje i unapređenje kako bi se kategorizacija vrsta zasnivala na što većem broju relevantnih kriterijuma. Crvene liste je takođe potrebno </w:t>
      </w:r>
      <w:r w:rsidRPr="00387C89">
        <w:rPr>
          <w:rFonts w:ascii="Arial" w:eastAsia="Arial" w:hAnsi="Arial" w:cs="Arial"/>
          <w:bCs/>
          <w:color w:val="000000"/>
        </w:rPr>
        <w:t>periodično revidirati</w:t>
      </w:r>
      <w:r w:rsidRPr="00387C89">
        <w:rPr>
          <w:rFonts w:ascii="Arial" w:eastAsia="Arial" w:hAnsi="Arial" w:cs="Arial"/>
          <w:color w:val="000000"/>
        </w:rPr>
        <w:t xml:space="preserve"> na osnovu novih istraživanja i evaluacije sprovedenih mjera zaštite za vrste u kategorijama ugroženosti.</w:t>
      </w:r>
    </w:p>
    <w:p w:rsidR="00D14804" w:rsidRDefault="00E47E1B">
      <w:pPr>
        <w:pStyle w:val="Heading4"/>
        <w:rPr>
          <w:rFonts w:ascii="Arial" w:eastAsia="Arial" w:hAnsi="Arial" w:cs="Arial"/>
          <w:color w:val="000000"/>
        </w:rPr>
      </w:pPr>
      <w:r>
        <w:rPr>
          <w:rFonts w:ascii="Arial" w:eastAsia="Arial" w:hAnsi="Arial" w:cs="Arial"/>
          <w:color w:val="000000"/>
        </w:rPr>
        <w:t>Zaštita i očuvanje staništa</w:t>
      </w:r>
    </w:p>
    <w:p w:rsidR="00D14804" w:rsidRDefault="00D14804"/>
    <w:p w:rsidR="00D14804" w:rsidRDefault="00E47E1B">
      <w:pPr>
        <w:spacing w:after="0" w:line="240" w:lineRule="auto"/>
        <w:jc w:val="both"/>
        <w:rPr>
          <w:rFonts w:ascii="Arial" w:eastAsia="Arial" w:hAnsi="Arial" w:cs="Arial"/>
        </w:rPr>
      </w:pPr>
      <w:r>
        <w:rPr>
          <w:rFonts w:ascii="Arial" w:eastAsia="Arial" w:hAnsi="Arial" w:cs="Arial"/>
        </w:rPr>
        <w:t>Kao ni u slučaju vrsta, do sada nijesu rađene studije zaštite pojedinačnih staništa u okviru programa koje realizuju nadležne institucije u Crnoj Gori. Nekoliko studija zaštite staništa, kao i konkretne mjere zaštite na terenu, sprovedene su pod rukovodstvom organizacija civilnog društva.</w:t>
      </w:r>
    </w:p>
    <w:p w:rsidR="00D14804" w:rsidRDefault="00D14804">
      <w:pPr>
        <w:spacing w:after="0" w:line="240" w:lineRule="auto"/>
        <w:jc w:val="both"/>
        <w:rPr>
          <w:rFonts w:ascii="Arial" w:eastAsia="Arial" w:hAnsi="Arial" w:cs="Arial"/>
        </w:rPr>
      </w:pPr>
    </w:p>
    <w:p w:rsidR="00D14804" w:rsidRDefault="00E47E1B">
      <w:pPr>
        <w:spacing w:after="0" w:line="240" w:lineRule="auto"/>
        <w:jc w:val="both"/>
        <w:rPr>
          <w:rFonts w:ascii="Arial" w:eastAsia="Arial" w:hAnsi="Arial" w:cs="Arial"/>
        </w:rPr>
      </w:pPr>
      <w:r>
        <w:rPr>
          <w:rFonts w:ascii="Arial" w:eastAsia="Arial" w:hAnsi="Arial" w:cs="Arial"/>
        </w:rPr>
        <w:t xml:space="preserve">Od 2017. godine, u okviru više međunarodnih projekata, ali i uz finansijsku podršku državnog budžeta, sprovode se sistematska istraživanja vrsta i kartiranje staništa sa Habitat Direktive. Organizovano je više obuka za kartiranje staništa i prikupljanje podataka o vrstama, čime su ekspertski kapaciteti za implementaciju Direktive o staništima značajno ojačani. Zaključno sa </w:t>
      </w:r>
      <w:r>
        <w:rPr>
          <w:rFonts w:ascii="Arial" w:eastAsia="Arial" w:hAnsi="Arial" w:cs="Arial"/>
        </w:rPr>
        <w:lastRenderedPageBreak/>
        <w:t>terenskom sezonom 2025. godine završeno je kartiranje staništa, dok će u narednom periodu uslijediti analiza i obrada prikupljenih podataka radi predlaganja područja mreže Natura 2000 u Crnoj Gori. Identifikacija i mapiranje morskih Natura 2000 staništa i vrsta biće intenzivnije sprovođeni tokom 2026. godine.</w:t>
      </w:r>
    </w:p>
    <w:p w:rsidR="00D14804" w:rsidRDefault="00D14804">
      <w:pPr>
        <w:spacing w:after="0" w:line="240" w:lineRule="auto"/>
        <w:jc w:val="both"/>
        <w:rPr>
          <w:rFonts w:ascii="Arial" w:eastAsia="Arial" w:hAnsi="Arial" w:cs="Arial"/>
        </w:rPr>
      </w:pPr>
    </w:p>
    <w:p w:rsidR="00D14804" w:rsidRPr="00B74DB1" w:rsidRDefault="00E47E1B">
      <w:pPr>
        <w:spacing w:after="0" w:line="240" w:lineRule="auto"/>
        <w:jc w:val="both"/>
        <w:rPr>
          <w:rFonts w:ascii="Arial" w:eastAsia="Arial" w:hAnsi="Arial" w:cs="Arial"/>
        </w:rPr>
      </w:pPr>
      <w:r>
        <w:rPr>
          <w:rFonts w:ascii="Arial" w:eastAsia="Arial" w:hAnsi="Arial" w:cs="Arial"/>
        </w:rPr>
        <w:t xml:space="preserve">Proces uspostavljanja Emerald mreže u Crnoj Gori je u toku i obuhvata 32 nominovana područja na kojima su prisutni najvredniji ekosistemi i vrste sa liste Bernske konvencije. U Crnoj Gori su uspostavljena tri Ramsarska područja — Skadarsko jezero, Tivatska solila i </w:t>
      </w:r>
      <w:r w:rsidRPr="00B74DB1">
        <w:rPr>
          <w:rFonts w:ascii="Arial" w:eastAsia="Arial" w:hAnsi="Arial" w:cs="Arial"/>
        </w:rPr>
        <w:t>Ulcinjska solana — koja imaju ključnu ulogu u zaštiti močvarnih ekosistema i migratornih ptica.</w:t>
      </w:r>
    </w:p>
    <w:p w:rsidR="00D14804" w:rsidRPr="00B74DB1" w:rsidRDefault="00D14804">
      <w:pPr>
        <w:spacing w:after="0" w:line="240" w:lineRule="auto"/>
        <w:jc w:val="both"/>
        <w:rPr>
          <w:rFonts w:ascii="Arial" w:eastAsia="Arial" w:hAnsi="Arial" w:cs="Arial"/>
        </w:rPr>
      </w:pPr>
    </w:p>
    <w:p w:rsidR="00D14804" w:rsidRDefault="00D14804">
      <w:pPr>
        <w:spacing w:after="0" w:line="276" w:lineRule="auto"/>
        <w:ind w:left="1080"/>
        <w:rPr>
          <w:rFonts w:ascii="Arial" w:eastAsia="Arial" w:hAnsi="Arial" w:cs="Arial"/>
          <w:b/>
          <w:bCs/>
          <w:color w:val="000000"/>
        </w:rPr>
      </w:pPr>
    </w:p>
    <w:p w:rsidR="00D14804" w:rsidRDefault="00E47E1B">
      <w:pPr>
        <w:pStyle w:val="Heading4"/>
        <w:rPr>
          <w:rFonts w:ascii="Arial" w:eastAsia="Arial" w:hAnsi="Arial" w:cs="Arial"/>
          <w:color w:val="000000"/>
        </w:rPr>
      </w:pPr>
      <w:r>
        <w:rPr>
          <w:rFonts w:ascii="Arial" w:eastAsia="Arial" w:hAnsi="Arial" w:cs="Arial"/>
          <w:color w:val="000000"/>
        </w:rPr>
        <w:t>Zaštićena prirodna dobra i ostali oblici zaštićenih područja očuvanja</w:t>
      </w:r>
    </w:p>
    <w:p w:rsidR="00954AE7" w:rsidRPr="00954AE7" w:rsidRDefault="00954AE7" w:rsidP="00954AE7"/>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U skladu sa Kunming–Montreal Globalnim okvirom za biodiverzitet (KM-GBF), posebno ciljem 3, neophodno je obezbijediti da do 2030. godine najmanje 30% kopnenih, slatkovodnih, morskih i priobalnih područja, naročito onih od posebnog značaja za biodiverzitet i ekosistemske funkcije, bude efikasno očuvano i upravljano kroz ekološki reprezentativne, dobro povezane i pravično upravljane sisteme zaštićenih područja i druge efikasne mjere očuvanja zasnovane na prostoru. Ovaj pristup podrazumijeva i integraciju takvih područja u šire kopnene i morske pejzaže, uz osiguravanje da svako održivo korišćenje bude u potpunosti usklađeno sa ciljevima očuvanja, kao i poštovanje prava lokalnih zajednica i tradicionalnih teritorija gdje je to primjenjivo.</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Zakon o zaštiti prirode prepoznaje dvije osnovne kategorije zaštićenih prirodnih dobara:</w:t>
      </w:r>
    </w:p>
    <w:p w:rsidR="00D14804" w:rsidRPr="00387C89" w:rsidRDefault="00E47E1B" w:rsidP="008166A6">
      <w:pPr>
        <w:numPr>
          <w:ilvl w:val="0"/>
          <w:numId w:val="1"/>
        </w:numPr>
        <w:spacing w:before="280" w:after="0" w:line="240" w:lineRule="auto"/>
        <w:jc w:val="both"/>
        <w:rPr>
          <w:rFonts w:ascii="Arial" w:eastAsia="Arial" w:hAnsi="Arial" w:cs="Arial"/>
        </w:rPr>
      </w:pPr>
      <w:r w:rsidRPr="00387C89">
        <w:rPr>
          <w:rFonts w:ascii="Arial" w:eastAsia="Arial" w:hAnsi="Arial" w:cs="Arial"/>
          <w:bCs/>
          <w:i/>
        </w:rPr>
        <w:t>zaštićena područja</w:t>
      </w:r>
      <w:r w:rsidRPr="00387C89">
        <w:rPr>
          <w:rFonts w:ascii="Arial" w:eastAsia="Arial" w:hAnsi="Arial" w:cs="Arial"/>
        </w:rPr>
        <w:t xml:space="preserve"> (strogi rezervat prirode, nacionalni park, posebni rezervat prirode, park prirode, spomenik prirode i predio izuzetnih odlika)</w:t>
      </w:r>
      <w:r w:rsidRPr="00387C89">
        <w:rPr>
          <w:rFonts w:ascii="Arial" w:eastAsia="Arial" w:hAnsi="Arial" w:cs="Arial"/>
          <w:vertAlign w:val="superscript"/>
        </w:rPr>
        <w:footnoteReference w:id="4"/>
      </w:r>
      <w:r w:rsidRPr="00387C89">
        <w:rPr>
          <w:rFonts w:ascii="Arial" w:eastAsia="Arial" w:hAnsi="Arial" w:cs="Arial"/>
        </w:rPr>
        <w:t>;</w:t>
      </w:r>
    </w:p>
    <w:p w:rsidR="00D14804" w:rsidRPr="00387C89" w:rsidRDefault="00E47E1B" w:rsidP="008166A6">
      <w:pPr>
        <w:numPr>
          <w:ilvl w:val="0"/>
          <w:numId w:val="1"/>
        </w:numPr>
        <w:spacing w:after="280" w:line="240" w:lineRule="auto"/>
        <w:jc w:val="both"/>
        <w:rPr>
          <w:rFonts w:ascii="Arial" w:eastAsia="Arial" w:hAnsi="Arial" w:cs="Arial"/>
        </w:rPr>
      </w:pPr>
      <w:r w:rsidRPr="00387C89">
        <w:rPr>
          <w:rFonts w:ascii="Arial" w:eastAsia="Arial" w:hAnsi="Arial" w:cs="Arial"/>
          <w:bCs/>
          <w:i/>
        </w:rPr>
        <w:t>područja ekološke mreže</w:t>
      </w:r>
      <w:r w:rsidRPr="00387C89">
        <w:rPr>
          <w:rFonts w:ascii="Arial" w:eastAsia="Arial" w:hAnsi="Arial" w:cs="Arial"/>
        </w:rPr>
        <w:t>.</w:t>
      </w:r>
    </w:p>
    <w:p w:rsidR="00387C89" w:rsidRDefault="00E47E1B">
      <w:pPr>
        <w:spacing w:before="240" w:after="240" w:line="276" w:lineRule="auto"/>
        <w:jc w:val="both"/>
        <w:rPr>
          <w:rFonts w:ascii="Arial" w:eastAsia="Arial" w:hAnsi="Arial" w:cs="Arial"/>
        </w:rPr>
      </w:pPr>
      <w:r>
        <w:rPr>
          <w:rFonts w:ascii="Arial" w:eastAsia="Arial" w:hAnsi="Arial" w:cs="Arial"/>
        </w:rPr>
        <w:t>U nastavku je dat pregled analize zaštić</w:t>
      </w:r>
      <w:r w:rsidR="00B74DB1">
        <w:rPr>
          <w:rFonts w:ascii="Arial" w:eastAsia="Arial" w:hAnsi="Arial" w:cs="Arial"/>
        </w:rPr>
        <w:t>enih područja (u širem smislu).</w:t>
      </w:r>
    </w:p>
    <w:p w:rsidR="00D14804" w:rsidRDefault="00E47E1B">
      <w:pPr>
        <w:pStyle w:val="Heading4"/>
        <w:rPr>
          <w:rFonts w:ascii="Arial" w:eastAsia="Arial" w:hAnsi="Arial" w:cs="Arial"/>
          <w:color w:val="000000"/>
        </w:rPr>
      </w:pPr>
      <w:r>
        <w:rPr>
          <w:rFonts w:ascii="Arial" w:eastAsia="Arial" w:hAnsi="Arial" w:cs="Arial"/>
          <w:color w:val="000000"/>
        </w:rPr>
        <w:t xml:space="preserve">Zaštićena područja </w:t>
      </w:r>
    </w:p>
    <w:p w:rsidR="00D14804" w:rsidRDefault="00D14804"/>
    <w:p w:rsidR="00D14804" w:rsidRPr="00387C89" w:rsidRDefault="00E47E1B">
      <w:pPr>
        <w:spacing w:after="200" w:line="240" w:lineRule="auto"/>
        <w:jc w:val="both"/>
        <w:rPr>
          <w:rFonts w:ascii="Arial" w:eastAsia="Arial" w:hAnsi="Arial" w:cs="Arial"/>
        </w:rPr>
      </w:pPr>
      <w:r w:rsidRPr="00387C89">
        <w:rPr>
          <w:rFonts w:ascii="Arial" w:eastAsia="Arial" w:hAnsi="Arial" w:cs="Arial"/>
        </w:rPr>
        <w:t>Prema registru Agencije za zaštitu životne sredine Crne Gore (</w:t>
      </w:r>
      <w:r w:rsidR="0051152D">
        <w:rPr>
          <w:rFonts w:ascii="Arial" w:eastAsia="Arial" w:hAnsi="Arial" w:cs="Arial"/>
        </w:rPr>
        <w:t>AZŽS</w:t>
      </w:r>
      <w:r w:rsidRPr="00387C89">
        <w:rPr>
          <w:rFonts w:ascii="Arial" w:eastAsia="Arial" w:hAnsi="Arial" w:cs="Arial"/>
        </w:rPr>
        <w:t>), oko</w:t>
      </w:r>
      <w:r w:rsidRPr="00387C89">
        <w:rPr>
          <w:rFonts w:ascii="Arial" w:eastAsia="Arial" w:hAnsi="Arial" w:cs="Arial"/>
          <w:color w:val="EE0000"/>
        </w:rPr>
        <w:t xml:space="preserve"> </w:t>
      </w:r>
      <w:r w:rsidRPr="00387C89">
        <w:rPr>
          <w:rFonts w:ascii="Arial" w:eastAsia="Arial" w:hAnsi="Arial" w:cs="Arial"/>
        </w:rPr>
        <w:t xml:space="preserve">13% kopna i 2% mora je pod </w:t>
      </w:r>
      <w:r w:rsidRPr="00387C89">
        <w:rPr>
          <w:rFonts w:ascii="Arial" w:eastAsia="Arial" w:hAnsi="Arial" w:cs="Arial"/>
          <w:bCs/>
        </w:rPr>
        <w:t>zaštićenim područjima</w:t>
      </w:r>
      <w:r w:rsidRPr="00387C89">
        <w:rPr>
          <w:rFonts w:ascii="Arial" w:eastAsia="Arial" w:hAnsi="Arial" w:cs="Arial"/>
        </w:rPr>
        <w:t xml:space="preserve"> u Crnoj Gori. Dodatno, zaštitni pojas (zaštitna zona, a često se naziva bafer ili tampon zona) zauzima dodatnih 5% </w:t>
      </w:r>
      <w:r w:rsidRPr="00387C89">
        <w:rPr>
          <w:rFonts w:ascii="Arial" w:eastAsia="Arial" w:hAnsi="Arial" w:cs="Arial"/>
          <w:bCs/>
        </w:rPr>
        <w:t>(Mapa 1)</w:t>
      </w:r>
      <w:r w:rsidRPr="00387C89">
        <w:rPr>
          <w:rFonts w:ascii="Arial" w:eastAsia="Arial" w:hAnsi="Arial" w:cs="Arial"/>
        </w:rPr>
        <w:t>. Kako bi se dostigao cilj od 30x30 kopna i mora, a u odnosu na GBF i EU BD Strategiju, neophodno je zaštititi dodatnih 17%</w:t>
      </w:r>
      <w:r w:rsidRPr="00387C89">
        <w:rPr>
          <w:rFonts w:ascii="Arial" w:eastAsia="Arial" w:hAnsi="Arial" w:cs="Arial"/>
          <w:color w:val="EE0000"/>
        </w:rPr>
        <w:t xml:space="preserve"> </w:t>
      </w:r>
      <w:r w:rsidRPr="00387C89">
        <w:rPr>
          <w:rFonts w:ascii="Arial" w:eastAsia="Arial" w:hAnsi="Arial" w:cs="Arial"/>
        </w:rPr>
        <w:t>kopna, i čak 28%</w:t>
      </w:r>
      <w:r w:rsidRPr="00387C89">
        <w:rPr>
          <w:rFonts w:ascii="Arial" w:eastAsia="Arial" w:hAnsi="Arial" w:cs="Arial"/>
          <w:color w:val="EE0000"/>
        </w:rPr>
        <w:t xml:space="preserve"> </w:t>
      </w:r>
      <w:r w:rsidRPr="00387C89">
        <w:rPr>
          <w:rFonts w:ascii="Arial" w:eastAsia="Arial" w:hAnsi="Arial" w:cs="Arial"/>
        </w:rPr>
        <w:t>teritorije mora.</w:t>
      </w:r>
    </w:p>
    <w:p w:rsidR="00D14804" w:rsidRDefault="00E47E1B">
      <w:pPr>
        <w:spacing w:after="200" w:line="276" w:lineRule="auto"/>
        <w:rPr>
          <w:rFonts w:ascii="Arial" w:eastAsia="Arial" w:hAnsi="Arial" w:cs="Arial"/>
          <w:color w:val="000000"/>
        </w:rPr>
      </w:pPr>
      <w:r>
        <w:rPr>
          <w:rFonts w:ascii="Arial" w:eastAsia="Arial" w:hAnsi="Arial" w:cs="Arial"/>
          <w:noProof/>
          <w:color w:val="000000"/>
        </w:rPr>
        <w:lastRenderedPageBreak/>
        <w:drawing>
          <wp:inline distT="0" distB="0" distL="0" distR="0">
            <wp:extent cx="5708549" cy="4036929"/>
            <wp:effectExtent l="0" t="0" r="0" b="0"/>
            <wp:docPr id="179557344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1"/>
                    <a:srcRect/>
                    <a:stretch>
                      <a:fillRect/>
                    </a:stretch>
                  </pic:blipFill>
                  <pic:spPr>
                    <a:xfrm>
                      <a:off x="0" y="0"/>
                      <a:ext cx="5708549" cy="4036929"/>
                    </a:xfrm>
                    <a:prstGeom prst="rect">
                      <a:avLst/>
                    </a:prstGeom>
                    <a:ln/>
                  </pic:spPr>
                </pic:pic>
              </a:graphicData>
            </a:graphic>
          </wp:inline>
        </w:drawing>
      </w:r>
    </w:p>
    <w:p w:rsidR="00D14804" w:rsidRPr="00387C89" w:rsidRDefault="00E47E1B">
      <w:pPr>
        <w:spacing w:after="0" w:line="240" w:lineRule="auto"/>
        <w:ind w:left="851" w:hanging="851"/>
        <w:jc w:val="both"/>
        <w:rPr>
          <w:rFonts w:ascii="Arial" w:eastAsia="Arial" w:hAnsi="Arial" w:cs="Arial"/>
          <w:bCs/>
          <w:sz w:val="20"/>
          <w:szCs w:val="20"/>
        </w:rPr>
      </w:pPr>
      <w:r>
        <w:rPr>
          <w:rFonts w:ascii="Arial" w:eastAsia="Arial" w:hAnsi="Arial" w:cs="Arial"/>
          <w:b/>
          <w:bCs/>
          <w:color w:val="000000"/>
          <w:sz w:val="20"/>
          <w:szCs w:val="20"/>
        </w:rPr>
        <w:t xml:space="preserve">Mapa 1: </w:t>
      </w:r>
      <w:r w:rsidRPr="00387C89">
        <w:rPr>
          <w:rFonts w:ascii="Arial" w:eastAsia="Arial" w:hAnsi="Arial" w:cs="Arial"/>
          <w:bCs/>
          <w:color w:val="000000"/>
          <w:sz w:val="20"/>
          <w:szCs w:val="20"/>
        </w:rPr>
        <w:t xml:space="preserve">Zaštićena područja CrneGore. Napomena: manja zaštićena područja nijesu grafički predstavljena. (Izvor: </w:t>
      </w:r>
      <w:r w:rsidR="0051152D">
        <w:rPr>
          <w:rFonts w:ascii="Arial" w:eastAsia="Arial" w:hAnsi="Arial" w:cs="Arial"/>
          <w:bCs/>
          <w:color w:val="000000"/>
          <w:sz w:val="20"/>
          <w:szCs w:val="20"/>
        </w:rPr>
        <w:t>AZŽS</w:t>
      </w:r>
      <w:r w:rsidRPr="00387C89">
        <w:rPr>
          <w:rFonts w:ascii="Arial" w:eastAsia="Arial" w:hAnsi="Arial" w:cs="Arial"/>
          <w:bCs/>
          <w:sz w:val="20"/>
          <w:szCs w:val="20"/>
        </w:rPr>
        <w:t xml:space="preserve"> C</w:t>
      </w:r>
      <w:r w:rsidRPr="00387C89">
        <w:rPr>
          <w:rFonts w:ascii="Arial" w:eastAsia="Arial" w:hAnsi="Arial" w:cs="Arial"/>
          <w:bCs/>
          <w:color w:val="000000"/>
          <w:sz w:val="20"/>
          <w:szCs w:val="20"/>
        </w:rPr>
        <w:t>G)</w:t>
      </w:r>
    </w:p>
    <w:p w:rsidR="00D14804" w:rsidRDefault="00D14804">
      <w:pPr>
        <w:spacing w:after="0" w:line="240" w:lineRule="auto"/>
        <w:rPr>
          <w:rFonts w:ascii="Arial" w:eastAsia="Arial" w:hAnsi="Arial" w:cs="Arial"/>
        </w:rPr>
      </w:pP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Prostorni plan Crne Gore do 2040. godine identifikuje </w:t>
      </w:r>
      <w:r w:rsidRPr="00387C89">
        <w:rPr>
          <w:rFonts w:ascii="Arial" w:eastAsia="Arial" w:hAnsi="Arial" w:cs="Arial"/>
          <w:bCs/>
          <w:color w:val="000000"/>
        </w:rPr>
        <w:t>potencijalna zaštićena područja</w:t>
      </w:r>
      <w:r w:rsidRPr="00387C89">
        <w:rPr>
          <w:rFonts w:ascii="Arial" w:eastAsia="Arial" w:hAnsi="Arial" w:cs="Arial"/>
          <w:color w:val="000000"/>
        </w:rPr>
        <w:t xml:space="preserve"> koja obuhvataju dodatnih </w:t>
      </w:r>
      <w:r w:rsidRPr="00387C89">
        <w:rPr>
          <w:rFonts w:ascii="Arial" w:eastAsia="Arial" w:hAnsi="Arial" w:cs="Arial"/>
          <w:bCs/>
          <w:color w:val="000000"/>
        </w:rPr>
        <w:t>14% kopna</w:t>
      </w:r>
      <w:r w:rsidRPr="00387C89">
        <w:rPr>
          <w:rFonts w:ascii="Arial" w:eastAsia="Arial" w:hAnsi="Arial" w:cs="Arial"/>
          <w:color w:val="000000"/>
        </w:rPr>
        <w:t xml:space="preserve"> i </w:t>
      </w:r>
      <w:r w:rsidRPr="00387C89">
        <w:rPr>
          <w:rFonts w:ascii="Arial" w:eastAsia="Arial" w:hAnsi="Arial" w:cs="Arial"/>
          <w:bCs/>
          <w:color w:val="000000"/>
        </w:rPr>
        <w:t>2% mora</w:t>
      </w:r>
      <w:r w:rsidRPr="00387C89">
        <w:rPr>
          <w:rFonts w:ascii="Arial" w:eastAsia="Arial" w:hAnsi="Arial" w:cs="Arial"/>
          <w:color w:val="000000"/>
        </w:rPr>
        <w:t>, uz naglašenu potrebu jačanja zaštite morskih i priobalnih ekosistema koji su trenutno nedovoljno zastupljeni u sistemu zaštite.</w:t>
      </w:r>
    </w:p>
    <w:p w:rsidR="00D14804" w:rsidRPr="00387C89" w:rsidRDefault="00E47E1B">
      <w:pPr>
        <w:spacing w:before="240" w:after="240" w:line="240" w:lineRule="auto"/>
        <w:jc w:val="both"/>
        <w:rPr>
          <w:rFonts w:ascii="Arial" w:eastAsia="Arial" w:hAnsi="Arial" w:cs="Arial"/>
        </w:rPr>
      </w:pPr>
      <w:r w:rsidRPr="00387C89">
        <w:rPr>
          <w:rFonts w:ascii="Arial" w:eastAsia="Arial" w:hAnsi="Arial" w:cs="Arial"/>
        </w:rPr>
        <w:t xml:space="preserve">U nastavku je dat kartografski prikaz prikaz prema podacima dobijenim od Agencije za zaštitu životne sredine </w:t>
      </w:r>
      <w:r w:rsidRPr="00387C89">
        <w:rPr>
          <w:rFonts w:ascii="Arial" w:eastAsia="Arial" w:hAnsi="Arial" w:cs="Arial"/>
          <w:bCs/>
        </w:rPr>
        <w:t>(Mapa 2)</w:t>
      </w:r>
      <w:r w:rsidRPr="00387C89">
        <w:rPr>
          <w:rFonts w:ascii="Arial" w:eastAsia="Arial" w:hAnsi="Arial" w:cs="Arial"/>
        </w:rPr>
        <w:t xml:space="preserve">. </w:t>
      </w:r>
    </w:p>
    <w:p w:rsidR="00D14804" w:rsidRDefault="00E47E1B">
      <w:pPr>
        <w:spacing w:after="200" w:line="240" w:lineRule="auto"/>
        <w:jc w:val="both"/>
        <w:rPr>
          <w:rFonts w:ascii="Arial" w:eastAsia="Arial" w:hAnsi="Arial" w:cs="Arial"/>
        </w:rPr>
      </w:pPr>
      <w:r>
        <w:rPr>
          <w:rFonts w:ascii="Arial" w:eastAsia="Arial" w:hAnsi="Arial" w:cs="Arial"/>
          <w:noProof/>
        </w:rPr>
        <w:lastRenderedPageBreak/>
        <w:drawing>
          <wp:inline distT="0" distB="0" distL="0" distR="0">
            <wp:extent cx="5729605" cy="4133215"/>
            <wp:effectExtent l="0" t="0" r="0" b="0"/>
            <wp:docPr id="17955734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729605" cy="4133215"/>
                    </a:xfrm>
                    <a:prstGeom prst="rect">
                      <a:avLst/>
                    </a:prstGeom>
                    <a:ln/>
                  </pic:spPr>
                </pic:pic>
              </a:graphicData>
            </a:graphic>
          </wp:inline>
        </w:drawing>
      </w:r>
    </w:p>
    <w:p w:rsidR="00D14804" w:rsidRPr="00387C89" w:rsidRDefault="00E47E1B">
      <w:pPr>
        <w:spacing w:before="240" w:after="0" w:line="240" w:lineRule="auto"/>
        <w:jc w:val="both"/>
        <w:rPr>
          <w:rFonts w:ascii="Arial" w:eastAsia="Arial" w:hAnsi="Arial" w:cs="Arial"/>
          <w:bCs/>
          <w:sz w:val="20"/>
          <w:szCs w:val="20"/>
        </w:rPr>
      </w:pPr>
      <w:r>
        <w:rPr>
          <w:rFonts w:ascii="Arial" w:eastAsia="Arial" w:hAnsi="Arial" w:cs="Arial"/>
          <w:b/>
          <w:bCs/>
          <w:sz w:val="20"/>
          <w:szCs w:val="20"/>
        </w:rPr>
        <w:t xml:space="preserve">Mapa 2: </w:t>
      </w:r>
      <w:r w:rsidRPr="00387C89">
        <w:rPr>
          <w:rFonts w:ascii="Arial" w:eastAsia="Arial" w:hAnsi="Arial" w:cs="Arial"/>
          <w:bCs/>
          <w:sz w:val="20"/>
          <w:szCs w:val="20"/>
        </w:rPr>
        <w:t xml:space="preserve">Potencijalna zaštićena područja prema PPCG2040 (Izvor: </w:t>
      </w:r>
      <w:r w:rsidR="0051152D">
        <w:rPr>
          <w:rFonts w:ascii="Arial" w:eastAsia="Arial" w:hAnsi="Arial" w:cs="Arial"/>
          <w:bCs/>
          <w:sz w:val="20"/>
          <w:szCs w:val="20"/>
        </w:rPr>
        <w:t>AZŽS</w:t>
      </w:r>
      <w:r w:rsidRPr="00387C89">
        <w:rPr>
          <w:rFonts w:ascii="Arial" w:eastAsia="Arial" w:hAnsi="Arial" w:cs="Arial"/>
          <w:bCs/>
          <w:sz w:val="20"/>
          <w:szCs w:val="20"/>
        </w:rPr>
        <w:t>)</w:t>
      </w:r>
    </w:p>
    <w:p w:rsidR="00D14804" w:rsidRPr="00387C89" w:rsidRDefault="00D14804">
      <w:pPr>
        <w:spacing w:after="200" w:line="240" w:lineRule="auto"/>
        <w:jc w:val="both"/>
        <w:rPr>
          <w:rFonts w:ascii="Arial" w:eastAsia="Arial" w:hAnsi="Arial" w:cs="Arial"/>
        </w:rPr>
      </w:pPr>
    </w:p>
    <w:p w:rsidR="00D14804" w:rsidRPr="00387C89" w:rsidRDefault="00E47E1B">
      <w:pPr>
        <w:spacing w:after="200" w:line="240" w:lineRule="auto"/>
        <w:jc w:val="both"/>
        <w:rPr>
          <w:rFonts w:ascii="Arial" w:eastAsia="Arial" w:hAnsi="Arial" w:cs="Arial"/>
        </w:rPr>
      </w:pPr>
      <w:r w:rsidRPr="00387C89">
        <w:rPr>
          <w:rFonts w:ascii="Arial" w:eastAsia="Arial" w:hAnsi="Arial" w:cs="Arial"/>
        </w:rPr>
        <w:t xml:space="preserve">Posebna pažnja u planiranju buduće mreže zaštićenih područja treba biti posvećena morskom dijelu teritorije Crne Gore, koji je trenutno nedovoljno zastupljen u sistemu zaštitićenih područja. </w:t>
      </w:r>
    </w:p>
    <w:p w:rsidR="00D14804" w:rsidRPr="00387C89" w:rsidRDefault="00E47E1B">
      <w:pPr>
        <w:spacing w:after="200" w:line="240" w:lineRule="auto"/>
        <w:jc w:val="both"/>
        <w:rPr>
          <w:rFonts w:ascii="Arial" w:eastAsia="Arial" w:hAnsi="Arial" w:cs="Arial"/>
        </w:rPr>
      </w:pPr>
      <w:r w:rsidRPr="00387C89">
        <w:rPr>
          <w:rFonts w:ascii="Arial" w:eastAsia="Arial" w:hAnsi="Arial" w:cs="Arial"/>
        </w:rPr>
        <w:t xml:space="preserve">U kontekstu Strogo zaštićenih područja, u nacionalnom zakonodavstvu </w:t>
      </w:r>
      <w:r w:rsidRPr="00387C89">
        <w:rPr>
          <w:rFonts w:ascii="Arial" w:eastAsia="Arial" w:hAnsi="Arial" w:cs="Arial"/>
          <w:bCs/>
        </w:rPr>
        <w:t>nije jasno definisana kategorija strogo zaštićenih područja</w:t>
      </w:r>
      <w:r w:rsidRPr="00387C89">
        <w:rPr>
          <w:rFonts w:ascii="Arial" w:eastAsia="Arial" w:hAnsi="Arial" w:cs="Arial"/>
        </w:rPr>
        <w:t>, pa je u analizi primijenjena definicija iz EU Strategije biodiverziteta</w:t>
      </w:r>
      <w:r w:rsidRPr="00387C89">
        <w:rPr>
          <w:rFonts w:ascii="Arial" w:eastAsia="Arial" w:hAnsi="Arial" w:cs="Arial"/>
          <w:vertAlign w:val="superscript"/>
        </w:rPr>
        <w:footnoteReference w:id="5"/>
      </w:r>
      <w:r w:rsidRPr="00387C89">
        <w:rPr>
          <w:rFonts w:ascii="Arial" w:eastAsia="Arial" w:hAnsi="Arial" w:cs="Arial"/>
        </w:rPr>
        <w:t xml:space="preserve">. Kao približan ekvivalent razmatrani su </w:t>
      </w:r>
      <w:r w:rsidRPr="00387C89">
        <w:rPr>
          <w:rFonts w:ascii="Arial" w:eastAsia="Arial" w:hAnsi="Arial" w:cs="Arial"/>
          <w:bCs/>
        </w:rPr>
        <w:t>Strogi i Posebni rezervati prirode</w:t>
      </w:r>
      <w:r w:rsidRPr="00387C89">
        <w:rPr>
          <w:rFonts w:ascii="Arial" w:eastAsia="Arial" w:hAnsi="Arial" w:cs="Arial"/>
        </w:rPr>
        <w:t xml:space="preserve"> i </w:t>
      </w:r>
      <w:r w:rsidRPr="00387C89">
        <w:rPr>
          <w:rFonts w:ascii="Arial" w:eastAsia="Arial" w:hAnsi="Arial" w:cs="Arial"/>
          <w:bCs/>
        </w:rPr>
        <w:t>Zona I zaštite</w:t>
      </w:r>
      <w:r w:rsidRPr="00387C89">
        <w:rPr>
          <w:rFonts w:ascii="Arial" w:eastAsia="Arial" w:hAnsi="Arial" w:cs="Arial"/>
        </w:rPr>
        <w:t xml:space="preserve">, koji zajedno pokrivaju oko </w:t>
      </w:r>
      <w:r w:rsidRPr="00387C89">
        <w:rPr>
          <w:rFonts w:ascii="Arial" w:eastAsia="Arial" w:hAnsi="Arial" w:cs="Arial"/>
          <w:bCs/>
        </w:rPr>
        <w:t>2% teritorije kopna</w:t>
      </w:r>
      <w:r w:rsidRPr="00387C89">
        <w:rPr>
          <w:rFonts w:ascii="Arial" w:eastAsia="Arial" w:hAnsi="Arial" w:cs="Arial"/>
        </w:rPr>
        <w:t xml:space="preserve">, što predstavlja </w:t>
      </w:r>
      <w:r w:rsidRPr="00387C89">
        <w:rPr>
          <w:rFonts w:ascii="Arial" w:eastAsia="Arial" w:hAnsi="Arial" w:cs="Arial"/>
          <w:bCs/>
        </w:rPr>
        <w:t>nedostatak od približno 8%</w:t>
      </w:r>
      <w:r w:rsidRPr="00387C89">
        <w:rPr>
          <w:rFonts w:ascii="Arial" w:eastAsia="Arial" w:hAnsi="Arial" w:cs="Arial"/>
        </w:rPr>
        <w:t xml:space="preserve"> u odnosu na evropski cilj od </w:t>
      </w:r>
      <w:r w:rsidRPr="00387C89">
        <w:rPr>
          <w:rFonts w:ascii="Arial" w:eastAsia="Arial" w:hAnsi="Arial" w:cs="Arial"/>
          <w:bCs/>
        </w:rPr>
        <w:t>najmanje 10% stroge zaštite</w:t>
      </w:r>
      <w:r w:rsidRPr="00387C89">
        <w:rPr>
          <w:rFonts w:ascii="Arial" w:eastAsia="Arial" w:hAnsi="Arial" w:cs="Arial"/>
        </w:rPr>
        <w:t xml:space="preserve">. </w:t>
      </w:r>
    </w:p>
    <w:p w:rsidR="00D14804" w:rsidRPr="00387C89" w:rsidRDefault="00E47E1B">
      <w:pPr>
        <w:spacing w:after="200" w:line="240" w:lineRule="auto"/>
        <w:jc w:val="both"/>
        <w:rPr>
          <w:rFonts w:ascii="Arial" w:eastAsia="Arial" w:hAnsi="Arial" w:cs="Arial"/>
        </w:rPr>
      </w:pPr>
      <w:r w:rsidRPr="00387C89">
        <w:rPr>
          <w:rFonts w:ascii="Arial" w:eastAsia="Arial" w:hAnsi="Arial" w:cs="Arial"/>
        </w:rPr>
        <w:t xml:space="preserve">U morskom prostoru </w:t>
      </w:r>
      <w:r w:rsidRPr="00387C89">
        <w:rPr>
          <w:rFonts w:ascii="Arial" w:eastAsia="Arial" w:hAnsi="Arial" w:cs="Arial"/>
          <w:bCs/>
        </w:rPr>
        <w:t>strogo zaštićena područja ne postoje</w:t>
      </w:r>
      <w:r w:rsidRPr="00387C89">
        <w:rPr>
          <w:rFonts w:ascii="Arial" w:eastAsia="Arial" w:hAnsi="Arial" w:cs="Arial"/>
        </w:rPr>
        <w:t>, što dodatno naglašava potrebu za sistemskim unapređenjem zaštite. Prostorni prikaz ovih područja dat je u nastavku.</w:t>
      </w:r>
    </w:p>
    <w:p w:rsidR="00D14804" w:rsidRPr="00387C89" w:rsidRDefault="00E47E1B">
      <w:pPr>
        <w:spacing w:after="200" w:line="240" w:lineRule="auto"/>
        <w:jc w:val="both"/>
        <w:rPr>
          <w:rFonts w:ascii="Arial" w:eastAsia="Arial" w:hAnsi="Arial" w:cs="Arial"/>
          <w:bCs/>
          <w:sz w:val="20"/>
          <w:szCs w:val="20"/>
        </w:rPr>
      </w:pPr>
      <w:r>
        <w:rPr>
          <w:rFonts w:ascii="Arial" w:eastAsia="Arial" w:hAnsi="Arial" w:cs="Arial"/>
          <w:noProof/>
        </w:rPr>
        <w:lastRenderedPageBreak/>
        <w:drawing>
          <wp:inline distT="0" distB="0" distL="0" distR="0">
            <wp:extent cx="5689700" cy="4025606"/>
            <wp:effectExtent l="0" t="0" r="0" b="0"/>
            <wp:docPr id="17955734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5689700" cy="4025606"/>
                    </a:xfrm>
                    <a:prstGeom prst="rect">
                      <a:avLst/>
                    </a:prstGeom>
                    <a:ln/>
                  </pic:spPr>
                </pic:pic>
              </a:graphicData>
            </a:graphic>
          </wp:inline>
        </w:drawing>
      </w:r>
      <w:r>
        <w:rPr>
          <w:rFonts w:ascii="Arial" w:eastAsia="Arial" w:hAnsi="Arial" w:cs="Arial"/>
          <w:b/>
          <w:bCs/>
          <w:i/>
          <w:iCs/>
          <w:sz w:val="18"/>
          <w:szCs w:val="18"/>
        </w:rPr>
        <w:t xml:space="preserve">   </w:t>
      </w:r>
      <w:r>
        <w:rPr>
          <w:rFonts w:ascii="Arial" w:eastAsia="Arial" w:hAnsi="Arial" w:cs="Arial"/>
          <w:b/>
          <w:bCs/>
          <w:sz w:val="20"/>
          <w:szCs w:val="20"/>
        </w:rPr>
        <w:t xml:space="preserve">Mapa 3: </w:t>
      </w:r>
      <w:r w:rsidRPr="00387C89">
        <w:rPr>
          <w:rFonts w:ascii="Arial" w:eastAsia="Arial" w:hAnsi="Arial" w:cs="Arial"/>
          <w:bCs/>
          <w:sz w:val="20"/>
          <w:szCs w:val="20"/>
        </w:rPr>
        <w:t>Strogo</w:t>
      </w:r>
      <w:r w:rsidR="00387C89">
        <w:rPr>
          <w:rFonts w:ascii="Arial" w:eastAsia="Arial" w:hAnsi="Arial" w:cs="Arial"/>
          <w:bCs/>
          <w:sz w:val="20"/>
          <w:szCs w:val="20"/>
        </w:rPr>
        <w:t xml:space="preserve"> zaštićena područja Crne Gore (</w:t>
      </w:r>
      <w:r w:rsidRPr="00387C89">
        <w:rPr>
          <w:rFonts w:ascii="Arial" w:eastAsia="Arial" w:hAnsi="Arial" w:cs="Arial"/>
          <w:bCs/>
          <w:sz w:val="20"/>
          <w:szCs w:val="20"/>
        </w:rPr>
        <w:t xml:space="preserve">izvor </w:t>
      </w:r>
      <w:r w:rsidR="0051152D">
        <w:rPr>
          <w:rFonts w:ascii="Arial" w:eastAsia="Arial" w:hAnsi="Arial" w:cs="Arial"/>
          <w:bCs/>
          <w:sz w:val="20"/>
          <w:szCs w:val="20"/>
        </w:rPr>
        <w:t>AZŽS</w:t>
      </w:r>
      <w:r w:rsidRPr="00387C89">
        <w:rPr>
          <w:rFonts w:ascii="Arial" w:eastAsia="Arial" w:hAnsi="Arial" w:cs="Arial"/>
          <w:bCs/>
          <w:sz w:val="20"/>
          <w:szCs w:val="20"/>
        </w:rPr>
        <w:t xml:space="preserve"> CG)</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EU Strategija posebno naglašava potrebu </w:t>
      </w:r>
      <w:r w:rsidRPr="00387C89">
        <w:rPr>
          <w:rFonts w:ascii="Arial" w:eastAsia="Arial" w:hAnsi="Arial" w:cs="Arial"/>
          <w:bCs/>
          <w:color w:val="000000"/>
        </w:rPr>
        <w:t>identifikacije, mapiranja i stroge zaštite primarnih i starih šuma</w:t>
      </w:r>
      <w:r w:rsidRPr="00387C89">
        <w:rPr>
          <w:rFonts w:ascii="Arial" w:eastAsia="Arial" w:hAnsi="Arial" w:cs="Arial"/>
          <w:color w:val="000000"/>
        </w:rPr>
        <w:t xml:space="preserve">, kao i drugih </w:t>
      </w:r>
      <w:r w:rsidRPr="00387C89">
        <w:rPr>
          <w:rFonts w:ascii="Arial" w:eastAsia="Arial" w:hAnsi="Arial" w:cs="Arial"/>
          <w:bCs/>
          <w:color w:val="000000"/>
        </w:rPr>
        <w:t>ekosistema bogatih ugljenikom</w:t>
      </w:r>
      <w:r w:rsidRPr="00387C89">
        <w:rPr>
          <w:rFonts w:ascii="Arial" w:eastAsia="Arial" w:hAnsi="Arial" w:cs="Arial"/>
          <w:color w:val="000000"/>
        </w:rPr>
        <w:t xml:space="preserve"> i ekosistema ključnih za </w:t>
      </w:r>
      <w:r w:rsidRPr="00387C89">
        <w:rPr>
          <w:rFonts w:ascii="Arial" w:eastAsia="Arial" w:hAnsi="Arial" w:cs="Arial"/>
          <w:bCs/>
          <w:color w:val="000000"/>
        </w:rPr>
        <w:t>ekosistemske usluge, otpornost na klimatske promjene i ekološku povezanost</w:t>
      </w:r>
      <w:r w:rsidRPr="00387C89">
        <w:rPr>
          <w:rFonts w:ascii="Arial" w:eastAsia="Arial" w:hAnsi="Arial" w:cs="Arial"/>
          <w:color w:val="000000"/>
        </w:rPr>
        <w:t xml:space="preserve">. Prioritet imaju </w:t>
      </w:r>
      <w:r w:rsidRPr="00387C89">
        <w:rPr>
          <w:rFonts w:ascii="Arial" w:eastAsia="Arial" w:hAnsi="Arial" w:cs="Arial"/>
          <w:bCs/>
          <w:color w:val="000000"/>
        </w:rPr>
        <w:t>vodeni ekosistemi od visokog prirodnog značaja</w:t>
      </w:r>
      <w:r w:rsidRPr="00387C89">
        <w:rPr>
          <w:rFonts w:ascii="Arial" w:eastAsia="Arial" w:hAnsi="Arial" w:cs="Arial"/>
          <w:color w:val="000000"/>
        </w:rPr>
        <w:t xml:space="preserve">, područja važna za </w:t>
      </w:r>
      <w:r w:rsidRPr="00387C89">
        <w:rPr>
          <w:rFonts w:ascii="Arial" w:eastAsia="Arial" w:hAnsi="Arial" w:cs="Arial"/>
          <w:bCs/>
          <w:color w:val="000000"/>
        </w:rPr>
        <w:t>mrijest i obnovu ribljih populacija</w:t>
      </w:r>
      <w:r w:rsidRPr="00387C89">
        <w:rPr>
          <w:rFonts w:ascii="Arial" w:eastAsia="Arial" w:hAnsi="Arial" w:cs="Arial"/>
          <w:color w:val="000000"/>
        </w:rPr>
        <w:t xml:space="preserve">, kao i </w:t>
      </w:r>
      <w:r w:rsidRPr="00387C89">
        <w:rPr>
          <w:rFonts w:ascii="Arial" w:eastAsia="Arial" w:hAnsi="Arial" w:cs="Arial"/>
          <w:bCs/>
          <w:color w:val="000000"/>
        </w:rPr>
        <w:t>tresetišta, travnjaci, močvare i livade morskih cvjetnica</w:t>
      </w:r>
      <w:r w:rsidRPr="00387C89">
        <w:rPr>
          <w:rFonts w:ascii="Arial" w:eastAsia="Arial" w:hAnsi="Arial" w:cs="Arial"/>
          <w:color w:val="000000"/>
        </w:rPr>
        <w:t>.</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Radi procjene </w:t>
      </w:r>
      <w:r w:rsidRPr="00387C89">
        <w:rPr>
          <w:rFonts w:ascii="Arial" w:eastAsia="Arial" w:hAnsi="Arial" w:cs="Arial"/>
          <w:bCs/>
          <w:color w:val="000000"/>
        </w:rPr>
        <w:t>ekološke reprezentativnosti</w:t>
      </w:r>
      <w:r w:rsidRPr="00387C89">
        <w:rPr>
          <w:rFonts w:ascii="Arial" w:eastAsia="Arial" w:hAnsi="Arial" w:cs="Arial"/>
          <w:color w:val="000000"/>
        </w:rPr>
        <w:t xml:space="preserve">, zaštićena područja analizirana su u odnosu na pokrivač zemljišta prema podacima </w:t>
      </w:r>
      <w:r w:rsidRPr="00387C89">
        <w:rPr>
          <w:rFonts w:ascii="Arial" w:eastAsia="Arial" w:hAnsi="Arial" w:cs="Arial"/>
          <w:bCs/>
          <w:color w:val="000000"/>
        </w:rPr>
        <w:t>Kopernikus Globalne službe za zemljište (2020)</w:t>
      </w:r>
      <w:r w:rsidRPr="00387C89">
        <w:rPr>
          <w:rFonts w:ascii="Arial" w:eastAsia="Arial" w:hAnsi="Arial" w:cs="Arial"/>
          <w:color w:val="000000"/>
        </w:rPr>
        <w:t xml:space="preserve">. Prostorni odnos različitih tipova zemljišnog pokrivača unutar zaštićenih područja prikazan je u nastavku </w:t>
      </w:r>
      <w:r w:rsidRPr="00387C89">
        <w:rPr>
          <w:rFonts w:ascii="Arial" w:eastAsia="Arial" w:hAnsi="Arial" w:cs="Arial"/>
          <w:color w:val="000000"/>
          <w:sz w:val="24"/>
          <w:szCs w:val="24"/>
        </w:rPr>
        <w:t>(</w:t>
      </w:r>
      <w:r w:rsidRPr="00387C89">
        <w:rPr>
          <w:rFonts w:ascii="Arial" w:eastAsia="Arial" w:hAnsi="Arial" w:cs="Arial"/>
          <w:bCs/>
          <w:color w:val="000000"/>
          <w:sz w:val="24"/>
          <w:szCs w:val="24"/>
        </w:rPr>
        <w:t>Mapa 4</w:t>
      </w:r>
      <w:r w:rsidRPr="00387C89">
        <w:rPr>
          <w:rFonts w:ascii="Arial" w:eastAsia="Arial" w:hAnsi="Arial" w:cs="Arial"/>
          <w:color w:val="000000"/>
          <w:sz w:val="24"/>
          <w:szCs w:val="24"/>
        </w:rPr>
        <w:t>).</w:t>
      </w:r>
    </w:p>
    <w:p w:rsidR="00D14804" w:rsidRDefault="00D14804">
      <w:pPr>
        <w:spacing w:after="200" w:line="240" w:lineRule="auto"/>
        <w:jc w:val="both"/>
        <w:rPr>
          <w:rFonts w:ascii="Arial" w:eastAsia="Arial" w:hAnsi="Arial" w:cs="Arial"/>
        </w:rPr>
      </w:pPr>
    </w:p>
    <w:p w:rsidR="00D14804" w:rsidRDefault="00D14804">
      <w:pPr>
        <w:spacing w:after="200" w:line="240" w:lineRule="auto"/>
        <w:jc w:val="both"/>
        <w:rPr>
          <w:rFonts w:ascii="Arial" w:eastAsia="Arial" w:hAnsi="Arial" w:cs="Arial"/>
        </w:rPr>
      </w:pPr>
    </w:p>
    <w:p w:rsidR="00D14804" w:rsidRDefault="00E47E1B">
      <w:pPr>
        <w:spacing w:after="200" w:line="240" w:lineRule="auto"/>
        <w:jc w:val="both"/>
        <w:rPr>
          <w:rFonts w:ascii="Arial" w:eastAsia="Arial" w:hAnsi="Arial" w:cs="Arial"/>
        </w:rPr>
      </w:pPr>
      <w:r>
        <w:rPr>
          <w:rFonts w:ascii="Arial" w:eastAsia="Arial" w:hAnsi="Arial" w:cs="Arial"/>
          <w:noProof/>
        </w:rPr>
        <w:lastRenderedPageBreak/>
        <w:drawing>
          <wp:inline distT="0" distB="0" distL="0" distR="0">
            <wp:extent cx="5729605" cy="4053840"/>
            <wp:effectExtent l="0" t="0" r="0" b="0"/>
            <wp:docPr id="179557344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5729605" cy="4053840"/>
                    </a:xfrm>
                    <a:prstGeom prst="rect">
                      <a:avLst/>
                    </a:prstGeom>
                    <a:ln/>
                  </pic:spPr>
                </pic:pic>
              </a:graphicData>
            </a:graphic>
          </wp:inline>
        </w:drawing>
      </w:r>
    </w:p>
    <w:p w:rsidR="00D14804" w:rsidRPr="00387C89" w:rsidRDefault="00E47E1B">
      <w:pPr>
        <w:spacing w:before="240" w:after="240" w:line="240" w:lineRule="auto"/>
        <w:ind w:left="851" w:hanging="851"/>
        <w:jc w:val="both"/>
        <w:rPr>
          <w:rFonts w:ascii="Arial" w:eastAsia="Arial" w:hAnsi="Arial" w:cs="Arial"/>
          <w:bCs/>
          <w:sz w:val="20"/>
          <w:szCs w:val="20"/>
        </w:rPr>
      </w:pPr>
      <w:r>
        <w:rPr>
          <w:rFonts w:ascii="Arial" w:eastAsia="Arial" w:hAnsi="Arial" w:cs="Arial"/>
          <w:b/>
          <w:bCs/>
          <w:sz w:val="20"/>
          <w:szCs w:val="20"/>
        </w:rPr>
        <w:t xml:space="preserve">Mapa 4: </w:t>
      </w:r>
      <w:r w:rsidRPr="00387C89">
        <w:rPr>
          <w:rFonts w:ascii="Arial" w:eastAsia="Arial" w:hAnsi="Arial" w:cs="Arial"/>
          <w:bCs/>
          <w:sz w:val="20"/>
          <w:szCs w:val="20"/>
        </w:rPr>
        <w:t>Koperinkus mapa zastupljenosti različitih tipova zemljišnog pokrivača u zaštićenim područjima</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Ukupna </w:t>
      </w:r>
      <w:r w:rsidRPr="00387C89">
        <w:rPr>
          <w:rFonts w:ascii="Arial" w:eastAsia="Arial" w:hAnsi="Arial" w:cs="Arial"/>
          <w:bCs/>
          <w:color w:val="000000"/>
        </w:rPr>
        <w:t>šumska pokrivenost iznosi oko 61% teritorije</w:t>
      </w:r>
      <w:r w:rsidRPr="00387C89">
        <w:rPr>
          <w:rFonts w:ascii="Arial" w:eastAsia="Arial" w:hAnsi="Arial" w:cs="Arial"/>
          <w:bCs/>
          <w:color w:val="000000"/>
          <w:vertAlign w:val="superscript"/>
        </w:rPr>
        <w:footnoteReference w:id="6"/>
      </w:r>
      <w:r w:rsidRPr="00387C89">
        <w:rPr>
          <w:rFonts w:ascii="Arial" w:eastAsia="Arial" w:hAnsi="Arial" w:cs="Arial"/>
          <w:color w:val="000000"/>
        </w:rPr>
        <w:t xml:space="preserve">, pri čemu je </w:t>
      </w:r>
      <w:r w:rsidRPr="00387C89">
        <w:rPr>
          <w:rFonts w:ascii="Arial" w:eastAsia="Arial" w:hAnsi="Arial" w:cs="Arial"/>
          <w:bCs/>
          <w:color w:val="000000"/>
        </w:rPr>
        <w:t>1,2% u strogo zaštićenim</w:t>
      </w:r>
      <w:r w:rsidRPr="00387C89">
        <w:rPr>
          <w:rFonts w:ascii="Arial" w:eastAsia="Arial" w:hAnsi="Arial" w:cs="Arial"/>
          <w:color w:val="000000"/>
        </w:rPr>
        <w:t xml:space="preserve">, a </w:t>
      </w:r>
      <w:r w:rsidRPr="00387C89">
        <w:rPr>
          <w:rFonts w:ascii="Arial" w:eastAsia="Arial" w:hAnsi="Arial" w:cs="Arial"/>
          <w:bCs/>
          <w:color w:val="000000"/>
        </w:rPr>
        <w:t>7% u svim zaštićenim područjima</w:t>
      </w:r>
      <w:r w:rsidRPr="00387C89">
        <w:rPr>
          <w:rFonts w:ascii="Arial" w:eastAsia="Arial" w:hAnsi="Arial" w:cs="Arial"/>
          <w:color w:val="000000"/>
        </w:rPr>
        <w:t xml:space="preserve">. </w:t>
      </w:r>
      <w:r w:rsidRPr="00387C89">
        <w:rPr>
          <w:rFonts w:ascii="Arial" w:eastAsia="Arial" w:hAnsi="Arial" w:cs="Arial"/>
          <w:bCs/>
          <w:color w:val="000000"/>
        </w:rPr>
        <w:t>Močvare čine oko 0,4% teritorije</w:t>
      </w:r>
      <w:r w:rsidRPr="00387C89">
        <w:rPr>
          <w:rFonts w:ascii="Arial" w:eastAsia="Arial" w:hAnsi="Arial" w:cs="Arial"/>
          <w:color w:val="000000"/>
        </w:rPr>
        <w:t xml:space="preserve"> (0,37% pod zaštitom), dok </w:t>
      </w:r>
      <w:r w:rsidRPr="00387C89">
        <w:rPr>
          <w:rFonts w:ascii="Arial" w:eastAsia="Arial" w:hAnsi="Arial" w:cs="Arial"/>
          <w:bCs/>
          <w:color w:val="000000"/>
        </w:rPr>
        <w:t>površinske vode zauzimaju oko 2% teritorije</w:t>
      </w:r>
      <w:r w:rsidRPr="00387C89">
        <w:rPr>
          <w:rFonts w:ascii="Arial" w:eastAsia="Arial" w:hAnsi="Arial" w:cs="Arial"/>
          <w:color w:val="000000"/>
        </w:rPr>
        <w:t xml:space="preserve">, od čega je </w:t>
      </w:r>
      <w:r w:rsidRPr="00387C89">
        <w:rPr>
          <w:rFonts w:ascii="Arial" w:eastAsia="Arial" w:hAnsi="Arial" w:cs="Arial"/>
          <w:bCs/>
          <w:color w:val="000000"/>
        </w:rPr>
        <w:t>1,7% u zaštićenim područjima</w:t>
      </w:r>
      <w:r w:rsidRPr="00387C89">
        <w:rPr>
          <w:rFonts w:ascii="Arial" w:eastAsia="Arial" w:hAnsi="Arial" w:cs="Arial"/>
          <w:color w:val="000000"/>
        </w:rPr>
        <w:t>.</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Crna Gora još uvijek </w:t>
      </w:r>
      <w:r w:rsidRPr="00387C89">
        <w:rPr>
          <w:rFonts w:ascii="Arial" w:eastAsia="Arial" w:hAnsi="Arial" w:cs="Arial"/>
          <w:bCs/>
          <w:color w:val="000000"/>
        </w:rPr>
        <w:t>nema uspostavljenu Crvenu listu ekosistema</w:t>
      </w:r>
      <w:r w:rsidRPr="00387C89">
        <w:rPr>
          <w:rFonts w:ascii="Arial" w:eastAsia="Arial" w:hAnsi="Arial" w:cs="Arial"/>
          <w:color w:val="000000"/>
        </w:rPr>
        <w:t xml:space="preserve">, koja predstavlja ključni alat za procjenu reprezentativnosti i prioritizaciju zaštite. Njena izrada je u toku (pilot područje NP Skadarsko jezero), a završetak se očekuje </w:t>
      </w:r>
      <w:r w:rsidRPr="00387C89">
        <w:rPr>
          <w:rFonts w:ascii="Arial" w:eastAsia="Arial" w:hAnsi="Arial" w:cs="Arial"/>
          <w:bCs/>
          <w:color w:val="000000"/>
        </w:rPr>
        <w:t>do kraja 2026. godine</w:t>
      </w:r>
      <w:r w:rsidRPr="00387C89">
        <w:rPr>
          <w:rFonts w:ascii="Arial" w:eastAsia="Arial" w:hAnsi="Arial" w:cs="Arial"/>
          <w:color w:val="000000"/>
        </w:rPr>
        <w:t>.</w:t>
      </w:r>
    </w:p>
    <w:p w:rsidR="00D14804" w:rsidRPr="00387C89" w:rsidRDefault="00E47E1B">
      <w:pPr>
        <w:pBdr>
          <w:top w:val="nil"/>
          <w:left w:val="nil"/>
          <w:bottom w:val="nil"/>
          <w:right w:val="nil"/>
          <w:between w:val="nil"/>
        </w:pBdr>
        <w:spacing w:line="240" w:lineRule="auto"/>
        <w:jc w:val="both"/>
        <w:rPr>
          <w:rFonts w:ascii="Arial" w:eastAsia="Arial" w:hAnsi="Arial" w:cs="Arial"/>
          <w:color w:val="000000"/>
        </w:rPr>
      </w:pPr>
      <w:r w:rsidRPr="00387C89">
        <w:rPr>
          <w:rFonts w:ascii="Arial" w:eastAsia="Arial" w:hAnsi="Arial" w:cs="Arial"/>
          <w:color w:val="000000"/>
        </w:rPr>
        <w:t xml:space="preserve">Kao dodatni indikator korišćena su </w:t>
      </w:r>
      <w:r w:rsidRPr="00387C89">
        <w:rPr>
          <w:rFonts w:ascii="Arial" w:eastAsia="Arial" w:hAnsi="Arial" w:cs="Arial"/>
          <w:bCs/>
          <w:color w:val="000000"/>
        </w:rPr>
        <w:t>ključna područja biodiverziteta (KBA)</w:t>
      </w:r>
      <w:r w:rsidRPr="00387C89">
        <w:rPr>
          <w:rFonts w:ascii="Arial" w:eastAsia="Arial" w:hAnsi="Arial" w:cs="Arial"/>
          <w:color w:val="000000"/>
        </w:rPr>
        <w:t xml:space="preserve">. U Crnoj Gori je identifikovano </w:t>
      </w:r>
      <w:r w:rsidRPr="00387C89">
        <w:rPr>
          <w:rFonts w:ascii="Arial" w:eastAsia="Arial" w:hAnsi="Arial" w:cs="Arial"/>
          <w:bCs/>
          <w:color w:val="000000"/>
        </w:rPr>
        <w:t>19 KBA područja</w:t>
      </w:r>
      <w:r w:rsidRPr="00387C89">
        <w:rPr>
          <w:rFonts w:ascii="Arial" w:eastAsia="Arial" w:hAnsi="Arial" w:cs="Arial"/>
          <w:color w:val="000000"/>
        </w:rPr>
        <w:t xml:space="preserve">, koja obuhvataju oko </w:t>
      </w:r>
      <w:r w:rsidRPr="00387C89">
        <w:rPr>
          <w:rFonts w:ascii="Arial" w:eastAsia="Arial" w:hAnsi="Arial" w:cs="Arial"/>
          <w:bCs/>
          <w:color w:val="000000"/>
        </w:rPr>
        <w:t>11% ukupne teritorije države</w:t>
      </w:r>
      <w:r w:rsidRPr="00387C89">
        <w:rPr>
          <w:rFonts w:ascii="Arial" w:eastAsia="Arial" w:hAnsi="Arial" w:cs="Arial"/>
          <w:color w:val="000000"/>
        </w:rPr>
        <w:t xml:space="preserve">. Od toga je </w:t>
      </w:r>
      <w:r w:rsidRPr="00387C89">
        <w:rPr>
          <w:rFonts w:ascii="Arial" w:eastAsia="Arial" w:hAnsi="Arial" w:cs="Arial"/>
          <w:bCs/>
          <w:color w:val="000000"/>
        </w:rPr>
        <w:t>oko 6% već uključeno u mrežu zaštićenih područja</w:t>
      </w:r>
      <w:r w:rsidRPr="00387C89">
        <w:rPr>
          <w:rFonts w:ascii="Arial" w:eastAsia="Arial" w:hAnsi="Arial" w:cs="Arial"/>
          <w:color w:val="000000"/>
        </w:rPr>
        <w:t xml:space="preserve">, dok </w:t>
      </w:r>
      <w:r w:rsidRPr="00387C89">
        <w:rPr>
          <w:rFonts w:ascii="Arial" w:eastAsia="Arial" w:hAnsi="Arial" w:cs="Arial"/>
          <w:bCs/>
          <w:color w:val="000000"/>
        </w:rPr>
        <w:t>oko 5% ostaje izvan formalne zaštite</w:t>
      </w:r>
      <w:r w:rsidRPr="00387C89">
        <w:rPr>
          <w:rFonts w:ascii="Arial" w:eastAsia="Arial" w:hAnsi="Arial" w:cs="Arial"/>
          <w:color w:val="000000"/>
        </w:rPr>
        <w:t>, iako su neka predviđena kao potencijalna nova zaštićena područja. Prostorni raspored KBA područja prikazan je u nastavku (</w:t>
      </w:r>
      <w:r w:rsidRPr="00387C89">
        <w:rPr>
          <w:rFonts w:ascii="Arial" w:eastAsia="Arial" w:hAnsi="Arial" w:cs="Arial"/>
          <w:bCs/>
          <w:color w:val="000000"/>
        </w:rPr>
        <w:t>Mapa 5</w:t>
      </w:r>
      <w:r w:rsidRPr="00387C89">
        <w:rPr>
          <w:rFonts w:ascii="Arial" w:eastAsia="Arial" w:hAnsi="Arial" w:cs="Arial"/>
          <w:color w:val="000000"/>
        </w:rPr>
        <w:t>).</w:t>
      </w:r>
    </w:p>
    <w:p w:rsidR="00D14804" w:rsidRDefault="00E47E1B">
      <w:pPr>
        <w:spacing w:before="240" w:after="240" w:line="240" w:lineRule="auto"/>
        <w:jc w:val="both"/>
        <w:rPr>
          <w:rFonts w:ascii="Arial" w:eastAsia="Arial" w:hAnsi="Arial" w:cs="Arial"/>
          <w:b/>
          <w:bCs/>
        </w:rPr>
      </w:pPr>
      <w:r>
        <w:rPr>
          <w:rFonts w:ascii="Arial" w:eastAsia="Arial" w:hAnsi="Arial" w:cs="Arial"/>
          <w:b/>
          <w:bCs/>
        </w:rPr>
        <w:lastRenderedPageBreak/>
        <w:t xml:space="preserve"> </w:t>
      </w:r>
      <w:r>
        <w:rPr>
          <w:rFonts w:ascii="Arial" w:eastAsia="Arial" w:hAnsi="Arial" w:cs="Arial"/>
          <w:b/>
          <w:bCs/>
          <w:noProof/>
        </w:rPr>
        <w:drawing>
          <wp:inline distT="0" distB="0" distL="0" distR="0">
            <wp:extent cx="5729605" cy="4053840"/>
            <wp:effectExtent l="0" t="0" r="0" b="0"/>
            <wp:docPr id="17955734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5729605" cy="4053840"/>
                    </a:xfrm>
                    <a:prstGeom prst="rect">
                      <a:avLst/>
                    </a:prstGeom>
                    <a:ln/>
                  </pic:spPr>
                </pic:pic>
              </a:graphicData>
            </a:graphic>
          </wp:inline>
        </w:drawing>
      </w:r>
    </w:p>
    <w:p w:rsidR="00D14804" w:rsidRPr="00387C89" w:rsidRDefault="00E47E1B">
      <w:pPr>
        <w:spacing w:before="240" w:after="240" w:line="240" w:lineRule="auto"/>
        <w:jc w:val="both"/>
        <w:rPr>
          <w:rFonts w:ascii="Arial" w:eastAsia="Arial" w:hAnsi="Arial" w:cs="Arial"/>
          <w:bCs/>
          <w:sz w:val="20"/>
          <w:szCs w:val="20"/>
        </w:rPr>
      </w:pPr>
      <w:r>
        <w:rPr>
          <w:rFonts w:ascii="Arial" w:eastAsia="Arial" w:hAnsi="Arial" w:cs="Arial"/>
          <w:b/>
          <w:bCs/>
          <w:sz w:val="20"/>
          <w:szCs w:val="20"/>
        </w:rPr>
        <w:t xml:space="preserve">Mapa 5: </w:t>
      </w:r>
      <w:r w:rsidRPr="00387C89">
        <w:rPr>
          <w:rFonts w:ascii="Arial" w:eastAsia="Arial" w:hAnsi="Arial" w:cs="Arial"/>
          <w:bCs/>
          <w:sz w:val="20"/>
          <w:szCs w:val="20"/>
        </w:rPr>
        <w:t>KBA područja u odnosu na zaštićena područja u Crnoj Gori</w:t>
      </w:r>
    </w:p>
    <w:p w:rsidR="00D14804" w:rsidRPr="00387C89" w:rsidRDefault="00E47E1B">
      <w:pPr>
        <w:spacing w:before="240" w:after="0" w:line="240" w:lineRule="auto"/>
        <w:jc w:val="both"/>
        <w:rPr>
          <w:rFonts w:ascii="Arial" w:hAnsi="Arial" w:cs="Arial"/>
        </w:rPr>
      </w:pPr>
      <w:r w:rsidRPr="00387C89">
        <w:rPr>
          <w:rFonts w:ascii="Arial" w:eastAsia="Arial" w:hAnsi="Arial" w:cs="Arial"/>
        </w:rPr>
        <w:t xml:space="preserve">Sve navedeno ukazuje da, uprkos postojećoj mreži zaštite i planiranim proširenjima, </w:t>
      </w:r>
      <w:r w:rsidRPr="00387C89">
        <w:rPr>
          <w:rFonts w:ascii="Arial" w:eastAsia="Arial" w:hAnsi="Arial" w:cs="Arial"/>
          <w:bCs/>
        </w:rPr>
        <w:t>sistem zaštićenih područja u Crnoj Gori još uvijek nije dovoljno prostorno obuhvatan, reprezentativan niti razvijen u morskom dijelu</w:t>
      </w:r>
      <w:r w:rsidRPr="00387C89">
        <w:rPr>
          <w:rFonts w:ascii="Arial" w:eastAsia="Arial" w:hAnsi="Arial" w:cs="Arial"/>
        </w:rPr>
        <w:t xml:space="preserve">, te zahtijeva </w:t>
      </w:r>
      <w:r w:rsidRPr="00387C89">
        <w:rPr>
          <w:rFonts w:ascii="Arial" w:eastAsia="Arial" w:hAnsi="Arial" w:cs="Arial"/>
          <w:bCs/>
        </w:rPr>
        <w:t>dalje širenje, jačanje stroge zaštite, unapređenje ekološke povezanosti i uspostavljanje savremenih alata planiranja i monitoringa</w:t>
      </w:r>
      <w:r w:rsidRPr="00387C89">
        <w:rPr>
          <w:rFonts w:ascii="Arial" w:eastAsia="Arial" w:hAnsi="Arial" w:cs="Arial"/>
        </w:rPr>
        <w:t>, u skladu sa ciljevima KM-GBF-a i EU Strategije biodiverziteta</w:t>
      </w:r>
      <w:r w:rsidRPr="00387C89">
        <w:rPr>
          <w:rFonts w:ascii="Arial" w:hAnsi="Arial" w:cs="Arial"/>
        </w:rPr>
        <w:t>.</w:t>
      </w:r>
    </w:p>
    <w:p w:rsidR="00D14804" w:rsidRDefault="00E47E1B">
      <w:pPr>
        <w:spacing w:before="280" w:after="280" w:line="240" w:lineRule="auto"/>
        <w:jc w:val="both"/>
        <w:rPr>
          <w:rFonts w:ascii="Arial" w:eastAsia="Arial" w:hAnsi="Arial" w:cs="Arial"/>
          <w:b/>
          <w:bCs/>
        </w:rPr>
      </w:pPr>
      <w:r>
        <w:rPr>
          <w:rFonts w:ascii="Arial" w:eastAsia="Arial" w:hAnsi="Arial" w:cs="Arial"/>
          <w:b/>
          <w:bCs/>
        </w:rPr>
        <w:t>Područja od međunarodnog značaja</w:t>
      </w:r>
    </w:p>
    <w:p w:rsidR="00D14804" w:rsidRDefault="00E47E1B">
      <w:pPr>
        <w:spacing w:before="280" w:after="280" w:line="240" w:lineRule="auto"/>
        <w:jc w:val="both"/>
        <w:rPr>
          <w:rFonts w:ascii="Arial" w:eastAsia="Arial" w:hAnsi="Arial" w:cs="Arial"/>
        </w:rPr>
      </w:pPr>
      <w:r>
        <w:rPr>
          <w:rFonts w:ascii="Arial" w:eastAsia="Arial" w:hAnsi="Arial" w:cs="Arial"/>
        </w:rPr>
        <w:t>Crna Gora učestvuje u više međunarodnih mehanizama zaštite prirode i kulturno-prirodnog nasljeđa, kroz koje su pojedina područja prepoznata kao dobra od globalnog značaja. Ove dezignacije doprinose očuvanju biodiverziteta, jačanju međunarodne vidljivosti prirodnih vrijednosti države i unapređenju održivog upravljanja prostorom.</w:t>
      </w:r>
    </w:p>
    <w:p w:rsidR="00D14804" w:rsidRDefault="00E47E1B">
      <w:pPr>
        <w:spacing w:before="280" w:after="280" w:line="240" w:lineRule="auto"/>
        <w:jc w:val="both"/>
        <w:rPr>
          <w:rFonts w:ascii="Arial" w:eastAsia="Arial" w:hAnsi="Arial" w:cs="Arial"/>
        </w:rPr>
      </w:pPr>
      <w:r>
        <w:rPr>
          <w:rFonts w:ascii="Arial" w:eastAsia="Arial" w:hAnsi="Arial" w:cs="Arial"/>
          <w:b/>
          <w:bCs/>
        </w:rPr>
        <w:t>Kotorsko-risanski zaliv</w:t>
      </w:r>
      <w:r>
        <w:rPr>
          <w:rFonts w:ascii="Arial" w:eastAsia="Arial" w:hAnsi="Arial" w:cs="Arial"/>
        </w:rPr>
        <w:t xml:space="preserve">, površine oko 15.000 ha, upisan je 1979. godine na </w:t>
      </w:r>
      <w:r w:rsidRPr="00387C89">
        <w:rPr>
          <w:rFonts w:ascii="Arial" w:eastAsia="Arial" w:hAnsi="Arial" w:cs="Arial"/>
          <w:bCs/>
        </w:rPr>
        <w:t>UNESCO Listu svjetske baštine</w:t>
      </w:r>
      <w:r w:rsidRPr="00387C89">
        <w:rPr>
          <w:rFonts w:ascii="Arial" w:eastAsia="Arial" w:hAnsi="Arial" w:cs="Arial"/>
        </w:rPr>
        <w:t xml:space="preserve"> kao kombinovano kulturno-prirodno dobro, pr</w:t>
      </w:r>
      <w:r>
        <w:rPr>
          <w:rFonts w:ascii="Arial" w:eastAsia="Arial" w:hAnsi="Arial" w:cs="Arial"/>
        </w:rPr>
        <w:t>i čemu je izuzetna univerzalna vrijednost prvenstveno prepoznata kroz kulturne kriterijume. Upis se zasniva na očuvanoj srednjovjekovnoj urbanoj cjelini Kotora, fortifikacionom sistemu i dugotrajnoj interakciji prirodnog okruženja i ljudskih zajednica, dok prirodne vrijednosti zaliva nijesu formalno valorizovane kroz prirodne UNESCO kriterijume.</w:t>
      </w:r>
    </w:p>
    <w:p w:rsidR="00D14804" w:rsidRDefault="00E47E1B">
      <w:pPr>
        <w:spacing w:before="280" w:after="280" w:line="240" w:lineRule="auto"/>
        <w:jc w:val="both"/>
        <w:rPr>
          <w:rFonts w:ascii="Arial" w:eastAsia="Arial" w:hAnsi="Arial" w:cs="Arial"/>
        </w:rPr>
      </w:pPr>
      <w:r>
        <w:rPr>
          <w:rFonts w:ascii="Arial" w:eastAsia="Arial" w:hAnsi="Arial" w:cs="Arial"/>
          <w:b/>
          <w:bCs/>
        </w:rPr>
        <w:t>Nacionalni park Durmitor</w:t>
      </w:r>
      <w:r>
        <w:rPr>
          <w:rFonts w:ascii="Arial" w:eastAsia="Arial" w:hAnsi="Arial" w:cs="Arial"/>
        </w:rPr>
        <w:t xml:space="preserve"> predstavlja najznačajnije prirodno područje Crne Gore sa međunarodnim statusom i upisan je 1980. godine </w:t>
      </w:r>
      <w:r w:rsidRPr="00387C89">
        <w:rPr>
          <w:rFonts w:ascii="Arial" w:eastAsia="Arial" w:hAnsi="Arial" w:cs="Arial"/>
          <w:bCs/>
        </w:rPr>
        <w:t>na UNESCO Listu svjetske baštine</w:t>
      </w:r>
      <w:r>
        <w:rPr>
          <w:rFonts w:ascii="Arial" w:eastAsia="Arial" w:hAnsi="Arial" w:cs="Arial"/>
        </w:rPr>
        <w:t xml:space="preserve"> kao prirodno dobro. Durmitor ispunjava tri prirodna kriterijuma: izuzetne prirodne ljepote i estetske vrijednosti planinskog masiva, glečerskih jezera i kanjona rijeke Tare; izuzetne geološke i </w:t>
      </w:r>
      <w:r>
        <w:rPr>
          <w:rFonts w:ascii="Arial" w:eastAsia="Arial" w:hAnsi="Arial" w:cs="Arial"/>
        </w:rPr>
        <w:lastRenderedPageBreak/>
        <w:t>geomorfološke karakteristike reljefa glacijalnog porijekla; kao i očuvane ekološke i biološke procese, uključujući prašumske komplekse i staništa endemičnih i reliktnih vrsta.</w:t>
      </w:r>
    </w:p>
    <w:p w:rsidR="00D14804" w:rsidRDefault="00E47E1B">
      <w:pPr>
        <w:spacing w:before="280" w:after="280" w:line="240" w:lineRule="auto"/>
        <w:jc w:val="both"/>
        <w:rPr>
          <w:rFonts w:ascii="Arial" w:eastAsia="Arial" w:hAnsi="Arial" w:cs="Arial"/>
        </w:rPr>
      </w:pPr>
      <w:r w:rsidRPr="00387C89">
        <w:rPr>
          <w:rFonts w:ascii="Arial" w:eastAsia="Arial" w:hAnsi="Arial" w:cs="Arial"/>
          <w:bCs/>
        </w:rPr>
        <w:t>U okviru UNESCO programa</w:t>
      </w:r>
      <w:r>
        <w:rPr>
          <w:rFonts w:ascii="Arial" w:eastAsia="Arial" w:hAnsi="Arial" w:cs="Arial"/>
          <w:b/>
          <w:bCs/>
        </w:rPr>
        <w:t xml:space="preserve"> „Čovjek i biosfera“ (MAB)</w:t>
      </w:r>
      <w:r>
        <w:rPr>
          <w:rFonts w:ascii="Arial" w:eastAsia="Arial" w:hAnsi="Arial" w:cs="Arial"/>
        </w:rPr>
        <w:t xml:space="preserve">, </w:t>
      </w:r>
      <w:r w:rsidRPr="00387C89">
        <w:rPr>
          <w:rFonts w:ascii="Arial" w:eastAsia="Arial" w:hAnsi="Arial" w:cs="Arial"/>
        </w:rPr>
        <w:t xml:space="preserve">rezervat biosfere </w:t>
      </w:r>
      <w:r w:rsidRPr="00387C89">
        <w:rPr>
          <w:rFonts w:ascii="Arial" w:eastAsia="Arial" w:hAnsi="Arial" w:cs="Arial"/>
          <w:bCs/>
        </w:rPr>
        <w:t>basena rijeke Tare</w:t>
      </w:r>
      <w:r w:rsidRPr="00387C89">
        <w:rPr>
          <w:rFonts w:ascii="Arial" w:eastAsia="Arial" w:hAnsi="Arial" w:cs="Arial"/>
        </w:rPr>
        <w:t>, površine 182.899 ha, upisan je 1977. godine i pr</w:t>
      </w:r>
      <w:r>
        <w:rPr>
          <w:rFonts w:ascii="Arial" w:eastAsia="Arial" w:hAnsi="Arial" w:cs="Arial"/>
        </w:rPr>
        <w:t>edstavlja jedno od najstarijih međunarodno priznatih područja ove vrste. Ovaj rezervat ima funkciju integrisanog očuvanja biodiverziteta, podrške održivom razvoju lokalnih zajednica i obezbjeđivanja prostora za istraživanje, monitoring i edukaciju. Efikasno upravljanje zahtijeva jasno zoniranje (jezgro, tampon i tranzicione zone), kao i unapređenje međusektorske koordinacije.</w:t>
      </w:r>
    </w:p>
    <w:p w:rsidR="00D14804" w:rsidRDefault="00E47E1B">
      <w:pPr>
        <w:spacing w:before="280" w:after="280" w:line="240" w:lineRule="auto"/>
        <w:jc w:val="both"/>
        <w:rPr>
          <w:rFonts w:ascii="Arial" w:eastAsia="Arial" w:hAnsi="Arial" w:cs="Arial"/>
        </w:rPr>
      </w:pPr>
      <w:r w:rsidRPr="00387C89">
        <w:rPr>
          <w:rFonts w:ascii="Arial" w:eastAsia="Arial" w:hAnsi="Arial" w:cs="Arial"/>
          <w:bCs/>
        </w:rPr>
        <w:t>Crna Gora je 2023. godine nominovala sliv</w:t>
      </w:r>
      <w:r>
        <w:rPr>
          <w:rFonts w:ascii="Arial" w:eastAsia="Arial" w:hAnsi="Arial" w:cs="Arial"/>
          <w:b/>
          <w:bCs/>
        </w:rPr>
        <w:t xml:space="preserve"> Skadarskog jezera </w:t>
      </w:r>
      <w:r w:rsidRPr="00387C89">
        <w:rPr>
          <w:rFonts w:ascii="Arial" w:eastAsia="Arial" w:hAnsi="Arial" w:cs="Arial"/>
          <w:bCs/>
        </w:rPr>
        <w:t>za upis na Listu rezervata biosfere</w:t>
      </w:r>
      <w:r w:rsidRPr="00387C89">
        <w:rPr>
          <w:rFonts w:ascii="Arial" w:eastAsia="Arial" w:hAnsi="Arial" w:cs="Arial"/>
        </w:rPr>
        <w:t>, sa potencijalom da postane prvo prekogranično područje ove</w:t>
      </w:r>
      <w:r>
        <w:rPr>
          <w:rFonts w:ascii="Arial" w:eastAsia="Arial" w:hAnsi="Arial" w:cs="Arial"/>
        </w:rPr>
        <w:t xml:space="preserve"> vrste u državi.</w:t>
      </w:r>
    </w:p>
    <w:p w:rsidR="00D14804" w:rsidRPr="00230B95" w:rsidRDefault="00E47E1B">
      <w:pPr>
        <w:spacing w:before="280" w:after="280" w:line="240" w:lineRule="auto"/>
        <w:jc w:val="both"/>
        <w:rPr>
          <w:rFonts w:ascii="Arial" w:eastAsia="Arial" w:hAnsi="Arial" w:cs="Arial"/>
        </w:rPr>
      </w:pPr>
      <w:r>
        <w:rPr>
          <w:rFonts w:ascii="Arial" w:eastAsia="Arial" w:hAnsi="Arial" w:cs="Arial"/>
        </w:rPr>
        <w:t xml:space="preserve">U okviru </w:t>
      </w:r>
      <w:r>
        <w:rPr>
          <w:rFonts w:ascii="Arial" w:eastAsia="Arial" w:hAnsi="Arial" w:cs="Arial"/>
          <w:b/>
          <w:bCs/>
        </w:rPr>
        <w:t xml:space="preserve">Ramsarske konvencije </w:t>
      </w:r>
      <w:r w:rsidRPr="00230B95">
        <w:rPr>
          <w:rFonts w:ascii="Arial" w:eastAsia="Arial" w:hAnsi="Arial" w:cs="Arial"/>
          <w:bCs/>
        </w:rPr>
        <w:t>o močvarama od međunarodnog značaja proglašena su tri područja: Skadarsko jezero (1995; 20.000 ha), Tivatska solila (2013; 150 ha) i Ulcinjska solana (2019; 1.477 ha)</w:t>
      </w:r>
      <w:r w:rsidRPr="00230B95">
        <w:rPr>
          <w:rFonts w:ascii="Arial" w:eastAsia="Arial" w:hAnsi="Arial" w:cs="Arial"/>
        </w:rPr>
        <w:t>. Ova područja imaju ključnu ulogu u očuvanju vlažnih staništa i migratornih ptica, kao i u pružanju važnih ekosistemskih usluga, uključujući regulaciju voda i podršku lokalnim ekonomijama.</w:t>
      </w:r>
    </w:p>
    <w:p w:rsidR="00D14804" w:rsidRDefault="00E47E1B">
      <w:pPr>
        <w:pStyle w:val="Heading4"/>
        <w:rPr>
          <w:rFonts w:ascii="Arial" w:eastAsia="Arial" w:hAnsi="Arial" w:cs="Arial"/>
          <w:color w:val="000000"/>
        </w:rPr>
      </w:pPr>
      <w:r>
        <w:rPr>
          <w:rFonts w:ascii="Arial" w:eastAsia="Arial" w:hAnsi="Arial" w:cs="Arial"/>
          <w:color w:val="000000"/>
        </w:rPr>
        <w:t>Emerald područja i Natura 2000</w:t>
      </w:r>
    </w:p>
    <w:p w:rsidR="00230B95" w:rsidRPr="00230B95" w:rsidRDefault="00230B95" w:rsidP="00230B95"/>
    <w:p w:rsidR="00D14804" w:rsidRPr="00230B95" w:rsidRDefault="00E47E1B">
      <w:pPr>
        <w:pBdr>
          <w:top w:val="nil"/>
          <w:left w:val="nil"/>
          <w:bottom w:val="nil"/>
          <w:right w:val="nil"/>
          <w:between w:val="nil"/>
        </w:pBdr>
        <w:spacing w:line="240" w:lineRule="auto"/>
        <w:jc w:val="both"/>
        <w:rPr>
          <w:rFonts w:ascii="Arial" w:eastAsia="Arial" w:hAnsi="Arial" w:cs="Arial"/>
          <w:color w:val="000000"/>
        </w:rPr>
      </w:pPr>
      <w:r w:rsidRPr="00230B95">
        <w:rPr>
          <w:rFonts w:ascii="Arial" w:eastAsia="Arial" w:hAnsi="Arial" w:cs="Arial"/>
          <w:b/>
          <w:color w:val="000000"/>
        </w:rPr>
        <w:t>Emerald područja</w:t>
      </w:r>
      <w:r>
        <w:rPr>
          <w:rFonts w:ascii="Arial" w:eastAsia="Arial" w:hAnsi="Arial" w:cs="Arial"/>
          <w:color w:val="000000"/>
        </w:rPr>
        <w:t xml:space="preserve">, </w:t>
      </w:r>
      <w:r w:rsidRPr="00230B95">
        <w:rPr>
          <w:rFonts w:ascii="Arial" w:eastAsia="Arial" w:hAnsi="Arial" w:cs="Arial"/>
          <w:color w:val="000000"/>
        </w:rPr>
        <w:t xml:space="preserve">identifikovana u skladu sa Bernskom konvencijom o očuvanju evropskih prirodnih staništa i divljeg biljnog i životinjskog svijeta, predstavljaju osnovu za uspostavljanje buduće </w:t>
      </w:r>
      <w:r w:rsidRPr="00B176AC">
        <w:rPr>
          <w:rFonts w:ascii="Arial" w:eastAsia="Arial" w:hAnsi="Arial" w:cs="Arial"/>
          <w:b/>
          <w:color w:val="000000"/>
        </w:rPr>
        <w:t xml:space="preserve">ekološke mreže </w:t>
      </w:r>
      <w:r w:rsidRPr="00B176AC">
        <w:rPr>
          <w:rFonts w:ascii="Arial" w:eastAsia="Arial" w:hAnsi="Arial" w:cs="Arial"/>
          <w:b/>
          <w:bCs/>
          <w:color w:val="000000"/>
        </w:rPr>
        <w:t>Natura 2000</w:t>
      </w:r>
      <w:r w:rsidRPr="00230B95">
        <w:rPr>
          <w:rFonts w:ascii="Arial" w:eastAsia="Arial" w:hAnsi="Arial" w:cs="Arial"/>
          <w:color w:val="000000"/>
        </w:rPr>
        <w:t xml:space="preserve"> u Crnoj Gori. Do sada je definisana lista od </w:t>
      </w:r>
      <w:r w:rsidRPr="00230B95">
        <w:rPr>
          <w:rFonts w:ascii="Arial" w:eastAsia="Arial" w:hAnsi="Arial" w:cs="Arial"/>
          <w:bCs/>
          <w:color w:val="000000"/>
        </w:rPr>
        <w:t>32 kandidata za Emerald područja (ASCIs)</w:t>
      </w:r>
      <w:r w:rsidRPr="00230B95">
        <w:rPr>
          <w:rFonts w:ascii="Arial" w:eastAsia="Arial" w:hAnsi="Arial" w:cs="Arial"/>
          <w:color w:val="000000"/>
        </w:rPr>
        <w:t xml:space="preserve">, koja u okvirnim granicama obuhvataju </w:t>
      </w:r>
      <w:r w:rsidRPr="00230B95">
        <w:rPr>
          <w:rFonts w:ascii="Arial" w:eastAsia="Arial" w:hAnsi="Arial" w:cs="Arial"/>
          <w:bCs/>
          <w:color w:val="000000"/>
        </w:rPr>
        <w:t>240.077,1 ha</w:t>
      </w:r>
      <w:r w:rsidRPr="00230B95">
        <w:rPr>
          <w:rFonts w:ascii="Arial" w:eastAsia="Arial" w:hAnsi="Arial" w:cs="Arial"/>
          <w:color w:val="000000"/>
        </w:rPr>
        <w:t xml:space="preserve">, odnosno oko </w:t>
      </w:r>
      <w:r w:rsidRPr="00230B95">
        <w:rPr>
          <w:rFonts w:ascii="Arial" w:eastAsia="Arial" w:hAnsi="Arial" w:cs="Arial"/>
          <w:bCs/>
          <w:color w:val="000000"/>
        </w:rPr>
        <w:t>17% teritorije države</w:t>
      </w:r>
      <w:r w:rsidRPr="00230B95">
        <w:rPr>
          <w:rFonts w:ascii="Arial" w:eastAsia="Arial" w:hAnsi="Arial" w:cs="Arial"/>
          <w:color w:val="000000"/>
        </w:rPr>
        <w:t>. Dio ovih područja već se nalazi unutar postojećih ili planiranih zaštićenih područja.</w:t>
      </w:r>
    </w:p>
    <w:p w:rsidR="00D14804" w:rsidRPr="00230B95" w:rsidRDefault="00E47E1B">
      <w:pPr>
        <w:pBdr>
          <w:top w:val="nil"/>
          <w:left w:val="nil"/>
          <w:bottom w:val="nil"/>
          <w:right w:val="nil"/>
          <w:between w:val="nil"/>
        </w:pBdr>
        <w:spacing w:line="240" w:lineRule="auto"/>
        <w:jc w:val="both"/>
        <w:rPr>
          <w:rFonts w:ascii="Arial" w:eastAsia="Arial" w:hAnsi="Arial" w:cs="Arial"/>
          <w:color w:val="000000"/>
        </w:rPr>
      </w:pPr>
      <w:r w:rsidRPr="00230B95">
        <w:rPr>
          <w:rFonts w:ascii="Arial" w:eastAsia="Arial" w:hAnsi="Arial" w:cs="Arial"/>
          <w:color w:val="000000"/>
        </w:rPr>
        <w:t xml:space="preserve">Za Emerald lokalitete koji obuhvataju </w:t>
      </w:r>
      <w:r w:rsidRPr="00230B95">
        <w:rPr>
          <w:rFonts w:ascii="Arial" w:eastAsia="Arial" w:hAnsi="Arial" w:cs="Arial"/>
          <w:bCs/>
          <w:color w:val="000000"/>
        </w:rPr>
        <w:t>šumska staništa</w:t>
      </w:r>
      <w:r w:rsidRPr="00230B95">
        <w:rPr>
          <w:rFonts w:ascii="Arial" w:eastAsia="Arial" w:hAnsi="Arial" w:cs="Arial"/>
          <w:color w:val="000000"/>
        </w:rPr>
        <w:t xml:space="preserve"> posebno se naglašava potreba uvođenja </w:t>
      </w:r>
      <w:r w:rsidRPr="00230B95">
        <w:rPr>
          <w:rFonts w:ascii="Arial" w:eastAsia="Arial" w:hAnsi="Arial" w:cs="Arial"/>
          <w:bCs/>
          <w:color w:val="000000"/>
        </w:rPr>
        <w:t>strožih mjera zaštite, ograničenja korišćenja šuma i kontinuirane saradnje sa stručnjacima</w:t>
      </w:r>
      <w:r w:rsidRPr="00230B95">
        <w:rPr>
          <w:rFonts w:ascii="Arial" w:eastAsia="Arial" w:hAnsi="Arial" w:cs="Arial"/>
          <w:color w:val="000000"/>
        </w:rPr>
        <w:t>, radi očuvanja staništa i biodiverziteta.</w:t>
      </w:r>
    </w:p>
    <w:p w:rsidR="00D14804" w:rsidRPr="00230B95" w:rsidRDefault="00E47E1B">
      <w:pPr>
        <w:pBdr>
          <w:top w:val="nil"/>
          <w:left w:val="nil"/>
          <w:bottom w:val="nil"/>
          <w:right w:val="nil"/>
          <w:between w:val="nil"/>
        </w:pBdr>
        <w:spacing w:line="240" w:lineRule="auto"/>
        <w:jc w:val="both"/>
        <w:rPr>
          <w:rFonts w:ascii="Arial" w:eastAsia="Arial" w:hAnsi="Arial" w:cs="Arial"/>
          <w:color w:val="000000"/>
        </w:rPr>
      </w:pPr>
      <w:r w:rsidRPr="00230B95">
        <w:rPr>
          <w:rFonts w:ascii="Arial" w:eastAsia="Arial" w:hAnsi="Arial" w:cs="Arial"/>
          <w:color w:val="000000"/>
        </w:rPr>
        <w:t xml:space="preserve">Zakonom o zaštiti prirode ekološka mreža </w:t>
      </w:r>
      <w:r w:rsidRPr="00230B95">
        <w:rPr>
          <w:rFonts w:ascii="Arial" w:eastAsia="Arial" w:hAnsi="Arial" w:cs="Arial"/>
          <w:bCs/>
          <w:color w:val="000000"/>
        </w:rPr>
        <w:t>Natura 2000</w:t>
      </w:r>
      <w:r w:rsidRPr="00230B95">
        <w:rPr>
          <w:rFonts w:ascii="Arial" w:eastAsia="Arial" w:hAnsi="Arial" w:cs="Arial"/>
          <w:color w:val="000000"/>
        </w:rPr>
        <w:t xml:space="preserve"> definisana je kao skup područja namijenjenih očuvanju stanišnih tipova i vrsta od interesa za Crnu Goru i Evropsku uniju, utvrđenih u skladu sa zakonom i potvrđenim međunarodnim ugovorima.</w:t>
      </w:r>
    </w:p>
    <w:p w:rsidR="00D14804" w:rsidRPr="00230B95" w:rsidRDefault="00E47E1B">
      <w:pPr>
        <w:pBdr>
          <w:top w:val="nil"/>
          <w:left w:val="nil"/>
          <w:bottom w:val="nil"/>
          <w:right w:val="nil"/>
          <w:between w:val="nil"/>
        </w:pBdr>
        <w:spacing w:line="240" w:lineRule="auto"/>
        <w:jc w:val="both"/>
        <w:rPr>
          <w:rFonts w:ascii="Arial" w:eastAsia="Arial" w:hAnsi="Arial" w:cs="Arial"/>
          <w:color w:val="000000"/>
        </w:rPr>
      </w:pPr>
      <w:r w:rsidRPr="00230B95">
        <w:rPr>
          <w:rFonts w:ascii="Arial" w:eastAsia="Arial" w:hAnsi="Arial" w:cs="Arial"/>
          <w:color w:val="000000"/>
        </w:rPr>
        <w:t xml:space="preserve">Crna Gora od </w:t>
      </w:r>
      <w:r w:rsidRPr="00230B95">
        <w:rPr>
          <w:rFonts w:ascii="Arial" w:eastAsia="Arial" w:hAnsi="Arial" w:cs="Arial"/>
          <w:bCs/>
          <w:color w:val="000000"/>
        </w:rPr>
        <w:t>2007. godine</w:t>
      </w:r>
      <w:r w:rsidRPr="00230B95">
        <w:rPr>
          <w:rFonts w:ascii="Arial" w:eastAsia="Arial" w:hAnsi="Arial" w:cs="Arial"/>
          <w:color w:val="000000"/>
        </w:rPr>
        <w:t xml:space="preserve"> sprovodi aktivnosti identifikacije i procjene potencijalnih Natura 2000 područja, dok se od </w:t>
      </w:r>
      <w:r w:rsidRPr="00230B95">
        <w:rPr>
          <w:rFonts w:ascii="Arial" w:eastAsia="Arial" w:hAnsi="Arial" w:cs="Arial"/>
          <w:bCs/>
          <w:color w:val="000000"/>
        </w:rPr>
        <w:t>2011. godine</w:t>
      </w:r>
      <w:r w:rsidRPr="00230B95">
        <w:rPr>
          <w:rFonts w:ascii="Arial" w:eastAsia="Arial" w:hAnsi="Arial" w:cs="Arial"/>
          <w:color w:val="000000"/>
        </w:rPr>
        <w:t xml:space="preserve"> realizuju brojni projekti mapiranja i procjene staništa i vrsta, finansirani iz sredstava EU, državnog budžeta i uz podršku NVO sektora. Proces integracije Natura 2000 u nacionalne politike i jačanja institucionalnih kapaciteta je i dalje u toku.</w:t>
      </w:r>
    </w:p>
    <w:p w:rsidR="00D14804" w:rsidRPr="00230B95" w:rsidRDefault="00E47E1B">
      <w:pPr>
        <w:pBdr>
          <w:top w:val="nil"/>
          <w:left w:val="nil"/>
          <w:bottom w:val="nil"/>
          <w:right w:val="nil"/>
          <w:between w:val="nil"/>
        </w:pBdr>
        <w:spacing w:line="240" w:lineRule="auto"/>
        <w:jc w:val="both"/>
        <w:rPr>
          <w:rFonts w:ascii="Arial" w:eastAsia="Arial" w:hAnsi="Arial" w:cs="Arial"/>
          <w:color w:val="000000"/>
        </w:rPr>
      </w:pPr>
      <w:r w:rsidRPr="00230B95">
        <w:rPr>
          <w:rFonts w:ascii="Arial" w:eastAsia="Arial" w:hAnsi="Arial" w:cs="Arial"/>
          <w:color w:val="000000"/>
        </w:rPr>
        <w:t xml:space="preserve">Prema informacijama Agencije za zaštitu životne sredine, očekuje se da </w:t>
      </w:r>
      <w:r w:rsidRPr="00230B95">
        <w:rPr>
          <w:rFonts w:ascii="Arial" w:eastAsia="Arial" w:hAnsi="Arial" w:cs="Arial"/>
          <w:bCs/>
          <w:color w:val="000000"/>
        </w:rPr>
        <w:t>predlog kopnenog dijela ekološke mreže</w:t>
      </w:r>
      <w:r w:rsidRPr="00230B95">
        <w:rPr>
          <w:rFonts w:ascii="Arial" w:eastAsia="Arial" w:hAnsi="Arial" w:cs="Arial"/>
          <w:color w:val="000000"/>
        </w:rPr>
        <w:t xml:space="preserve"> bude pripremljen </w:t>
      </w:r>
      <w:r w:rsidRPr="00230B95">
        <w:rPr>
          <w:rFonts w:ascii="Arial" w:eastAsia="Arial" w:hAnsi="Arial" w:cs="Arial"/>
          <w:bCs/>
          <w:color w:val="000000"/>
        </w:rPr>
        <w:t>do sredine 2026. godine</w:t>
      </w:r>
      <w:r w:rsidRPr="00230B95">
        <w:rPr>
          <w:rFonts w:ascii="Arial" w:eastAsia="Arial" w:hAnsi="Arial" w:cs="Arial"/>
          <w:color w:val="000000"/>
        </w:rPr>
        <w:t xml:space="preserve">, dok se </w:t>
      </w:r>
      <w:r w:rsidRPr="00230B95">
        <w:rPr>
          <w:rFonts w:ascii="Arial" w:eastAsia="Arial" w:hAnsi="Arial" w:cs="Arial"/>
          <w:bCs/>
          <w:color w:val="000000"/>
        </w:rPr>
        <w:t>predlog za morski dio</w:t>
      </w:r>
      <w:r w:rsidRPr="00230B95">
        <w:rPr>
          <w:rFonts w:ascii="Arial" w:eastAsia="Arial" w:hAnsi="Arial" w:cs="Arial"/>
          <w:color w:val="000000"/>
        </w:rPr>
        <w:t xml:space="preserve"> očekuje </w:t>
      </w:r>
      <w:r w:rsidRPr="00230B95">
        <w:rPr>
          <w:rFonts w:ascii="Arial" w:eastAsia="Arial" w:hAnsi="Arial" w:cs="Arial"/>
          <w:bCs/>
          <w:color w:val="000000"/>
        </w:rPr>
        <w:t>tokom 2027. godine</w:t>
      </w:r>
      <w:r w:rsidRPr="00230B95">
        <w:rPr>
          <w:rFonts w:ascii="Arial" w:eastAsia="Arial" w:hAnsi="Arial" w:cs="Arial"/>
          <w:color w:val="000000"/>
        </w:rPr>
        <w:t xml:space="preserve">. U ovom trenutku </w:t>
      </w:r>
      <w:r w:rsidRPr="00230B95">
        <w:rPr>
          <w:rFonts w:ascii="Arial" w:eastAsia="Arial" w:hAnsi="Arial" w:cs="Arial"/>
          <w:bCs/>
          <w:color w:val="000000"/>
        </w:rPr>
        <w:t>nije dostupna objedinjena procjena ukupnog potencijalnog teritorijalnog obuhvata Natura 2000 mreže</w:t>
      </w:r>
      <w:r w:rsidRPr="00230B95">
        <w:rPr>
          <w:rFonts w:ascii="Arial" w:eastAsia="Arial" w:hAnsi="Arial" w:cs="Arial"/>
          <w:color w:val="000000"/>
        </w:rPr>
        <w:t xml:space="preserve"> u Crnoj Gori</w:t>
      </w:r>
      <w:r w:rsidR="00230B95">
        <w:rPr>
          <w:rFonts w:ascii="Arial" w:eastAsia="Arial" w:hAnsi="Arial" w:cs="Arial"/>
          <w:color w:val="000000"/>
        </w:rPr>
        <w:t>.</w:t>
      </w:r>
    </w:p>
    <w:p w:rsidR="00D14804" w:rsidRDefault="00D14804">
      <w:pPr>
        <w:pStyle w:val="Heading2"/>
        <w:jc w:val="both"/>
        <w:rPr>
          <w:rFonts w:ascii="Arial" w:eastAsia="Arial" w:hAnsi="Arial" w:cs="Arial"/>
          <w:sz w:val="22"/>
          <w:szCs w:val="22"/>
        </w:rPr>
      </w:pPr>
    </w:p>
    <w:p w:rsidR="00D14804" w:rsidRDefault="00D14804">
      <w:pPr>
        <w:pStyle w:val="Heading2"/>
        <w:jc w:val="both"/>
        <w:rPr>
          <w:rFonts w:ascii="Arial" w:eastAsia="Arial" w:hAnsi="Arial" w:cs="Arial"/>
          <w:sz w:val="22"/>
          <w:szCs w:val="22"/>
        </w:rPr>
      </w:pPr>
    </w:p>
    <w:p w:rsidR="00D14804" w:rsidRDefault="00D14804">
      <w:pPr>
        <w:pStyle w:val="Heading2"/>
        <w:jc w:val="both"/>
        <w:rPr>
          <w:rFonts w:ascii="Arial" w:eastAsia="Arial" w:hAnsi="Arial" w:cs="Arial"/>
          <w:sz w:val="22"/>
          <w:szCs w:val="22"/>
        </w:rPr>
      </w:pPr>
    </w:p>
    <w:p w:rsidR="00D14804" w:rsidRDefault="00D14804"/>
    <w:p w:rsidR="00D14804" w:rsidRDefault="00D14804"/>
    <w:p w:rsidR="00D14804" w:rsidRDefault="00B176AC">
      <w:pPr>
        <w:pStyle w:val="Heading2"/>
        <w:rPr>
          <w:rFonts w:ascii="Arial" w:eastAsia="Arial" w:hAnsi="Arial" w:cs="Arial"/>
          <w:sz w:val="32"/>
          <w:szCs w:val="32"/>
        </w:rPr>
      </w:pPr>
      <w:bookmarkStart w:id="21" w:name="_Toc222754370"/>
      <w:r>
        <w:rPr>
          <w:rFonts w:ascii="Arial" w:eastAsia="Arial" w:hAnsi="Arial" w:cs="Arial"/>
          <w:sz w:val="32"/>
          <w:szCs w:val="32"/>
        </w:rPr>
        <w:lastRenderedPageBreak/>
        <w:t xml:space="preserve">2.3 </w:t>
      </w:r>
      <w:r w:rsidR="00E47E1B">
        <w:rPr>
          <w:rFonts w:ascii="Arial" w:eastAsia="Arial" w:hAnsi="Arial" w:cs="Arial"/>
          <w:sz w:val="32"/>
          <w:szCs w:val="32"/>
        </w:rPr>
        <w:t>Analiza postojećih problema i prioritizacija ključnih pitanja</w:t>
      </w:r>
      <w:bookmarkEnd w:id="21"/>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Analiza problema i prioritizacija ključnih pitanja u okviru izrade </w:t>
      </w:r>
      <w:r w:rsidRPr="00B176AC">
        <w:rPr>
          <w:rFonts w:ascii="Arial" w:eastAsia="Arial" w:hAnsi="Arial" w:cs="Arial"/>
          <w:bCs/>
        </w:rPr>
        <w:t>NSBAP</w:t>
      </w:r>
      <w:r w:rsidRPr="00B176AC">
        <w:rPr>
          <w:rFonts w:ascii="Arial" w:eastAsia="Arial" w:hAnsi="Arial" w:cs="Arial"/>
        </w:rPr>
        <w:t xml:space="preserve"> sprovedene su kroz kombinaciju </w:t>
      </w:r>
      <w:r w:rsidRPr="00B176AC">
        <w:rPr>
          <w:rFonts w:ascii="Arial" w:eastAsia="Arial" w:hAnsi="Arial" w:cs="Arial"/>
          <w:bCs/>
        </w:rPr>
        <w:t>stručne procjene</w:t>
      </w:r>
      <w:r w:rsidRPr="00B176AC">
        <w:rPr>
          <w:rFonts w:ascii="Arial" w:eastAsia="Arial" w:hAnsi="Arial" w:cs="Arial"/>
        </w:rPr>
        <w:t xml:space="preserve"> i </w:t>
      </w:r>
      <w:r w:rsidRPr="00B176AC">
        <w:rPr>
          <w:rFonts w:ascii="Arial" w:eastAsia="Arial" w:hAnsi="Arial" w:cs="Arial"/>
          <w:bCs/>
        </w:rPr>
        <w:t>participativnog procesa</w:t>
      </w:r>
      <w:r w:rsidRPr="00B176AC">
        <w:rPr>
          <w:rFonts w:ascii="Arial" w:eastAsia="Arial" w:hAnsi="Arial" w:cs="Arial"/>
        </w:rPr>
        <w:t xml:space="preserve">, u skladu sa preporukama </w:t>
      </w:r>
      <w:r w:rsidRPr="00B176AC">
        <w:rPr>
          <w:rFonts w:ascii="Arial" w:eastAsia="Arial" w:hAnsi="Arial" w:cs="Arial"/>
          <w:bCs/>
        </w:rPr>
        <w:t>Konvencije o biološkoj raznovrsnosti (CBD)</w:t>
      </w:r>
      <w:r w:rsidRPr="00B176AC">
        <w:rPr>
          <w:rFonts w:ascii="Arial" w:eastAsia="Arial" w:hAnsi="Arial" w:cs="Arial"/>
        </w:rPr>
        <w:t xml:space="preserve"> i </w:t>
      </w:r>
      <w:r w:rsidRPr="00B176AC">
        <w:rPr>
          <w:rFonts w:ascii="Arial" w:eastAsia="Arial" w:hAnsi="Arial" w:cs="Arial"/>
          <w:bCs/>
        </w:rPr>
        <w:t>Kunming–Montreala Globalnog okvira za biodiverzitet (KM-GBF)</w:t>
      </w:r>
      <w:r w:rsidRPr="00B176AC">
        <w:rPr>
          <w:rFonts w:ascii="Arial" w:eastAsia="Arial" w:hAnsi="Arial" w:cs="Arial"/>
        </w:rPr>
        <w:t>.</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Polaznu osnovu činila je stručna identifikacija ključnih problema i sistemskih slabosti u oblasti očuvanja biodiverziteta, zasnovana na dostupnim podacima, izvještajima prethodne NSBAP, analizi sektorskih politika i pravnog okvira, kao i iskustvima iz sprovođenja. Ovi nalazi su potom razmotreni i validirani kroz rad </w:t>
      </w:r>
      <w:r w:rsidRPr="00B176AC">
        <w:rPr>
          <w:rFonts w:ascii="Arial" w:eastAsia="Arial" w:hAnsi="Arial" w:cs="Arial"/>
          <w:bCs/>
        </w:rPr>
        <w:t>Radne grupe</w:t>
      </w:r>
      <w:r w:rsidRPr="00B176AC">
        <w:rPr>
          <w:rFonts w:ascii="Arial" w:eastAsia="Arial" w:hAnsi="Arial" w:cs="Arial"/>
        </w:rPr>
        <w:t xml:space="preserve"> i konsultacije sa relevantnim institucijama i zainteresovanim stranama, uz prioritizaciju u odnosu na </w:t>
      </w:r>
      <w:r w:rsidRPr="00B176AC">
        <w:rPr>
          <w:rFonts w:ascii="Arial" w:eastAsia="Arial" w:hAnsi="Arial" w:cs="Arial"/>
          <w:bCs/>
        </w:rPr>
        <w:t>značaj problema, pritiske na biodiverzitet, institucionalne i finansijske kapacitete, inkluziju zainteresovanih strana mogućnosti djelovanja u planskom periodu kroz Akcioni plan za period 20226-2028</w:t>
      </w:r>
      <w:r w:rsidRPr="00B176AC">
        <w:rPr>
          <w:rFonts w:ascii="Arial" w:eastAsia="Arial" w:hAnsi="Arial" w:cs="Arial"/>
        </w:rPr>
        <w:t>. godine.</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Rezultati analize strukturirani su primjenom metodološkog pristupa </w:t>
      </w:r>
      <w:r w:rsidRPr="00B176AC">
        <w:rPr>
          <w:rFonts w:ascii="Arial" w:eastAsia="Arial" w:hAnsi="Arial" w:cs="Arial"/>
          <w:bCs/>
        </w:rPr>
        <w:t>„drvo problema – drvo rješenja“</w:t>
      </w:r>
      <w:r w:rsidRPr="00B176AC">
        <w:rPr>
          <w:rFonts w:ascii="Arial" w:eastAsia="Arial" w:hAnsi="Arial" w:cs="Arial"/>
        </w:rPr>
        <w:t xml:space="preserve">, čime su sagledane uzročno-posljedične veze, definisani prioritetni problemi i povezani sa strateškim ciljevima i efektima djelovanja. </w:t>
      </w:r>
      <w:r w:rsidRPr="00B176AC">
        <w:rPr>
          <w:rFonts w:ascii="Arial" w:eastAsia="Arial" w:hAnsi="Arial" w:cs="Arial"/>
          <w:bCs/>
        </w:rPr>
        <w:t xml:space="preserve">Detaljan metodološki pristup prikazan je u </w:t>
      </w:r>
      <w:r w:rsidR="000B1037" w:rsidRPr="00885D93">
        <w:rPr>
          <w:rFonts w:ascii="Arial" w:eastAsia="Arial" w:hAnsi="Arial" w:cs="Arial"/>
          <w:bCs/>
        </w:rPr>
        <w:t>Prilogu V, Tabele</w:t>
      </w:r>
      <w:r w:rsidR="000B1037">
        <w:rPr>
          <w:rFonts w:ascii="Arial" w:eastAsia="Arial" w:hAnsi="Arial" w:cs="Arial"/>
          <w:bCs/>
        </w:rPr>
        <w:t xml:space="preserve"> 03 i 04 ove</w:t>
      </w:r>
      <w:r w:rsidRPr="00B176AC">
        <w:rPr>
          <w:rFonts w:ascii="Arial" w:eastAsia="Arial" w:hAnsi="Arial" w:cs="Arial"/>
          <w:bCs/>
        </w:rPr>
        <w:t xml:space="preserve"> Strategije.</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Na osnovu sprovedene analize definisane su </w:t>
      </w:r>
      <w:r w:rsidRPr="00B176AC">
        <w:rPr>
          <w:rFonts w:ascii="Arial" w:eastAsia="Arial" w:hAnsi="Arial" w:cs="Arial"/>
          <w:bCs/>
        </w:rPr>
        <w:t>strateški ciljevi NSBAP-a</w:t>
      </w:r>
      <w:r w:rsidRPr="00B176AC">
        <w:rPr>
          <w:rFonts w:ascii="Arial" w:eastAsia="Arial" w:hAnsi="Arial" w:cs="Arial"/>
        </w:rPr>
        <w:t xml:space="preserve">, koji proizlaze iz identifikovanih ključnih problema i horizontalnog problema i predstavljaju temelj za utvrđivanje strateških ciljeva i mjera, u skladu sa ciljevima </w:t>
      </w:r>
      <w:r w:rsidRPr="00B176AC">
        <w:rPr>
          <w:rFonts w:ascii="Arial" w:eastAsia="Arial" w:hAnsi="Arial" w:cs="Arial"/>
          <w:bCs/>
        </w:rPr>
        <w:t>KM-GBF-a</w:t>
      </w:r>
      <w:r w:rsidRPr="00B176AC">
        <w:rPr>
          <w:rFonts w:ascii="Arial" w:eastAsia="Arial" w:hAnsi="Arial" w:cs="Arial"/>
        </w:rPr>
        <w:t xml:space="preserve"> i nacionalnim razvojnim prioritetima.</w:t>
      </w:r>
    </w:p>
    <w:p w:rsidR="00D14804" w:rsidRDefault="00D14804">
      <w:pPr>
        <w:pStyle w:val="Heading3"/>
        <w:rPr>
          <w:rFonts w:ascii="Arial" w:eastAsia="Arial" w:hAnsi="Arial" w:cs="Arial"/>
          <w:sz w:val="26"/>
          <w:szCs w:val="26"/>
        </w:rPr>
      </w:pPr>
    </w:p>
    <w:p w:rsidR="00D14804" w:rsidRDefault="00B176AC">
      <w:pPr>
        <w:pStyle w:val="Heading3"/>
        <w:rPr>
          <w:rFonts w:ascii="Arial" w:eastAsia="Arial" w:hAnsi="Arial" w:cs="Arial"/>
          <w:sz w:val="26"/>
          <w:szCs w:val="26"/>
        </w:rPr>
      </w:pPr>
      <w:bookmarkStart w:id="22" w:name="_Toc222754371"/>
      <w:r>
        <w:rPr>
          <w:rFonts w:ascii="Arial" w:eastAsia="Arial" w:hAnsi="Arial" w:cs="Arial"/>
          <w:sz w:val="26"/>
          <w:szCs w:val="26"/>
        </w:rPr>
        <w:t xml:space="preserve">2.3.1 </w:t>
      </w:r>
      <w:r w:rsidR="00E47E1B">
        <w:rPr>
          <w:rFonts w:ascii="Arial" w:eastAsia="Arial" w:hAnsi="Arial" w:cs="Arial"/>
          <w:sz w:val="26"/>
          <w:szCs w:val="26"/>
        </w:rPr>
        <w:t>Prioritetni problemi zaštite i očuvanja biodiverziteta Crne Gore</w:t>
      </w:r>
      <w:bookmarkEnd w:id="22"/>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Analiza stanja biodiverziteta u Crnoj Gori ukazuje da se u posljednje dvije decenije bilježi trend opadanja biološke raznovrsnosti na </w:t>
      </w:r>
      <w:r w:rsidRPr="00B176AC">
        <w:rPr>
          <w:rFonts w:ascii="Arial" w:eastAsia="Arial" w:hAnsi="Arial" w:cs="Arial"/>
          <w:bCs/>
        </w:rPr>
        <w:t>genetičkom nivou</w:t>
      </w:r>
      <w:r w:rsidRPr="00B176AC">
        <w:rPr>
          <w:rFonts w:ascii="Arial" w:eastAsia="Arial" w:hAnsi="Arial" w:cs="Arial"/>
        </w:rPr>
        <w:t xml:space="preserve">, kao i na nivou </w:t>
      </w:r>
      <w:r w:rsidRPr="00B176AC">
        <w:rPr>
          <w:rFonts w:ascii="Arial" w:eastAsia="Arial" w:hAnsi="Arial" w:cs="Arial"/>
          <w:bCs/>
        </w:rPr>
        <w:t>vrsta, staništa i ekosistema</w:t>
      </w:r>
      <w:r w:rsidRPr="00B176AC">
        <w:rPr>
          <w:rFonts w:ascii="Arial" w:eastAsia="Arial" w:hAnsi="Arial" w:cs="Arial"/>
        </w:rPr>
        <w:t xml:space="preserve">. Ovaj trend dovodi do slabljenja </w:t>
      </w:r>
      <w:r w:rsidRPr="00B176AC">
        <w:rPr>
          <w:rFonts w:ascii="Arial" w:eastAsia="Arial" w:hAnsi="Arial" w:cs="Arial"/>
          <w:bCs/>
        </w:rPr>
        <w:t>ekosistemskih funkcija</w:t>
      </w:r>
      <w:r w:rsidRPr="00B176AC">
        <w:rPr>
          <w:rFonts w:ascii="Arial" w:eastAsia="Arial" w:hAnsi="Arial" w:cs="Arial"/>
        </w:rPr>
        <w:t xml:space="preserve"> i njihove sposobnosti da obezbijede </w:t>
      </w:r>
      <w:r w:rsidRPr="00B176AC">
        <w:rPr>
          <w:rFonts w:ascii="Arial" w:eastAsia="Arial" w:hAnsi="Arial" w:cs="Arial"/>
          <w:bCs/>
        </w:rPr>
        <w:t>usluge od ključnog značaja za održivi društveni i ekonomski razvoj</w:t>
      </w:r>
      <w:r w:rsidRPr="00B176AC">
        <w:rPr>
          <w:rFonts w:ascii="Arial" w:eastAsia="Arial" w:hAnsi="Arial" w:cs="Arial"/>
        </w:rPr>
        <w:t>.</w:t>
      </w:r>
    </w:p>
    <w:p w:rsidR="00D14804" w:rsidRDefault="00E47E1B">
      <w:pPr>
        <w:spacing w:before="280" w:after="280" w:line="240" w:lineRule="auto"/>
        <w:jc w:val="both"/>
        <w:rPr>
          <w:rFonts w:ascii="Arial" w:eastAsia="Arial" w:hAnsi="Arial" w:cs="Arial"/>
        </w:rPr>
      </w:pPr>
      <w:r>
        <w:rPr>
          <w:rFonts w:ascii="Arial" w:eastAsia="Arial" w:hAnsi="Arial" w:cs="Arial"/>
        </w:rPr>
        <w:t xml:space="preserve">Identifikovani krovni problem: </w:t>
      </w:r>
      <w:r>
        <w:rPr>
          <w:rFonts w:ascii="Arial" w:eastAsia="Arial" w:hAnsi="Arial" w:cs="Arial"/>
          <w:i/>
          <w:iCs/>
        </w:rPr>
        <w:t>„</w:t>
      </w:r>
      <w:r w:rsidRPr="00B176AC">
        <w:rPr>
          <w:bCs/>
          <w:i/>
          <w:iCs/>
          <w:color w:val="000000"/>
          <w:sz w:val="23"/>
          <w:szCs w:val="23"/>
        </w:rPr>
        <w:t>Biodiverzitet Crne Gore bilježi trend smanjenja na genetičkom nivou, kao i na nivou vrsta i ekosistema, što dovodi do slabljenja ekosistemskih funkcija, njihove otpornosti i sposobnosti da obezbijede usluge od značaja za održivi razvoj društva</w:t>
      </w:r>
      <w:r w:rsidRPr="00B176AC">
        <w:rPr>
          <w:rFonts w:ascii="Arial" w:eastAsia="Arial" w:hAnsi="Arial" w:cs="Arial"/>
          <w:i/>
          <w:iCs/>
        </w:rPr>
        <w:t>“</w:t>
      </w:r>
      <w:r>
        <w:rPr>
          <w:rFonts w:ascii="Arial" w:eastAsia="Arial" w:hAnsi="Arial" w:cs="Arial"/>
        </w:rPr>
        <w:t xml:space="preserve"> manifestuje se kroz </w:t>
      </w:r>
      <w:r>
        <w:rPr>
          <w:rFonts w:ascii="Arial" w:eastAsia="Arial" w:hAnsi="Arial" w:cs="Arial"/>
          <w:b/>
          <w:bCs/>
        </w:rPr>
        <w:t>tri međusobno povezana prioritetna problema</w:t>
      </w:r>
      <w:r>
        <w:rPr>
          <w:rFonts w:ascii="Arial" w:eastAsia="Arial" w:hAnsi="Arial" w:cs="Arial"/>
        </w:rPr>
        <w:t xml:space="preserve"> i </w:t>
      </w:r>
      <w:r>
        <w:rPr>
          <w:rFonts w:ascii="Arial" w:eastAsia="Arial" w:hAnsi="Arial" w:cs="Arial"/>
          <w:b/>
          <w:bCs/>
        </w:rPr>
        <w:t>jedan horizontalni problem</w:t>
      </w:r>
      <w:r>
        <w:rPr>
          <w:rFonts w:ascii="Arial" w:eastAsia="Arial" w:hAnsi="Arial" w:cs="Arial"/>
        </w:rPr>
        <w:t xml:space="preserve"> koji se odnosi na sistemske pretpostavke za njihovo rješavanje:</w:t>
      </w:r>
    </w:p>
    <w:p w:rsidR="00D14804" w:rsidRDefault="00E47E1B" w:rsidP="008166A6">
      <w:pPr>
        <w:numPr>
          <w:ilvl w:val="0"/>
          <w:numId w:val="26"/>
        </w:numPr>
        <w:spacing w:before="280" w:after="0" w:line="240" w:lineRule="auto"/>
        <w:jc w:val="both"/>
        <w:rPr>
          <w:rFonts w:ascii="Arial" w:eastAsia="Arial" w:hAnsi="Arial" w:cs="Arial"/>
        </w:rPr>
      </w:pPr>
      <w:r>
        <w:rPr>
          <w:rFonts w:ascii="Arial" w:eastAsia="Arial" w:hAnsi="Arial" w:cs="Arial"/>
          <w:b/>
          <w:bCs/>
        </w:rPr>
        <w:t>Problem 1:</w:t>
      </w:r>
      <w:r>
        <w:rPr>
          <w:rFonts w:ascii="Arial" w:eastAsia="Arial" w:hAnsi="Arial" w:cs="Arial"/>
        </w:rPr>
        <w:t xml:space="preserve"> </w:t>
      </w:r>
      <w:r>
        <w:rPr>
          <w:rFonts w:ascii="Arial" w:eastAsia="Arial" w:hAnsi="Arial" w:cs="Arial"/>
          <w:i/>
          <w:iCs/>
        </w:rPr>
        <w:t>Kontinuirani gubitak biodiverziteta i degradacija ekosistema, vrsta i genetske raznovrsnosti.</w:t>
      </w:r>
    </w:p>
    <w:p w:rsidR="00D14804" w:rsidRDefault="00E47E1B" w:rsidP="008166A6">
      <w:pPr>
        <w:numPr>
          <w:ilvl w:val="0"/>
          <w:numId w:val="26"/>
        </w:numPr>
        <w:spacing w:after="0" w:line="240" w:lineRule="auto"/>
        <w:jc w:val="both"/>
        <w:rPr>
          <w:rFonts w:ascii="Arial" w:eastAsia="Arial" w:hAnsi="Arial" w:cs="Arial"/>
          <w:i/>
          <w:iCs/>
        </w:rPr>
      </w:pPr>
      <w:r>
        <w:rPr>
          <w:rFonts w:ascii="Arial" w:eastAsia="Arial" w:hAnsi="Arial" w:cs="Arial"/>
          <w:b/>
          <w:bCs/>
        </w:rPr>
        <w:t>Problem 2:</w:t>
      </w:r>
      <w:r>
        <w:rPr>
          <w:rFonts w:ascii="Arial" w:eastAsia="Arial" w:hAnsi="Arial" w:cs="Arial"/>
        </w:rPr>
        <w:t xml:space="preserve"> </w:t>
      </w:r>
      <w:r>
        <w:rPr>
          <w:rFonts w:ascii="Arial" w:eastAsia="Arial" w:hAnsi="Arial" w:cs="Arial"/>
          <w:i/>
          <w:iCs/>
        </w:rPr>
        <w:t>Nedovoljna efektivnost sistema zaštite prirode i upravljanja zaštićenim područjima i vrstama i ekosistemima.</w:t>
      </w:r>
    </w:p>
    <w:p w:rsidR="00D14804" w:rsidRDefault="00E47E1B" w:rsidP="008166A6">
      <w:pPr>
        <w:numPr>
          <w:ilvl w:val="0"/>
          <w:numId w:val="26"/>
        </w:numPr>
        <w:spacing w:after="0" w:line="240" w:lineRule="auto"/>
        <w:jc w:val="both"/>
        <w:rPr>
          <w:rFonts w:ascii="Arial" w:eastAsia="Arial" w:hAnsi="Arial" w:cs="Arial"/>
          <w:i/>
          <w:iCs/>
        </w:rPr>
      </w:pPr>
      <w:r>
        <w:rPr>
          <w:rFonts w:ascii="Arial" w:eastAsia="Arial" w:hAnsi="Arial" w:cs="Arial"/>
          <w:b/>
          <w:bCs/>
        </w:rPr>
        <w:t>Problem 3:</w:t>
      </w:r>
      <w:r>
        <w:rPr>
          <w:rFonts w:ascii="Arial" w:eastAsia="Arial" w:hAnsi="Arial" w:cs="Arial"/>
        </w:rPr>
        <w:t xml:space="preserve"> </w:t>
      </w:r>
      <w:r>
        <w:rPr>
          <w:rFonts w:ascii="Arial" w:eastAsia="Arial" w:hAnsi="Arial" w:cs="Arial"/>
          <w:i/>
          <w:iCs/>
        </w:rPr>
        <w:t>Neodrživo korišćenje prirodnih resursa i nedovoljna integracija biodiverziteta u sektorske politike.</w:t>
      </w:r>
    </w:p>
    <w:p w:rsidR="00D14804" w:rsidRDefault="00E47E1B" w:rsidP="008166A6">
      <w:pPr>
        <w:numPr>
          <w:ilvl w:val="0"/>
          <w:numId w:val="26"/>
        </w:numPr>
        <w:spacing w:after="280" w:line="240" w:lineRule="auto"/>
        <w:jc w:val="both"/>
        <w:rPr>
          <w:rFonts w:ascii="Arial" w:eastAsia="Arial" w:hAnsi="Arial" w:cs="Arial"/>
          <w:i/>
          <w:iCs/>
        </w:rPr>
      </w:pPr>
      <w:r>
        <w:rPr>
          <w:rFonts w:ascii="Arial" w:eastAsia="Arial" w:hAnsi="Arial" w:cs="Arial"/>
          <w:b/>
          <w:bCs/>
        </w:rPr>
        <w:t>Horizontalni strateški problem:</w:t>
      </w:r>
      <w:r>
        <w:rPr>
          <w:rFonts w:ascii="Arial" w:eastAsia="Arial" w:hAnsi="Arial" w:cs="Arial"/>
        </w:rPr>
        <w:t xml:space="preserve"> </w:t>
      </w:r>
      <w:r>
        <w:rPr>
          <w:rFonts w:ascii="Arial" w:eastAsia="Arial" w:hAnsi="Arial" w:cs="Arial"/>
          <w:i/>
          <w:iCs/>
        </w:rPr>
        <w:t>Sistemski nedostatak kapaciteta, koordinacije i inkluzivnih mehanizama za efektivno upravljanje biodiverzitetom.</w:t>
      </w:r>
    </w:p>
    <w:p w:rsidR="00D14804" w:rsidRDefault="00E47E1B">
      <w:pPr>
        <w:pStyle w:val="Heading4"/>
        <w:rPr>
          <w:rFonts w:ascii="Arial" w:eastAsia="Arial" w:hAnsi="Arial" w:cs="Arial"/>
          <w:b/>
          <w:bCs/>
          <w:color w:val="000000"/>
        </w:rPr>
      </w:pPr>
      <w:r>
        <w:rPr>
          <w:rFonts w:ascii="Arial" w:eastAsia="Arial" w:hAnsi="Arial" w:cs="Arial"/>
          <w:b/>
          <w:bCs/>
          <w:color w:val="000000"/>
        </w:rPr>
        <w:lastRenderedPageBreak/>
        <w:t>Problem 1: Kontinuirani gubitak biodiverziteta i degradacija ekosistema, vrsta i genetske raznovrsnosti.</w:t>
      </w:r>
    </w:p>
    <w:p w:rsidR="00D14804" w:rsidRDefault="00E47E1B">
      <w:pPr>
        <w:spacing w:before="280" w:after="280" w:line="240" w:lineRule="auto"/>
        <w:jc w:val="both"/>
        <w:rPr>
          <w:rFonts w:ascii="Arial" w:eastAsia="Arial" w:hAnsi="Arial" w:cs="Arial"/>
        </w:rPr>
      </w:pPr>
      <w:r>
        <w:rPr>
          <w:rFonts w:ascii="Arial" w:eastAsia="Arial" w:hAnsi="Arial" w:cs="Arial"/>
        </w:rPr>
        <w:t>Prvi identifikovani problem odnosi se na gubitak biodiverziteta i degradaciju ekosistema usljed direktnih i kumulativnih pritisaka na staništa, vrste i genetičku raznovrsnost. Ovi pritisci proizlaze iz urbanizacije, promjena u korišćenju zemljišta, fragmentacije staništa, širenja invazivnih i stranih vrsta, zagađenja, klimatskih promjena i požara, te dovode do trajnog narušavanja strukture i funkcija ekosistema u Crnoj Gori.</w:t>
      </w:r>
    </w:p>
    <w:p w:rsidR="00D14804" w:rsidRDefault="00E47E1B">
      <w:pPr>
        <w:spacing w:before="280" w:after="280" w:line="240" w:lineRule="auto"/>
        <w:jc w:val="both"/>
        <w:rPr>
          <w:rFonts w:ascii="Arial" w:eastAsia="Arial" w:hAnsi="Arial" w:cs="Arial"/>
        </w:rPr>
      </w:pPr>
      <w:r>
        <w:rPr>
          <w:rFonts w:ascii="Arial" w:eastAsia="Arial" w:hAnsi="Arial" w:cs="Arial"/>
        </w:rPr>
        <w:t>Urbanizacija predstavlja jedan od najsnažnijih pritisaka na biodiverzitet, jer uzrokuje ireverzibilan gubitak prirodnih staništa. Biljne vrste direktno su pogođene uništavanjem staništa tokom građevinskih aktivnosti, dok životinje gube prostor za ishranu, razmnožavanje i migraciju. Ilegalna i loše planirana urbanizacija prepoznata je kao jedan od vodećih antropogenih faktora ugrožavanja biodiverziteta. Najizraženiji pritisci evidentni su u primorskoj oblasti, gdje intenzivna izgradnja turističke infrastrukture dovodi do fragmentacije obalnih i morskih staništa, gubitka prirodne obale, degradacije dina i močvara. Negativni uticaji prisutni su i u planinskim i sjevernim djelovima zemlje, dok je ilegalna gradnja zabilježena i unutar zaštićenih područja, uključujući NP Durmitor, NP Biogradsku goru i NP Prokletije, kao i parkove prirode Pivu i Komove. Posebno su ugroženi marinsko-terestrični ekosistemi, čije su površine već značajno redukovane, a dodatni pritisci dolaze od ispuštanja otpadnih voda i turističke infrastrukture.</w:t>
      </w:r>
    </w:p>
    <w:p w:rsidR="00D14804" w:rsidRDefault="00E47E1B">
      <w:pPr>
        <w:spacing w:before="280" w:after="280" w:line="240" w:lineRule="auto"/>
        <w:jc w:val="both"/>
        <w:rPr>
          <w:rFonts w:ascii="Arial" w:eastAsia="Arial" w:hAnsi="Arial" w:cs="Arial"/>
        </w:rPr>
      </w:pPr>
      <w:r>
        <w:rPr>
          <w:rFonts w:ascii="Arial" w:eastAsia="Arial" w:hAnsi="Arial" w:cs="Arial"/>
        </w:rPr>
        <w:t>Promjene u korišćenju zemljišta povezane su sa depopulacijom ruralnih područja, starenjem stanovništva i napuštanjem tradicionalne poljoprivrede i stočarstva, uz istovremeno intenziviranje proizvodnje u pristupačnijim zonama. Ovi paralelni procesi dovode do sukcesije i gubitka poluprirodnih staništa. Posebno je izraženo zarastanje pašnjaka i livada u planinskim i brdsko-planinskim područjima sjevera, gdje napuštanje ekstenzivne ispaše i košenja uzrokuje promjene florističkog sastava i širenje drvenaste i invazivne vegetacije. Time se smanjuje reprezentativnost travnatih Natura 2000 staništa i dolazi do trajnog gubitka otvorenih i poluotvorenih ekosistema. Tokom terenskih istraživanja u okviru Natura 2000 projekta, zarastanje travnih ekosistema zabilježeno je u svim opštinama. Visokoplaninski ekosistemi dodatno su ugroženi klimatskim promjenama, ali su podaci o stepenu njihove ugroženosti u Crnoj Gori i dalje ograničeni.</w:t>
      </w:r>
    </w:p>
    <w:p w:rsidR="00D14804" w:rsidRDefault="00E47E1B">
      <w:pPr>
        <w:spacing w:before="280" w:after="280" w:line="240" w:lineRule="auto"/>
        <w:jc w:val="both"/>
        <w:rPr>
          <w:rFonts w:ascii="Arial" w:eastAsia="Arial" w:hAnsi="Arial" w:cs="Arial"/>
        </w:rPr>
      </w:pPr>
      <w:r>
        <w:rPr>
          <w:rFonts w:ascii="Arial" w:eastAsia="Arial" w:hAnsi="Arial" w:cs="Arial"/>
        </w:rPr>
        <w:t xml:space="preserve">Fragmentacija staništa dodatno je pojačana razvojem saobraćajne i energetske infrastrukture, hidroenergetskim zahvatima i promjenama u korišćenju zemljišta. Posljedice uključuju prekidanje ekoloških koridora, izolaciju populacija i smanjenje genetske raznovrsnosti. Posebno izraženi uticaji zabilježeni su u slivu rijeke Tare usljed izgradnje autoputa Bar–Boljare, kao i u planinskim vodotocima zahvaćenim izgradnjom malih hidroelektrana, </w:t>
      </w:r>
      <w:r w:rsidRPr="00B176AC">
        <w:rPr>
          <w:rFonts w:ascii="Arial" w:eastAsia="Arial" w:hAnsi="Arial" w:cs="Arial"/>
        </w:rPr>
        <w:t>dok planirani veiliki hidroenergetski projekti, poput Komarnice, predstavljaju dodatni rizik.</w:t>
      </w:r>
      <w:r>
        <w:rPr>
          <w:rFonts w:ascii="Arial" w:eastAsia="Arial" w:hAnsi="Arial" w:cs="Arial"/>
        </w:rPr>
        <w:t xml:space="preserve"> Nedostatak funkcionalnih prolaza za faunu i ribe, kao i ilegalna eksploatacija šljunka, dodatno pojačavaju fragmentaciju i degradaciju riječnih staništa, naročito u slivovima Morače, Lima, Zete i Cijevne, gdje se narušava stabilnost korita i hidrološki režim.</w:t>
      </w:r>
    </w:p>
    <w:p w:rsidR="00D14804" w:rsidRDefault="00E47E1B">
      <w:pPr>
        <w:spacing w:before="280" w:after="280" w:line="240" w:lineRule="auto"/>
        <w:jc w:val="both"/>
        <w:rPr>
          <w:rFonts w:ascii="Arial" w:eastAsia="Arial" w:hAnsi="Arial" w:cs="Arial"/>
        </w:rPr>
      </w:pPr>
      <w:r>
        <w:rPr>
          <w:rFonts w:ascii="Arial" w:eastAsia="Arial" w:hAnsi="Arial" w:cs="Arial"/>
        </w:rPr>
        <w:t>Šumski ekosistemi su dodatno ugroženi neracionalnom eksploatacijom i ilegalnom sječom, dok urbanizacija i fragmentacija smanjuju njihove površine. Invazivne vrste narušavaju strukturu šumskih zajednica, a ozbiljnu prijetnju predstavljaju i požari, čija se učestalost povećava usljed klimatskih promjena i ljudskog faktora. U četinarskim šumama opština Plav, Pljevlja, Berane i Žabljak bilježi se širenje potkornjaka, koji izaziva sušenje stabala i narušava stabilnost šumskih ekosistema.</w:t>
      </w:r>
    </w:p>
    <w:p w:rsidR="00D14804" w:rsidRDefault="00A26374">
      <w:pPr>
        <w:spacing w:before="280" w:after="280" w:line="240" w:lineRule="auto"/>
        <w:jc w:val="both"/>
        <w:rPr>
          <w:rFonts w:ascii="Arial" w:eastAsia="Arial" w:hAnsi="Arial" w:cs="Arial"/>
        </w:rPr>
      </w:pPr>
      <w:sdt>
        <w:sdtPr>
          <w:tag w:val="goog_rdk_18"/>
          <w:id w:val="1620551402"/>
        </w:sdtPr>
        <w:sdtEndPr/>
        <w:sdtContent/>
      </w:sdt>
      <w:r w:rsidR="00E47E1B">
        <w:rPr>
          <w:rFonts w:ascii="Arial" w:eastAsia="Arial" w:hAnsi="Arial" w:cs="Arial"/>
        </w:rPr>
        <w:t>Širenje invazivnih i stranih vrsta predstavlja značajan pritisak u svim tipovima ekosistema. U Jadranskom moru evidentirano je 49 novih vrsta riba, uz širenje invazivnih vrsta poput plave krabe. U slatkovodnim ekosistemima prisutne su zebra školjka (</w:t>
      </w:r>
      <w:r w:rsidR="00E47E1B">
        <w:rPr>
          <w:rFonts w:ascii="Arial" w:eastAsia="Arial" w:hAnsi="Arial" w:cs="Arial"/>
          <w:i/>
          <w:iCs/>
        </w:rPr>
        <w:t>Dreissena spp</w:t>
      </w:r>
      <w:r w:rsidR="00E47E1B">
        <w:rPr>
          <w:rFonts w:ascii="Arial" w:eastAsia="Arial" w:hAnsi="Arial" w:cs="Arial"/>
        </w:rPr>
        <w:t xml:space="preserve">.), azijska </w:t>
      </w:r>
      <w:r w:rsidR="00E47E1B">
        <w:rPr>
          <w:rFonts w:ascii="Arial" w:eastAsia="Arial" w:hAnsi="Arial" w:cs="Arial"/>
        </w:rPr>
        <w:lastRenderedPageBreak/>
        <w:t>školjka (</w:t>
      </w:r>
      <w:r w:rsidR="00E47E1B">
        <w:rPr>
          <w:rFonts w:ascii="Arial" w:eastAsia="Arial" w:hAnsi="Arial" w:cs="Arial"/>
          <w:i/>
          <w:iCs/>
        </w:rPr>
        <w:t>Corbicula fluminea</w:t>
      </w:r>
      <w:r w:rsidR="00E47E1B">
        <w:rPr>
          <w:rFonts w:ascii="Arial" w:eastAsia="Arial" w:hAnsi="Arial" w:cs="Arial"/>
        </w:rPr>
        <w:t>) i vilin konjic (</w:t>
      </w:r>
      <w:r w:rsidR="00E47E1B">
        <w:rPr>
          <w:rFonts w:ascii="Arial" w:eastAsia="Arial" w:hAnsi="Arial" w:cs="Arial"/>
          <w:i/>
          <w:iCs/>
        </w:rPr>
        <w:t>Trithemis annulata</w:t>
      </w:r>
      <w:r w:rsidR="00E47E1B">
        <w:rPr>
          <w:rFonts w:ascii="Arial" w:eastAsia="Arial" w:hAnsi="Arial" w:cs="Arial"/>
        </w:rPr>
        <w:t xml:space="preserve">), dok je u moru posebno problematična alga </w:t>
      </w:r>
      <w:r w:rsidR="00E47E1B">
        <w:rPr>
          <w:rFonts w:ascii="Arial" w:eastAsia="Arial" w:hAnsi="Arial" w:cs="Arial"/>
          <w:i/>
          <w:iCs/>
        </w:rPr>
        <w:t>Caulerpa cylindracea</w:t>
      </w:r>
      <w:r w:rsidR="00E47E1B">
        <w:rPr>
          <w:rFonts w:ascii="Arial" w:eastAsia="Arial" w:hAnsi="Arial" w:cs="Arial"/>
        </w:rPr>
        <w:t xml:space="preserve">. Na preliminarnoj listi invazivnih biljaka nalazi se 51 takson, uz više od deset dodatnih alohtonih vrsta. Brzo širenje zabilježeno je u Parku prirode Zeta, NP Skadarsko jezero (bagremovac, </w:t>
      </w:r>
      <w:r w:rsidR="00E47E1B">
        <w:rPr>
          <w:rFonts w:ascii="Arial" w:eastAsia="Arial" w:hAnsi="Arial" w:cs="Arial"/>
          <w:i/>
          <w:iCs/>
        </w:rPr>
        <w:t>Amorpha fruticosa</w:t>
      </w:r>
      <w:r w:rsidR="00E47E1B">
        <w:rPr>
          <w:rFonts w:ascii="Arial" w:eastAsia="Arial" w:hAnsi="Arial" w:cs="Arial"/>
        </w:rPr>
        <w:t xml:space="preserve">, te makrofiti </w:t>
      </w:r>
      <w:r w:rsidR="00E47E1B">
        <w:rPr>
          <w:rFonts w:ascii="Arial" w:eastAsia="Arial" w:hAnsi="Arial" w:cs="Arial"/>
          <w:i/>
          <w:iCs/>
        </w:rPr>
        <w:t>Egeria densa</w:t>
      </w:r>
      <w:r w:rsidR="00E47E1B">
        <w:rPr>
          <w:rFonts w:ascii="Arial" w:eastAsia="Arial" w:hAnsi="Arial" w:cs="Arial"/>
        </w:rPr>
        <w:t xml:space="preserve"> i </w:t>
      </w:r>
      <w:r w:rsidR="00E47E1B">
        <w:rPr>
          <w:rFonts w:ascii="Arial" w:eastAsia="Arial" w:hAnsi="Arial" w:cs="Arial"/>
          <w:i/>
          <w:iCs/>
        </w:rPr>
        <w:t>Elodea canadensis</w:t>
      </w:r>
      <w:r w:rsidR="00E47E1B">
        <w:rPr>
          <w:rFonts w:ascii="Arial" w:eastAsia="Arial" w:hAnsi="Arial" w:cs="Arial"/>
        </w:rPr>
        <w:t>) i na Velikoj plaži kod Ulcinja.</w:t>
      </w:r>
    </w:p>
    <w:p w:rsidR="00D14804" w:rsidRDefault="00E47E1B">
      <w:pPr>
        <w:spacing w:before="280" w:after="280" w:line="240" w:lineRule="auto"/>
        <w:jc w:val="both"/>
        <w:rPr>
          <w:rFonts w:ascii="Arial" w:eastAsia="Arial" w:hAnsi="Arial" w:cs="Arial"/>
        </w:rPr>
      </w:pPr>
      <w:r>
        <w:rPr>
          <w:rFonts w:ascii="Arial" w:eastAsia="Arial" w:hAnsi="Arial" w:cs="Arial"/>
        </w:rPr>
        <w:t>Unošenje stranih vrsta dovodi i do genetske erozije autohtonih populacija. U poljoprivredi, uvoz visokoproduktivnih sorti i rasa potiskuje tradicionalne genetičke resurse, posebno kod autohtonih rasa poput goveda buše. Slični procesi prisutni su u šumarstvu i slatkovodnim ekosistemima, gdje pošumljavanje neadekvatnim reproduktivnim materijalom i poribljavanje neautohtonim populacijama dovode do hibridizacije i gubitka lokalno prilagođenih genotipova.</w:t>
      </w:r>
    </w:p>
    <w:p w:rsidR="00D14804" w:rsidRDefault="00E47E1B">
      <w:pPr>
        <w:spacing w:before="280" w:after="280" w:line="240" w:lineRule="auto"/>
        <w:jc w:val="both"/>
        <w:rPr>
          <w:rFonts w:ascii="Arial" w:eastAsia="Arial" w:hAnsi="Arial" w:cs="Arial"/>
        </w:rPr>
      </w:pPr>
      <w:r>
        <w:rPr>
          <w:rFonts w:ascii="Arial" w:eastAsia="Arial" w:hAnsi="Arial" w:cs="Arial"/>
        </w:rPr>
        <w:t>Zagađenje predstavlja jedan od najrasprostranjenijih pritisaka na biodiverzitet, sa negativnim efektima na kopnene, slatkovodne, obalne i morske ekosisteme. Glavni izvori uključuju neadekvatno upravljanje otpadom i otpadnim vodama, poljoprivredu, industriju, saobraćaj i turizam. Rijeka Zeta predstavlja ilustrativan primjer kontinuiranog zagađenja, dok su slični pritisci prisutni u slivovima Morače, Lima i Bojane. Plastika čini više od 80% morskog otpada u Mediteranu, a sezonski turistički pritisci dodatno povećavaju količine otpada u obalnom području.</w:t>
      </w:r>
    </w:p>
    <w:p w:rsidR="00D14804" w:rsidRDefault="00E47E1B">
      <w:pPr>
        <w:spacing w:before="280" w:after="280" w:line="240" w:lineRule="auto"/>
        <w:jc w:val="both"/>
        <w:rPr>
          <w:rFonts w:ascii="Arial" w:eastAsia="Arial" w:hAnsi="Arial" w:cs="Arial"/>
        </w:rPr>
      </w:pPr>
      <w:r>
        <w:rPr>
          <w:rFonts w:ascii="Arial" w:eastAsia="Arial" w:hAnsi="Arial" w:cs="Arial"/>
        </w:rPr>
        <w:t>Klimatske promjene djeluju kao multiplikator postojećih pritisaka. Od ranih devedesetih bilježi se porast učestalosti i intenziteta suša, poplava i toplotnih talasa. Utvrđeno je da 16% stalnih manjih izvora povremeno presušuje, dok povećanje temperature i smanjen priliv slatke vode povećavaju salinitet u moru i mediteranskim močvarama. U planinskim jezerima registrovano je pojavljivanje vrsta nižih nadmorskih visina, poput Anax imperator, dok je endemična biljka Cerastium dinaricum direktno ugrožena zagrijavanjem staništa.</w:t>
      </w:r>
    </w:p>
    <w:p w:rsidR="00D14804" w:rsidRDefault="00E47E1B">
      <w:pPr>
        <w:spacing w:before="280" w:after="280" w:line="240" w:lineRule="auto"/>
        <w:jc w:val="both"/>
        <w:rPr>
          <w:rFonts w:ascii="Arial" w:eastAsia="Arial" w:hAnsi="Arial" w:cs="Arial"/>
        </w:rPr>
      </w:pPr>
      <w:r>
        <w:rPr>
          <w:rFonts w:ascii="Arial" w:eastAsia="Arial" w:hAnsi="Arial" w:cs="Arial"/>
        </w:rPr>
        <w:t>Požari dodatno pojačavaju degradaciju ekosistema. U periodu 2015–2024. u Crnoj Gori je prosječno godišnje gorjelo oko 15.700 ha šuma (oko 1,1% teritorije). Tokom 2023. opožareno je oko 16.000 ha, dok podaci za 2025. ukazuju na oko 21.920 ha (oko 1,6% teritorije). Prema Global Forest Watch-u, od 2001. godine trajno je izgubljeno oko 4.400 ha šuma (oko 0,5% šumskog fonda). Požari su zahvatali i zaštićena područja, uključujući NP Durmitor, NP Lovćen i NP Skadarsko jezero, pri čemu je u NP Lovćen postojala realna opasnost za stenoendemičnu vrstu lovćenski zvončić (</w:t>
      </w:r>
      <w:r>
        <w:rPr>
          <w:rFonts w:ascii="Arial" w:eastAsia="Arial" w:hAnsi="Arial" w:cs="Arial"/>
          <w:i/>
          <w:iCs/>
        </w:rPr>
        <w:t>Edraianthus wettsteinii subsp. lovcenicum</w:t>
      </w:r>
      <w:r>
        <w:rPr>
          <w:rFonts w:ascii="Arial" w:eastAsia="Arial" w:hAnsi="Arial" w:cs="Arial"/>
        </w:rPr>
        <w:t>).</w:t>
      </w:r>
    </w:p>
    <w:p w:rsidR="00D14804" w:rsidRDefault="00E47E1B">
      <w:pPr>
        <w:spacing w:before="280" w:after="280" w:line="240" w:lineRule="auto"/>
        <w:jc w:val="both"/>
        <w:rPr>
          <w:rFonts w:ascii="Arial" w:eastAsia="Arial" w:hAnsi="Arial" w:cs="Arial"/>
        </w:rPr>
      </w:pPr>
      <w:r>
        <w:rPr>
          <w:rFonts w:ascii="Arial" w:eastAsia="Arial" w:hAnsi="Arial" w:cs="Arial"/>
          <w:b/>
          <w:bCs/>
        </w:rPr>
        <w:t>U okviru prvog problema, direktni pritisci na biodiverzitet prepoznati su kroz gubitak i degradaciju staništa usljed prostornog razvoja, zagađenje voda i zemljišta, širenje</w:t>
      </w:r>
      <w:r w:rsidR="00D02DC0">
        <w:rPr>
          <w:rFonts w:ascii="Arial" w:eastAsia="Arial" w:hAnsi="Arial" w:cs="Arial"/>
          <w:b/>
          <w:bCs/>
        </w:rPr>
        <w:t xml:space="preserve"> unešenih</w:t>
      </w:r>
      <w:r>
        <w:rPr>
          <w:rFonts w:ascii="Arial" w:eastAsia="Arial" w:hAnsi="Arial" w:cs="Arial"/>
          <w:b/>
          <w:bCs/>
        </w:rPr>
        <w:t xml:space="preserve"> </w:t>
      </w:r>
      <w:r w:rsidR="00D02DC0" w:rsidRPr="00D02DC0">
        <w:rPr>
          <w:rFonts w:ascii="Arial" w:eastAsia="Arial" w:hAnsi="Arial" w:cs="Arial"/>
          <w:b/>
          <w:bCs/>
        </w:rPr>
        <w:t xml:space="preserve">stranih i </w:t>
      </w:r>
      <w:r w:rsidRPr="00D02DC0">
        <w:rPr>
          <w:rFonts w:ascii="Arial" w:eastAsia="Arial" w:hAnsi="Arial" w:cs="Arial"/>
          <w:b/>
          <w:bCs/>
        </w:rPr>
        <w:t>invazivnih stranih vrsta</w:t>
      </w:r>
      <w:r>
        <w:rPr>
          <w:rFonts w:ascii="Arial" w:eastAsia="Arial" w:hAnsi="Arial" w:cs="Arial"/>
          <w:b/>
          <w:bCs/>
        </w:rPr>
        <w:t>, promjene u korišćenju zemljišta i poljoprivrednim praksama, kao i uticaje klimatskih promjena i ekstremnih događaja. Posljedice se ogledaju u gubitku, degradaciji i fragmentaciji rijetkih i ekološki značajnih staništa, smanjenju populacija konzervaciono značajnih vrsta, gubitku genetičkog diverziteta, poremećajima ekoloških interakcija i smanjenju agrobiodiverziteta. Krajnji efekti uključuju trajno narušavanje strukture i funkcija ekosistema, smanjenje prirodnog kapitala i dugoročno slabljenje ekološke stabilnosti i regenerativne sposobnosti prirode u Crnoj Gori.</w:t>
      </w:r>
    </w:p>
    <w:p w:rsidR="00D14804" w:rsidRDefault="00E47E1B">
      <w:pPr>
        <w:pStyle w:val="Heading4"/>
        <w:rPr>
          <w:rFonts w:ascii="Arial" w:eastAsia="Arial" w:hAnsi="Arial" w:cs="Arial"/>
          <w:b/>
          <w:bCs/>
          <w:color w:val="000000"/>
        </w:rPr>
      </w:pPr>
      <w:r>
        <w:rPr>
          <w:rFonts w:ascii="Arial" w:eastAsia="Arial" w:hAnsi="Arial" w:cs="Arial"/>
          <w:b/>
          <w:bCs/>
          <w:color w:val="000000"/>
        </w:rPr>
        <w:t>Problem 2: Nedovoljna efektivnost sistema zaštite prirode i upravljanja zaštićenim područjima i vrstama i ekosistemima</w:t>
      </w:r>
    </w:p>
    <w:p w:rsidR="00D14804" w:rsidRDefault="00E47E1B">
      <w:pPr>
        <w:spacing w:before="280" w:after="280" w:line="240" w:lineRule="auto"/>
        <w:jc w:val="both"/>
        <w:rPr>
          <w:rFonts w:ascii="Arial" w:eastAsia="Arial" w:hAnsi="Arial" w:cs="Arial"/>
        </w:rPr>
      </w:pPr>
      <w:r>
        <w:rPr>
          <w:rFonts w:ascii="Arial" w:eastAsia="Arial" w:hAnsi="Arial" w:cs="Arial"/>
        </w:rPr>
        <w:t xml:space="preserve">Drugi identifikovani problem odnosi se na slabu efektivnost sistema zaštite prirode i upravljanja zaštićenim područjima, vrstama, staništima i ekosistemima. Nacionalni sistem zaštićenih područja u Crnoj Gori dominantno čine pet nacionalnih parkova, dok ostatak obuhvata različite kategorije zaštite, pretežno spomenike prirode i parkove prirode, uz dio lokaliteta pod preventivnom zaštitom. Zakonom su definisana tri zone zaštite (strogi, aktivni i režim održivog </w:t>
      </w:r>
      <w:r>
        <w:rPr>
          <w:rFonts w:ascii="Arial" w:eastAsia="Arial" w:hAnsi="Arial" w:cs="Arial"/>
        </w:rPr>
        <w:lastRenderedPageBreak/>
        <w:t>korišćenja), ali je tokom konsultacija identifikovana potreba za preciznijim definisanjem mjera i aktivnosti po zonama, kao i za dosljednijom primjenom zaštitnih pojaseva van granica zaštićenih područja.</w:t>
      </w:r>
    </w:p>
    <w:p w:rsidR="00D14804" w:rsidRDefault="00E47E1B">
      <w:pPr>
        <w:spacing w:before="280" w:after="280" w:line="240" w:lineRule="auto"/>
        <w:jc w:val="both"/>
        <w:rPr>
          <w:rFonts w:ascii="Arial" w:eastAsia="Arial" w:hAnsi="Arial" w:cs="Arial"/>
        </w:rPr>
      </w:pPr>
      <w:r>
        <w:rPr>
          <w:rFonts w:ascii="Arial" w:eastAsia="Arial" w:hAnsi="Arial" w:cs="Arial"/>
        </w:rPr>
        <w:t xml:space="preserve">Prema registru zaštićenih područja, do 2020. godine proglašena su </w:t>
      </w:r>
      <w:r>
        <w:rPr>
          <w:rFonts w:ascii="Arial" w:eastAsia="Arial" w:hAnsi="Arial" w:cs="Arial"/>
          <w:b/>
          <w:bCs/>
        </w:rPr>
        <w:t>73 područja</w:t>
      </w:r>
      <w:r>
        <w:rPr>
          <w:rFonts w:ascii="Arial" w:eastAsia="Arial" w:hAnsi="Arial" w:cs="Arial"/>
        </w:rPr>
        <w:t xml:space="preserve">, od kojih je </w:t>
      </w:r>
      <w:r>
        <w:rPr>
          <w:rFonts w:ascii="Arial" w:eastAsia="Arial" w:hAnsi="Arial" w:cs="Arial"/>
          <w:b/>
          <w:bCs/>
        </w:rPr>
        <w:t>44</w:t>
      </w:r>
      <w:r>
        <w:rPr>
          <w:rFonts w:ascii="Arial" w:eastAsia="Arial" w:hAnsi="Arial" w:cs="Arial"/>
        </w:rPr>
        <w:t xml:space="preserve"> imalo imenovanog upravljača, a samo </w:t>
      </w:r>
      <w:r>
        <w:rPr>
          <w:rFonts w:ascii="Arial" w:eastAsia="Arial" w:hAnsi="Arial" w:cs="Arial"/>
          <w:b/>
          <w:bCs/>
        </w:rPr>
        <w:t>9</w:t>
      </w:r>
      <w:r>
        <w:rPr>
          <w:rFonts w:ascii="Arial" w:eastAsia="Arial" w:hAnsi="Arial" w:cs="Arial"/>
        </w:rPr>
        <w:t xml:space="preserve"> usvojene planove upravljanja. Analiza iz 2023. godine ukazuje na povećanje na </w:t>
      </w:r>
      <w:r>
        <w:rPr>
          <w:rFonts w:ascii="Arial" w:eastAsia="Arial" w:hAnsi="Arial" w:cs="Arial"/>
          <w:b/>
          <w:bCs/>
        </w:rPr>
        <w:t>80 područja</w:t>
      </w:r>
      <w:r>
        <w:rPr>
          <w:rFonts w:ascii="Arial" w:eastAsia="Arial" w:hAnsi="Arial" w:cs="Arial"/>
        </w:rPr>
        <w:t xml:space="preserve"> i </w:t>
      </w:r>
      <w:r>
        <w:rPr>
          <w:rFonts w:ascii="Arial" w:eastAsia="Arial" w:hAnsi="Arial" w:cs="Arial"/>
          <w:b/>
          <w:bCs/>
        </w:rPr>
        <w:t>53 upravljača (66%)</w:t>
      </w:r>
      <w:r>
        <w:rPr>
          <w:rFonts w:ascii="Arial" w:eastAsia="Arial" w:hAnsi="Arial" w:cs="Arial"/>
        </w:rPr>
        <w:t xml:space="preserve">, ali uz svega </w:t>
      </w:r>
      <w:r>
        <w:rPr>
          <w:rFonts w:ascii="Arial" w:eastAsia="Arial" w:hAnsi="Arial" w:cs="Arial"/>
          <w:b/>
          <w:bCs/>
        </w:rPr>
        <w:t>8</w:t>
      </w:r>
      <w:r>
        <w:rPr>
          <w:rFonts w:ascii="Arial" w:eastAsia="Arial" w:hAnsi="Arial" w:cs="Arial"/>
        </w:rPr>
        <w:t xml:space="preserve"> važećih planova upravljanja. Studije zaštite, kao osnov za proglašenje područja, izrađene su za oko </w:t>
      </w:r>
      <w:r>
        <w:rPr>
          <w:rFonts w:ascii="Arial" w:eastAsia="Arial" w:hAnsi="Arial" w:cs="Arial"/>
          <w:b/>
          <w:bCs/>
        </w:rPr>
        <w:t>22 lokaliteta (27,5%)</w:t>
      </w:r>
      <w:r>
        <w:rPr>
          <w:rFonts w:ascii="Arial" w:eastAsia="Arial" w:hAnsi="Arial" w:cs="Arial"/>
        </w:rPr>
        <w:t xml:space="preserve">, dok je za većinu postojećih područja potrebna revizija. Identifikovani nedostaci odnose se na nejasno definisane konzervacione ciljeve i zone zaštite, ograničene participativne procese, neriješena imovinsko-pravna pitanja, izostanak procjene troškova i koristi, kao i nepostojanje funkcionalnih mehanizama raspodjele koristi od zaštite.Ciljevi i mjere očuvanja nijesu dovoljno integrisani u politike niti operativno razrađeni u studijama zaštite i planovima upravljanja, što ograničava praćenje efektivnosti i donošenje odluka zasnovanih na podacima. </w:t>
      </w:r>
    </w:p>
    <w:p w:rsidR="00D14804" w:rsidRPr="00B176AC" w:rsidRDefault="00E47E1B">
      <w:pPr>
        <w:spacing w:before="280" w:after="280" w:line="240" w:lineRule="auto"/>
        <w:jc w:val="both"/>
        <w:rPr>
          <w:rFonts w:ascii="Arial" w:eastAsia="Arial" w:hAnsi="Arial" w:cs="Arial"/>
        </w:rPr>
      </w:pPr>
      <w:r>
        <w:rPr>
          <w:rFonts w:ascii="Arial" w:eastAsia="Arial" w:hAnsi="Arial" w:cs="Arial"/>
        </w:rPr>
        <w:t>Učešće javnosti je formalno obavezno, ali se u praksi često svodi na minimum, uz potrebu ranijeg i sadržajnijeg uključivanja lokalnih zajednica. Savremeni modeli participativnog i transparentnog upravljanja tek su djelimično prisutni, dok zajedničko, prekogranično ili upravljanje od strane lokalnih zajednica nije razvijeno. Dodatni rizici uključuju formalno učešće bez stvarnog uticaja, dominaciju interesno jačih aktera, zamor od konsultacija i ograničene finansijske resurse.</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Praćenje efektivnosti zaštite i dalje je nedovoljno razvijeno. Analize </w:t>
      </w:r>
      <w:r w:rsidRPr="00B176AC">
        <w:rPr>
          <w:rFonts w:ascii="Arial" w:eastAsia="Arial" w:hAnsi="Arial" w:cs="Arial"/>
          <w:bCs/>
        </w:rPr>
        <w:t>Copernicus</w:t>
      </w:r>
      <w:r w:rsidRPr="00B176AC">
        <w:rPr>
          <w:rFonts w:ascii="Arial" w:eastAsia="Arial" w:hAnsi="Arial" w:cs="Arial"/>
        </w:rPr>
        <w:t xml:space="preserve"> podataka ukazuju na porast urbanih površina u zaštićenim područjima (sa </w:t>
      </w:r>
      <w:r w:rsidRPr="00B176AC">
        <w:rPr>
          <w:rFonts w:ascii="Arial" w:eastAsia="Arial" w:hAnsi="Arial" w:cs="Arial"/>
          <w:bCs/>
        </w:rPr>
        <w:t>0% na 0,09%</w:t>
      </w:r>
      <w:r w:rsidRPr="00B176AC">
        <w:rPr>
          <w:rFonts w:ascii="Arial" w:eastAsia="Arial" w:hAnsi="Arial" w:cs="Arial"/>
        </w:rPr>
        <w:t xml:space="preserve"> u strogo zaštićenim zonama i sa </w:t>
      </w:r>
      <w:r w:rsidRPr="00B176AC">
        <w:rPr>
          <w:rFonts w:ascii="Arial" w:eastAsia="Arial" w:hAnsi="Arial" w:cs="Arial"/>
          <w:bCs/>
        </w:rPr>
        <w:t>0,3% na 0,7%</w:t>
      </w:r>
      <w:r w:rsidRPr="00B176AC">
        <w:rPr>
          <w:rFonts w:ascii="Arial" w:eastAsia="Arial" w:hAnsi="Arial" w:cs="Arial"/>
        </w:rPr>
        <w:t xml:space="preserve"> u ukupnim zaštićenim područjima do 2020. godine), uz istovremeno smanjenje šumske pokrivenosti. Ovi trendovi potvrđuju negativne promjene unutar zaštićenih područja i potrebu jačanja sprovođenja zakona, borbe protiv ekokriminala i unapređenja zaštite šuma. Dodatni izazovi uključuju neriješena imovinsko-pravna pitanja, nedovoljno razvijene kapacitete upravljača, slabu multisektorsku saradnju, ograničene programe edukacije i nedostatak stabilnih finansijskih mehanizama.</w:t>
      </w:r>
    </w:p>
    <w:p w:rsidR="00D14804" w:rsidRDefault="00E47E1B">
      <w:pPr>
        <w:spacing w:before="280" w:after="280" w:line="240" w:lineRule="auto"/>
        <w:jc w:val="both"/>
        <w:rPr>
          <w:rFonts w:ascii="Arial" w:eastAsia="Arial" w:hAnsi="Arial" w:cs="Arial"/>
        </w:rPr>
      </w:pPr>
      <w:r w:rsidRPr="00B176AC">
        <w:rPr>
          <w:rFonts w:ascii="Arial" w:eastAsia="Arial" w:hAnsi="Arial" w:cs="Arial"/>
        </w:rPr>
        <w:t xml:space="preserve">Povezanost zaštićenih područja i ekološka koherentnost sistema i dalje su ograničene. Iako zakonodavni okvir prepoznaje ekološke koridore kao ključne za kretanje populacija i očuvanje genetičke povezanosti, u Crnoj Gori još ne postoji sistem zvanično uspostavljenih koridora, niti su zaštićena područja sistematski sagledana u širem pejzažnom kontekstu. Postoje primjeri funkcionalne povezanosti kroz </w:t>
      </w:r>
      <w:r w:rsidRPr="00B176AC">
        <w:rPr>
          <w:rFonts w:ascii="Arial" w:eastAsia="Arial" w:hAnsi="Arial" w:cs="Arial"/>
          <w:bCs/>
        </w:rPr>
        <w:t>UNESCO rezervat biosfere basena rijeke Tare</w:t>
      </w:r>
      <w:r w:rsidRPr="00B176AC">
        <w:rPr>
          <w:rFonts w:ascii="Arial" w:eastAsia="Arial" w:hAnsi="Arial" w:cs="Arial"/>
        </w:rPr>
        <w:t xml:space="preserve"> i nominovani rezervat biosfere </w:t>
      </w:r>
      <w:r w:rsidRPr="00B176AC">
        <w:rPr>
          <w:rFonts w:ascii="Arial" w:eastAsia="Arial" w:hAnsi="Arial" w:cs="Arial"/>
          <w:bCs/>
        </w:rPr>
        <w:t>Skadarskog jezera</w:t>
      </w:r>
      <w:r w:rsidRPr="00B176AC">
        <w:rPr>
          <w:rFonts w:ascii="Arial" w:eastAsia="Arial" w:hAnsi="Arial" w:cs="Arial"/>
        </w:rPr>
        <w:t>, ali takav pristup nije sistemski razvijen na nacionalnom nivou. Koncept područja sa efikasnim mjerama zaštite (</w:t>
      </w:r>
      <w:r w:rsidRPr="00B176AC">
        <w:rPr>
          <w:rFonts w:ascii="Arial" w:eastAsia="Arial" w:hAnsi="Arial" w:cs="Arial"/>
          <w:bCs/>
        </w:rPr>
        <w:t>OECM</w:t>
      </w:r>
      <w:r w:rsidRPr="00B176AC">
        <w:rPr>
          <w:rFonts w:ascii="Arial" w:eastAsia="Arial" w:hAnsi="Arial" w:cs="Arial"/>
        </w:rPr>
        <w:t>) još nije prepoznat u zakonodavnom i institucionalnom okviru, iako postoji značajan potencijal u sektorima</w:t>
      </w:r>
      <w:r>
        <w:rPr>
          <w:rFonts w:ascii="Arial" w:eastAsia="Arial" w:hAnsi="Arial" w:cs="Arial"/>
        </w:rPr>
        <w:t xml:space="preserve"> šumarstva, poljoprivrede, vodoprivrede i ribarstva.</w:t>
      </w:r>
    </w:p>
    <w:p w:rsidR="00D14804" w:rsidRDefault="00E47E1B">
      <w:pPr>
        <w:spacing w:before="280" w:after="280" w:line="240" w:lineRule="auto"/>
        <w:jc w:val="both"/>
        <w:rPr>
          <w:rFonts w:ascii="Arial" w:eastAsia="Arial" w:hAnsi="Arial" w:cs="Arial"/>
          <w:b/>
          <w:bCs/>
        </w:rPr>
      </w:pPr>
      <w:r>
        <w:rPr>
          <w:rFonts w:ascii="Arial" w:eastAsia="Arial" w:hAnsi="Arial" w:cs="Arial"/>
        </w:rPr>
        <w:t xml:space="preserve">Restauracija degradiranih ekosistema takođe nije sistemski uređena niti integrisana u nacionalni pravni i planski okvir. Ne postoji poseban zakon koji uređuje restauraciju, niti sveobuhvatan pregled degradiranih ekosistema, što ograničava planiranje prioriteta obnove i uspostavljanje monitoringa. Analiza satelitskih </w:t>
      </w:r>
      <w:r w:rsidRPr="00B176AC">
        <w:rPr>
          <w:rFonts w:ascii="Arial" w:eastAsia="Arial" w:hAnsi="Arial" w:cs="Arial"/>
        </w:rPr>
        <w:t xml:space="preserve">podataka </w:t>
      </w:r>
      <w:r w:rsidRPr="00B176AC">
        <w:rPr>
          <w:rFonts w:ascii="Arial" w:eastAsia="Arial" w:hAnsi="Arial" w:cs="Arial"/>
          <w:bCs/>
        </w:rPr>
        <w:t>Copernicus i Sentinel</w:t>
      </w:r>
      <w:r w:rsidRPr="00B176AC">
        <w:rPr>
          <w:rFonts w:ascii="Arial" w:eastAsia="Arial" w:hAnsi="Arial" w:cs="Arial"/>
        </w:rPr>
        <w:t xml:space="preserve"> pokazuje da je u periodu </w:t>
      </w:r>
      <w:r w:rsidRPr="00B176AC">
        <w:rPr>
          <w:rFonts w:ascii="Arial" w:eastAsia="Arial" w:hAnsi="Arial" w:cs="Arial"/>
          <w:bCs/>
        </w:rPr>
        <w:t>2021–2024.</w:t>
      </w:r>
      <w:r w:rsidRPr="00B176AC">
        <w:rPr>
          <w:rFonts w:ascii="Arial" w:eastAsia="Arial" w:hAnsi="Arial" w:cs="Arial"/>
        </w:rPr>
        <w:t xml:space="preserve"> godine došlo do smanjenja šumskih površina od oko </w:t>
      </w:r>
      <w:r w:rsidRPr="00B176AC">
        <w:rPr>
          <w:rFonts w:ascii="Arial" w:eastAsia="Arial" w:hAnsi="Arial" w:cs="Arial"/>
          <w:bCs/>
        </w:rPr>
        <w:t>587,1 km²</w:t>
      </w:r>
      <w:r w:rsidRPr="00B176AC">
        <w:rPr>
          <w:rFonts w:ascii="Arial" w:eastAsia="Arial" w:hAnsi="Arial" w:cs="Arial"/>
        </w:rPr>
        <w:t xml:space="preserve">, što odgovara približno </w:t>
      </w:r>
      <w:r w:rsidRPr="00B176AC">
        <w:rPr>
          <w:rFonts w:ascii="Arial" w:eastAsia="Arial" w:hAnsi="Arial" w:cs="Arial"/>
          <w:bCs/>
        </w:rPr>
        <w:t>9,39 miliona m³</w:t>
      </w:r>
      <w:r w:rsidRPr="00B176AC">
        <w:rPr>
          <w:rFonts w:ascii="Arial" w:eastAsia="Arial" w:hAnsi="Arial" w:cs="Arial"/>
        </w:rPr>
        <w:t xml:space="preserve"> drvne mase, dok je zvanično evidentirana sječa iznosila oko </w:t>
      </w:r>
      <w:r w:rsidRPr="00B176AC">
        <w:rPr>
          <w:rFonts w:ascii="Arial" w:eastAsia="Arial" w:hAnsi="Arial" w:cs="Arial"/>
          <w:bCs/>
        </w:rPr>
        <w:t>2,12 miliona m³</w:t>
      </w:r>
      <w:r w:rsidRPr="00B176AC">
        <w:rPr>
          <w:rFonts w:ascii="Arial" w:eastAsia="Arial" w:hAnsi="Arial" w:cs="Arial"/>
        </w:rPr>
        <w:t>, što ukazuje na značajna odstupanja i slabosti sistema</w:t>
      </w:r>
      <w:r>
        <w:rPr>
          <w:rFonts w:ascii="Arial" w:eastAsia="Arial" w:hAnsi="Arial" w:cs="Arial"/>
        </w:rPr>
        <w:t xml:space="preserve"> evidencije i kontrole. Nedostatak pouzdanog i nezavisnog sistema monitoringa šuma, kao i ograničena primjena digitalnih alata, dodatno otežavaju procjenu održivosti korišćenja resursa. Aktivnosti restauracije koje se sprovode kroz projekte civilnog sektora nijesu sistemski povezane sa nacionalnim politikama niti čine dio koordinisanog državnog pristupa.</w:t>
      </w:r>
    </w:p>
    <w:p w:rsidR="00D14804" w:rsidRDefault="00E47E1B">
      <w:pPr>
        <w:spacing w:before="280" w:after="280" w:line="240" w:lineRule="auto"/>
        <w:jc w:val="both"/>
        <w:rPr>
          <w:rFonts w:ascii="Arial" w:eastAsia="Arial" w:hAnsi="Arial" w:cs="Arial"/>
        </w:rPr>
      </w:pPr>
      <w:r>
        <w:rPr>
          <w:rFonts w:ascii="Arial" w:eastAsia="Arial" w:hAnsi="Arial" w:cs="Arial"/>
          <w:b/>
          <w:bCs/>
        </w:rPr>
        <w:lastRenderedPageBreak/>
        <w:t>Drugi problem odnosi se na ograničenu efektivnost sistema zaštite prirode i upravljanja zaštićenim područjima, vrstama, staništima i ekosistemima. Analiza ukazuje na slabosti upravljačkih i planskih mehanizama, nedovoljnu primjenu adaptivnog upravljanja zasnovanog na naučnim podacima, kao i na ograničenu reprezentativnost, povezanost i ekološku koherentnost mreže zaštićenih područja i drugih efikasnih mjera očuvanja zasnovanih na prostoru (OECM). Dodatno, nedostatak sistematskih mjera očuvanja i obnove, uključujući dugoročne programe restauracije i integraciju mjera adaptacije na klimatske promjene, utiče na ograničenu sposobnost sistema zaštite da odgovori na kumulativne antropogene pritiske. Posljedice uključuju neostvarivanje ciljeva očuvanja u okviru formalnog sistema zaštite, nedovoljnu obnovu degradiranih ekosistema i dugoročno slabljenje legitimnosti i institucionalne uloge sistema zaštite prirode, uz smanjeno povjerenje ključnih aktera u politike očuvanja.</w:t>
      </w:r>
    </w:p>
    <w:p w:rsidR="0064038B" w:rsidRPr="0064038B" w:rsidRDefault="0064038B">
      <w:pPr>
        <w:spacing w:before="280" w:after="280" w:line="240" w:lineRule="auto"/>
        <w:jc w:val="both"/>
        <w:rPr>
          <w:rFonts w:ascii="Arial" w:eastAsia="Arial" w:hAnsi="Arial" w:cs="Arial"/>
        </w:rPr>
      </w:pPr>
    </w:p>
    <w:p w:rsidR="00D14804" w:rsidRDefault="00E47E1B">
      <w:pPr>
        <w:pStyle w:val="Heading4"/>
        <w:rPr>
          <w:rFonts w:ascii="Arial" w:eastAsia="Arial" w:hAnsi="Arial" w:cs="Arial"/>
          <w:b/>
          <w:bCs/>
          <w:color w:val="000000"/>
        </w:rPr>
      </w:pPr>
      <w:r>
        <w:rPr>
          <w:rFonts w:ascii="Arial" w:eastAsia="Arial" w:hAnsi="Arial" w:cs="Arial"/>
          <w:b/>
          <w:bCs/>
          <w:color w:val="000000"/>
        </w:rPr>
        <w:t>Problem 3: Neodrživo korišćenje prirodnih resursa i nedovoljna integracija biodiverziteta u sektorske politike</w:t>
      </w:r>
      <w:r>
        <w:rPr>
          <w:rFonts w:ascii="Arial" w:eastAsia="Arial" w:hAnsi="Arial" w:cs="Arial"/>
          <w:b/>
          <w:bCs/>
        </w:rPr>
        <w:t>.</w:t>
      </w:r>
    </w:p>
    <w:p w:rsidR="00D14804" w:rsidRPr="00B176AC" w:rsidRDefault="00E47E1B">
      <w:pPr>
        <w:spacing w:before="280" w:after="280" w:line="240" w:lineRule="auto"/>
        <w:jc w:val="both"/>
        <w:rPr>
          <w:rFonts w:ascii="Arial" w:eastAsia="Arial" w:hAnsi="Arial" w:cs="Arial"/>
        </w:rPr>
      </w:pPr>
      <w:r>
        <w:rPr>
          <w:rFonts w:ascii="Arial" w:eastAsia="Arial" w:hAnsi="Arial" w:cs="Arial"/>
        </w:rPr>
        <w:t xml:space="preserve">Treći identifikovani problem odnosi se na neodrživo korišćenje resursa i slabu integraciju biodiverziteta u sektorske i razvojne politike. Prekomjerno i neodrživo korišćenje prirodnih resursa predstavlja jedan od ključnih uzroka degradacije biodiverziteta u Crnoj Gori. Neodrživa i ilegalna sječa šuma prisutna je u mnogim djelovima zemlje, uključujući i zaštićena područja poput Parka prirode </w:t>
      </w:r>
      <w:r w:rsidRPr="00B176AC">
        <w:rPr>
          <w:rFonts w:ascii="Arial" w:eastAsia="Arial" w:hAnsi="Arial" w:cs="Arial"/>
          <w:bCs/>
        </w:rPr>
        <w:t>Komovi</w:t>
      </w:r>
      <w:r w:rsidRPr="00B176AC">
        <w:rPr>
          <w:rFonts w:ascii="Arial" w:eastAsia="Arial" w:hAnsi="Arial" w:cs="Arial"/>
        </w:rPr>
        <w:t xml:space="preserve">, uz pojave čiste sječe, gubitka šumskih staništa, povećane erozije i narušavanja vodnog režima. </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Prema izvještaju </w:t>
      </w:r>
      <w:r w:rsidRPr="00B176AC">
        <w:rPr>
          <w:rFonts w:ascii="Arial" w:eastAsia="Arial" w:hAnsi="Arial" w:cs="Arial"/>
          <w:bCs/>
        </w:rPr>
        <w:t>Državne revizorske institucije</w:t>
      </w:r>
      <w:r w:rsidRPr="00B176AC">
        <w:rPr>
          <w:rFonts w:ascii="Arial" w:eastAsia="Arial" w:hAnsi="Arial" w:cs="Arial"/>
        </w:rPr>
        <w:t xml:space="preserve"> iz </w:t>
      </w:r>
      <w:r w:rsidRPr="00B176AC">
        <w:rPr>
          <w:rFonts w:ascii="Arial" w:eastAsia="Arial" w:hAnsi="Arial" w:cs="Arial"/>
          <w:bCs/>
        </w:rPr>
        <w:t>jula 2025. godine</w:t>
      </w:r>
      <w:r w:rsidRPr="00B176AC">
        <w:rPr>
          <w:rFonts w:ascii="Arial" w:eastAsia="Arial" w:hAnsi="Arial" w:cs="Arial"/>
        </w:rPr>
        <w:t xml:space="preserve">, šumska površina smanjena je za oko </w:t>
      </w:r>
      <w:r w:rsidRPr="00B176AC">
        <w:rPr>
          <w:rFonts w:ascii="Arial" w:eastAsia="Arial" w:hAnsi="Arial" w:cs="Arial"/>
          <w:bCs/>
        </w:rPr>
        <w:t>587 km²</w:t>
      </w:r>
      <w:r w:rsidRPr="00B176AC">
        <w:rPr>
          <w:rFonts w:ascii="Arial" w:eastAsia="Arial" w:hAnsi="Arial" w:cs="Arial"/>
        </w:rPr>
        <w:t xml:space="preserve"> u periodu </w:t>
      </w:r>
      <w:r w:rsidRPr="00B176AC">
        <w:rPr>
          <w:rFonts w:ascii="Arial" w:eastAsia="Arial" w:hAnsi="Arial" w:cs="Arial"/>
          <w:bCs/>
        </w:rPr>
        <w:t>2017–2024.</w:t>
      </w:r>
      <w:r w:rsidRPr="00B176AC">
        <w:rPr>
          <w:rFonts w:ascii="Arial" w:eastAsia="Arial" w:hAnsi="Arial" w:cs="Arial"/>
        </w:rPr>
        <w:t xml:space="preserve"> godine (od čega </w:t>
      </w:r>
      <w:r w:rsidRPr="00B176AC">
        <w:rPr>
          <w:rFonts w:ascii="Arial" w:eastAsia="Arial" w:hAnsi="Arial" w:cs="Arial"/>
          <w:bCs/>
        </w:rPr>
        <w:t>530 km²</w:t>
      </w:r>
      <w:r w:rsidRPr="00B176AC">
        <w:rPr>
          <w:rFonts w:ascii="Arial" w:eastAsia="Arial" w:hAnsi="Arial" w:cs="Arial"/>
        </w:rPr>
        <w:t xml:space="preserve"> u periodu </w:t>
      </w:r>
      <w:r w:rsidRPr="00B176AC">
        <w:rPr>
          <w:rFonts w:ascii="Arial" w:eastAsia="Arial" w:hAnsi="Arial" w:cs="Arial"/>
          <w:bCs/>
        </w:rPr>
        <w:t>2021–2024. godine</w:t>
      </w:r>
      <w:r w:rsidRPr="00B176AC">
        <w:rPr>
          <w:rFonts w:ascii="Arial" w:eastAsia="Arial" w:hAnsi="Arial" w:cs="Arial"/>
        </w:rPr>
        <w:t xml:space="preserve">), što odgovara približno </w:t>
      </w:r>
      <w:r w:rsidRPr="00B176AC">
        <w:rPr>
          <w:rFonts w:ascii="Arial" w:eastAsia="Arial" w:hAnsi="Arial" w:cs="Arial"/>
          <w:bCs/>
        </w:rPr>
        <w:t>9,4 miliona m³</w:t>
      </w:r>
      <w:r w:rsidRPr="00B176AC">
        <w:rPr>
          <w:rFonts w:ascii="Arial" w:eastAsia="Arial" w:hAnsi="Arial" w:cs="Arial"/>
        </w:rPr>
        <w:t xml:space="preserve"> drveta, dok je zvanično prijavljeno oko </w:t>
      </w:r>
      <w:r w:rsidRPr="00B176AC">
        <w:rPr>
          <w:rFonts w:ascii="Arial" w:eastAsia="Arial" w:hAnsi="Arial" w:cs="Arial"/>
          <w:bCs/>
        </w:rPr>
        <w:t>2,1 milion m³</w:t>
      </w:r>
      <w:r w:rsidRPr="00B176AC">
        <w:rPr>
          <w:rFonts w:ascii="Arial" w:eastAsia="Arial" w:hAnsi="Arial" w:cs="Arial"/>
        </w:rPr>
        <w:t xml:space="preserve"> sječe, što ukazuje na značajna odstupanja i slabosti sistema monitoringa i kontrole. </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Ilegalni lov i ribolov dodatno ugrožavaju faunu, uključujući komercijalne, lovne i zakonom zaštićene vrste poput </w:t>
      </w:r>
      <w:r w:rsidRPr="00B176AC">
        <w:rPr>
          <w:rFonts w:ascii="Arial" w:eastAsia="Arial" w:hAnsi="Arial" w:cs="Arial"/>
          <w:bCs/>
        </w:rPr>
        <w:t>jegulje, kernje, srne i divokoze</w:t>
      </w:r>
      <w:r w:rsidRPr="00B176AC">
        <w:rPr>
          <w:rFonts w:ascii="Arial" w:eastAsia="Arial" w:hAnsi="Arial" w:cs="Arial"/>
        </w:rPr>
        <w:t xml:space="preserve">, a nekontrolisani izlov doveo je i do nestanka </w:t>
      </w:r>
      <w:r w:rsidRPr="00B176AC">
        <w:rPr>
          <w:rFonts w:ascii="Arial" w:eastAsia="Arial" w:hAnsi="Arial" w:cs="Arial"/>
          <w:bCs/>
        </w:rPr>
        <w:t>balkanskog risa</w:t>
      </w:r>
      <w:r w:rsidRPr="00B176AC">
        <w:rPr>
          <w:rFonts w:ascii="Arial" w:eastAsia="Arial" w:hAnsi="Arial" w:cs="Arial"/>
        </w:rPr>
        <w:t xml:space="preserve"> iz Crne Gore. U slatkovodnim i morskim ekosistemima prisutan je prelov i upotreba zabranjenih sredstava, često i unutar zaštićenih područja kao što su </w:t>
      </w:r>
      <w:r w:rsidRPr="00B176AC">
        <w:rPr>
          <w:rFonts w:ascii="Arial" w:eastAsia="Arial" w:hAnsi="Arial" w:cs="Arial"/>
          <w:bCs/>
        </w:rPr>
        <w:t>NP Skadarsko jezero</w:t>
      </w:r>
      <w:r w:rsidRPr="00B176AC">
        <w:rPr>
          <w:rFonts w:ascii="Arial" w:eastAsia="Arial" w:hAnsi="Arial" w:cs="Arial"/>
        </w:rPr>
        <w:t xml:space="preserve"> i </w:t>
      </w:r>
      <w:r w:rsidRPr="00B176AC">
        <w:rPr>
          <w:rFonts w:ascii="Arial" w:eastAsia="Arial" w:hAnsi="Arial" w:cs="Arial"/>
          <w:bCs/>
        </w:rPr>
        <w:t>NP Durmitor</w:t>
      </w:r>
      <w:r w:rsidRPr="00B176AC">
        <w:rPr>
          <w:rFonts w:ascii="Arial" w:eastAsia="Arial" w:hAnsi="Arial" w:cs="Arial"/>
        </w:rPr>
        <w:t xml:space="preserve">. </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Dodatni pritisak predstavlja neodrživo sakupljanje šumskih plodova, gljiva i ljekovitog bilja, uključujući zaštićene vrste poput </w:t>
      </w:r>
      <w:r w:rsidRPr="00B176AC">
        <w:rPr>
          <w:rFonts w:ascii="Arial" w:eastAsia="Arial" w:hAnsi="Arial" w:cs="Arial"/>
          <w:bCs/>
        </w:rPr>
        <w:t>lincure (</w:t>
      </w:r>
      <w:r w:rsidRPr="00B176AC">
        <w:rPr>
          <w:rFonts w:ascii="Arial" w:eastAsia="Arial" w:hAnsi="Arial" w:cs="Arial"/>
          <w:bCs/>
          <w:i/>
          <w:iCs/>
        </w:rPr>
        <w:t>Gentiana lutea</w:t>
      </w:r>
      <w:r w:rsidRPr="00B176AC">
        <w:rPr>
          <w:rFonts w:ascii="Arial" w:eastAsia="Arial" w:hAnsi="Arial" w:cs="Arial"/>
          <w:bCs/>
        </w:rPr>
        <w:t>)</w:t>
      </w:r>
      <w:r w:rsidRPr="00B176AC">
        <w:rPr>
          <w:rFonts w:ascii="Arial" w:eastAsia="Arial" w:hAnsi="Arial" w:cs="Arial"/>
        </w:rPr>
        <w:t xml:space="preserve"> i </w:t>
      </w:r>
      <w:r w:rsidRPr="00B176AC">
        <w:rPr>
          <w:rFonts w:ascii="Arial" w:eastAsia="Arial" w:hAnsi="Arial" w:cs="Arial"/>
          <w:bCs/>
        </w:rPr>
        <w:t>prstaca (</w:t>
      </w:r>
      <w:r w:rsidRPr="00B176AC">
        <w:rPr>
          <w:rFonts w:ascii="Arial" w:eastAsia="Arial" w:hAnsi="Arial" w:cs="Arial"/>
          <w:bCs/>
          <w:i/>
          <w:iCs/>
        </w:rPr>
        <w:t>Lithophaga lithophaga</w:t>
      </w:r>
      <w:r w:rsidRPr="00B176AC">
        <w:rPr>
          <w:rFonts w:ascii="Arial" w:eastAsia="Arial" w:hAnsi="Arial" w:cs="Arial"/>
          <w:bCs/>
        </w:rPr>
        <w:t>)</w:t>
      </w:r>
      <w:r w:rsidRPr="00B176AC">
        <w:rPr>
          <w:rFonts w:ascii="Arial" w:eastAsia="Arial" w:hAnsi="Arial" w:cs="Arial"/>
        </w:rPr>
        <w:t xml:space="preserve">, kao i smanjenje populacija strogo zaštićenih biljaka, poput </w:t>
      </w:r>
      <w:r w:rsidRPr="00B176AC">
        <w:rPr>
          <w:rFonts w:ascii="Arial" w:eastAsia="Arial" w:hAnsi="Arial" w:cs="Arial"/>
          <w:bCs/>
        </w:rPr>
        <w:t>svete trave sa Rumije (</w:t>
      </w:r>
      <w:r w:rsidRPr="00B176AC">
        <w:rPr>
          <w:rFonts w:ascii="Arial" w:eastAsia="Arial" w:hAnsi="Arial" w:cs="Arial"/>
          <w:bCs/>
          <w:i/>
          <w:iCs/>
        </w:rPr>
        <w:t>Onosma visianii</w:t>
      </w:r>
      <w:r w:rsidRPr="00B176AC">
        <w:rPr>
          <w:rFonts w:ascii="Arial" w:eastAsia="Arial" w:hAnsi="Arial" w:cs="Arial"/>
          <w:bCs/>
        </w:rPr>
        <w:t>)</w:t>
      </w:r>
      <w:r w:rsidRPr="00B176AC">
        <w:rPr>
          <w:rFonts w:ascii="Arial" w:eastAsia="Arial" w:hAnsi="Arial" w:cs="Arial"/>
        </w:rPr>
        <w:t>. Ovi procesi direktno umanjuju regenerativni potencijal populacija i dugoročno narušavaju funkcionalnost ekosistema.</w:t>
      </w:r>
    </w:p>
    <w:p w:rsidR="00D14804" w:rsidRPr="00B176AC" w:rsidRDefault="00E47E1B">
      <w:pPr>
        <w:spacing w:before="280" w:after="280" w:line="240" w:lineRule="auto"/>
        <w:jc w:val="both"/>
        <w:rPr>
          <w:rFonts w:ascii="Arial" w:eastAsia="Arial" w:hAnsi="Arial" w:cs="Arial"/>
        </w:rPr>
      </w:pPr>
      <w:r w:rsidRPr="00B176AC">
        <w:rPr>
          <w:rFonts w:ascii="Arial" w:eastAsia="Arial" w:hAnsi="Arial" w:cs="Arial"/>
        </w:rPr>
        <w:t xml:space="preserve">Istovremeno, integracija biodiverziteta u sektorske politike i prakse ostaje djelimična, fragmentisana i često deklarativna, iako ključni razvojni sektori snažno zavise od ekosistemskih usluga. U poljoprivredi podsticaji i dalje favorizuju intenzivne modele proizvodnje, bez sistemskog očuvanja agrobiodiverziteta i poluprirodnih staništa. U turizmu biodiverzitet jeste prepoznat kao razvojni resurs, ali nije dosljedno integrisan u planiranje prostora, upravljanje posjetama i određivanje kapaciteta nosivosti. Razvoj obnovljivih izvora energije često se odvija bez sistemskog uključivanja biodiverziteta u izbor lokacija i procjenu kumulativnih uticaja. U šumarstvu operativna praksa često daje prednost ekonomskim ciljevima u odnosu na ekološke funkcije šuma, dok je u ribarstvu upravljanje ograničeno nedovoljnom kontrolom i naučno zasnovanim planiranjem. U vodoprivredi biodiverzitet nije centralni kriterijum u planiranju vodne infrastrukture, a u prostornom planiranju, uprkos </w:t>
      </w:r>
      <w:r w:rsidRPr="00B176AC">
        <w:rPr>
          <w:rFonts w:ascii="Arial" w:eastAsia="Arial" w:hAnsi="Arial" w:cs="Arial"/>
        </w:rPr>
        <w:lastRenderedPageBreak/>
        <w:t xml:space="preserve">formalnom prepoznavanju ekoloških koridora i zaštićenih područja, praksa često ne sprječava fragmentaciju staništa i kumulativne pritiske razvoja. </w:t>
      </w:r>
    </w:p>
    <w:p w:rsidR="00D02DC0" w:rsidRPr="00D02DC0" w:rsidRDefault="00D02DC0" w:rsidP="00D02DC0">
      <w:pPr>
        <w:spacing w:before="280" w:after="280" w:line="240" w:lineRule="auto"/>
        <w:jc w:val="both"/>
        <w:rPr>
          <w:rFonts w:ascii="Arial" w:eastAsia="Arial" w:hAnsi="Arial" w:cs="Arial"/>
        </w:rPr>
      </w:pPr>
      <w:r w:rsidRPr="00D02DC0">
        <w:rPr>
          <w:rFonts w:ascii="Arial" w:eastAsia="Arial" w:hAnsi="Arial" w:cs="Arial"/>
        </w:rPr>
        <w:t>U praksi, mehanizmi strateške i projektne procjene uticaja (SEA i EIA) često se sprovode pretežno proceduralno, bez dosljednog razmatranja kumulativnih uticaja, funkcionalne povezanosti ekosistema i dugoročnih klimatskih rizika. Posebno izostaje sistematično uključivanje rješenja zasnovanih na prirodi (NbS) kao mogućih mjera ublažavanja, sanacije i restauracije, gdje je to primjenljivo i opravdano u odnosu na karakter projekta i prostorni kontekst.</w:t>
      </w:r>
    </w:p>
    <w:p w:rsidR="00D02DC0" w:rsidRPr="00D02DC0" w:rsidRDefault="00D02DC0" w:rsidP="00D02DC0">
      <w:pPr>
        <w:spacing w:before="280" w:after="280" w:line="240" w:lineRule="auto"/>
        <w:jc w:val="both"/>
        <w:rPr>
          <w:rFonts w:ascii="Arial" w:eastAsia="Arial" w:hAnsi="Arial" w:cs="Arial"/>
        </w:rPr>
      </w:pPr>
      <w:r w:rsidRPr="00D02DC0">
        <w:rPr>
          <w:rFonts w:ascii="Arial" w:eastAsia="Arial" w:hAnsi="Arial" w:cs="Arial"/>
        </w:rPr>
        <w:t xml:space="preserve">Iako NbS ne predstavlja univerzalnu alternativu za sve infrastrukturne i razvojne zahvate, njihovo rano razmatranje u fazi planiranja i definisanja mjera u SEA/EIA postupcima omogućava integraciju klimatske otpornosti, smanjenje pritisaka na biodiverzitet i dugoročno ekonomičnija rješenja zasnovana na ekosistemskim funkcijama. U tom smislu, </w:t>
      </w:r>
      <w:r w:rsidR="0073617E">
        <w:rPr>
          <w:rFonts w:ascii="Arial" w:eastAsia="Arial" w:hAnsi="Arial" w:cs="Arial"/>
        </w:rPr>
        <w:t>NSBAP</w:t>
      </w:r>
      <w:r w:rsidRPr="00D02DC0">
        <w:rPr>
          <w:rFonts w:ascii="Arial" w:eastAsia="Arial" w:hAnsi="Arial" w:cs="Arial"/>
        </w:rPr>
        <w:t xml:space="preserve"> prepoznaje potrebu razvoja smjernica i metodoloških okvira za procjenu primjenjivosti NbS u planskim i projektnim dokumentima, posebno u segmentu sanacije i ekološke restauracije degradiranih područja.</w:t>
      </w:r>
    </w:p>
    <w:p w:rsidR="00D14804" w:rsidRPr="00D02DC0" w:rsidRDefault="00E47E1B" w:rsidP="00D02DC0">
      <w:pPr>
        <w:spacing w:before="280" w:after="280" w:line="240" w:lineRule="auto"/>
        <w:jc w:val="both"/>
        <w:rPr>
          <w:rFonts w:ascii="Arial" w:eastAsia="Arial" w:hAnsi="Arial" w:cs="Arial"/>
          <w:b/>
          <w:bCs/>
        </w:rPr>
      </w:pPr>
      <w:r>
        <w:rPr>
          <w:rFonts w:ascii="Arial" w:eastAsia="Arial" w:hAnsi="Arial" w:cs="Arial"/>
        </w:rPr>
        <w:t xml:space="preserve">Dodatni strukturni problem predstavlja nedovoljna integracija i ekonomsko vrednovanje ekosistemskih usluga u javnim politikama i razvojnim odlukama. Prirodni kapital koji podržava poljoprivredu, šumarstvo, ribarstvo, turizam, energetiku i vodosnabdijevanje koristi se bez sistematskog ekonomskog vrednovanja i bez punog uvažavanja kapaciteta ekosistema za regeneraciju. Regulatorne funkcije, poput prečišćavanja voda, zaštite od poplava i erozije, regulacije klime i skladištenja ugljenika, rijetko se kvantifikuju i uključuju u budžetsko i investiciono planiranje, iako njihova zamjena tehničkim rješenjima generiše znatno veće troškove. Nedovoljna primjena pristupa ekonomskog vrednovanja biodiverziteta, poput </w:t>
      </w:r>
      <w:r w:rsidRPr="00B176AC">
        <w:rPr>
          <w:rFonts w:ascii="Arial" w:eastAsia="Arial" w:hAnsi="Arial" w:cs="Arial"/>
          <w:bCs/>
        </w:rPr>
        <w:t>BIOFIN</w:t>
      </w:r>
      <w:r w:rsidRPr="00B176AC">
        <w:rPr>
          <w:rFonts w:ascii="Arial" w:eastAsia="Arial" w:hAnsi="Arial" w:cs="Arial"/>
        </w:rPr>
        <w:t>,</w:t>
      </w:r>
      <w:r>
        <w:rPr>
          <w:rFonts w:ascii="Arial" w:eastAsia="Arial" w:hAnsi="Arial" w:cs="Arial"/>
        </w:rPr>
        <w:t xml:space="preserve"> dovodi do toga da se biodiverzitet često posmatra kao ograničenje razvoja, a ne kao strateški resurs. </w:t>
      </w:r>
      <w:r w:rsidRPr="00D02DC0">
        <w:rPr>
          <w:rFonts w:ascii="Arial" w:eastAsia="Arial" w:hAnsi="Arial" w:cs="Arial"/>
        </w:rPr>
        <w:t>Nedostatak nacionalnog sistema za mapiranje, procjenu i integraciju vrijednosti ekosistemskih usluga u budžetsko i sektorsko planiranje dodatno otežava donošenje informisanih odluka. Sistem nacionalnih računa još uvijek ne prepoznaje doprinos prirodnog kapitala, a sektorske politike rijetko koriste socio-ekonomske procjene kao osnov za prioritizaciju investicija. Kao rezultat, javne politike i budžetske alokacije često ne odražavaju stvarne troškove degradacije niti koristi od očuvanja i restauracije ekosistema.</w:t>
      </w:r>
    </w:p>
    <w:p w:rsidR="00D14804" w:rsidRDefault="00E47E1B">
      <w:pPr>
        <w:spacing w:before="280" w:after="280" w:line="240" w:lineRule="auto"/>
        <w:jc w:val="both"/>
        <w:rPr>
          <w:rFonts w:ascii="Arial" w:eastAsia="Arial" w:hAnsi="Arial" w:cs="Arial"/>
          <w:b/>
          <w:bCs/>
          <w:color w:val="980000"/>
        </w:rPr>
      </w:pPr>
      <w:r>
        <w:rPr>
          <w:rFonts w:ascii="Arial" w:eastAsia="Arial" w:hAnsi="Arial" w:cs="Arial"/>
          <w:b/>
          <w:bCs/>
        </w:rPr>
        <w:t xml:space="preserve">U tom kontekstu, treći problemski pravac odnosi se na neodrživo korišćenje prirodnih resursa i nedovoljnu integraciju biodiverziteta i ekosistemskih usluga u sektorske i razvojne politike. Direktni uzroci uključuju slabu integraciju biodiverziteta u odlučivanje i strateško planiranje, nedostatak sistematskog vrednovanja biodiverziteta i ekosistemskih usluga u donošenju odluka, kao i nepravednu raspodjelu koristi od prirodnih resursa, posebno u ruralnim područjima. </w:t>
      </w:r>
      <w:r w:rsidRPr="00D02DC0">
        <w:rPr>
          <w:rFonts w:ascii="Arial" w:eastAsia="Arial" w:hAnsi="Arial" w:cs="Arial"/>
          <w:b/>
          <w:bCs/>
        </w:rPr>
        <w:t xml:space="preserve">Dodatno, sprovođenje postojećih sektorskih propisa ostaje nedovoljno dosljedno, uz ograničene kapacitete nadzora, slabu međuinstitucionalnu koordinaciju i nedovoljno efikasnu primjenu sankcija u slučajevima eko-kriminala. Ilegalna sječa, krivolov i nelegalna eksploatacija mineralnih sirovina ukazuju na sistemske slabosti u kontroli i primjeni zakona, što podstiče neodrživo korišćenje resursa i narušava povjerenje javnosti u institucije. </w:t>
      </w:r>
      <w:r>
        <w:rPr>
          <w:rFonts w:ascii="Arial" w:eastAsia="Arial" w:hAnsi="Arial" w:cs="Arial"/>
          <w:b/>
          <w:bCs/>
        </w:rPr>
        <w:t xml:space="preserve">Neodrživo i nekontrolisano korišćenje resursa dovodi do smanjenja resursne baze i produktivnosti ekosistema, kao i slabljenja usluga snabdijevanja i regulacije, što se na kraju odražava kroz smanjene razvojne potencijale, povećane dugoročne troškove degradacije i veću ranjivost društva i ekonomije na klimatske promjene i prirodne nepogode. </w:t>
      </w:r>
    </w:p>
    <w:p w:rsidR="00D14804" w:rsidRDefault="00D14804">
      <w:pPr>
        <w:spacing w:before="280" w:after="280" w:line="240" w:lineRule="auto"/>
        <w:jc w:val="both"/>
        <w:rPr>
          <w:rFonts w:ascii="Arial" w:eastAsia="Arial" w:hAnsi="Arial" w:cs="Arial"/>
          <w:b/>
          <w:bCs/>
        </w:rPr>
      </w:pPr>
    </w:p>
    <w:p w:rsidR="00D14804" w:rsidRPr="004B15C9" w:rsidRDefault="00E47E1B">
      <w:pPr>
        <w:pStyle w:val="Heading4"/>
        <w:jc w:val="both"/>
        <w:rPr>
          <w:rFonts w:ascii="Arial" w:eastAsia="Arial" w:hAnsi="Arial" w:cs="Arial"/>
          <w:b/>
          <w:bCs/>
          <w:color w:val="auto"/>
        </w:rPr>
      </w:pPr>
      <w:r>
        <w:rPr>
          <w:rFonts w:ascii="Arial" w:eastAsia="Arial" w:hAnsi="Arial" w:cs="Arial"/>
          <w:b/>
          <w:bCs/>
          <w:color w:val="000000"/>
        </w:rPr>
        <w:lastRenderedPageBreak/>
        <w:t xml:space="preserve">Horizontalni (sistemski) problem upravljanja biodiverzitetom: Sistemski nedostatak kapaciteta, koordinacije i inkluzivnih mehanizama za efektivno upravljanje </w:t>
      </w:r>
      <w:r w:rsidRPr="004B15C9">
        <w:rPr>
          <w:rFonts w:ascii="Arial" w:eastAsia="Arial" w:hAnsi="Arial" w:cs="Arial"/>
          <w:b/>
          <w:bCs/>
          <w:color w:val="auto"/>
        </w:rPr>
        <w:t>biodiverzitetom.</w:t>
      </w:r>
    </w:p>
    <w:p w:rsidR="00B176AC" w:rsidRPr="00B176AC" w:rsidRDefault="00B176AC" w:rsidP="00B176AC"/>
    <w:p w:rsidR="00D14804" w:rsidRPr="00B176AC"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Pored sektorskih pritisaka i direktnih uzroka gubitka biodiverziteta, analiza stanja identifikuje i ključni horizontalni problem koji </w:t>
      </w:r>
      <w:r w:rsidRPr="00B176AC">
        <w:rPr>
          <w:rFonts w:ascii="Arial" w:eastAsia="Arial" w:hAnsi="Arial" w:cs="Arial"/>
          <w:color w:val="000000"/>
        </w:rPr>
        <w:t xml:space="preserve">djeluje kao sistemski multiplikator rizika: </w:t>
      </w:r>
      <w:r w:rsidRPr="00B176AC">
        <w:rPr>
          <w:rFonts w:ascii="Arial" w:eastAsia="Arial" w:hAnsi="Arial" w:cs="Arial"/>
          <w:bCs/>
          <w:color w:val="000000"/>
        </w:rPr>
        <w:t>nedostatak kapaciteta, koordinacije i inkluzivnih mehanizama za efektivno upravljanje biodiverzitetom</w:t>
      </w:r>
      <w:r w:rsidRPr="00B176AC">
        <w:rPr>
          <w:rFonts w:ascii="Arial" w:eastAsia="Arial" w:hAnsi="Arial" w:cs="Arial"/>
          <w:color w:val="000000"/>
        </w:rPr>
        <w:t>. Ovaj problem ograničava sposobnost institucija da dosljedno sprovode postojeći pravni i strateški okvir, integrišu ciljeve očuvanja u razvojne politike i obezbijede dugoročno održivo upravljanje prirodnim resursima.</w:t>
      </w:r>
    </w:p>
    <w:p w:rsidR="00D14804" w:rsidRPr="00B176AC" w:rsidRDefault="00E47E1B">
      <w:pPr>
        <w:pBdr>
          <w:top w:val="nil"/>
          <w:left w:val="nil"/>
          <w:bottom w:val="nil"/>
          <w:right w:val="nil"/>
          <w:between w:val="nil"/>
        </w:pBdr>
        <w:spacing w:line="240" w:lineRule="auto"/>
        <w:jc w:val="both"/>
        <w:rPr>
          <w:rFonts w:ascii="Arial" w:eastAsia="Arial" w:hAnsi="Arial" w:cs="Arial"/>
          <w:color w:val="000000"/>
        </w:rPr>
      </w:pPr>
      <w:r w:rsidRPr="00B176AC">
        <w:rPr>
          <w:rFonts w:ascii="Arial" w:eastAsia="Arial" w:hAnsi="Arial" w:cs="Arial"/>
          <w:color w:val="000000"/>
        </w:rPr>
        <w:t xml:space="preserve">Njegovi uzroci su višeslojni i međusobno povezani. Prije svega, uočava se </w:t>
      </w:r>
      <w:r w:rsidRPr="00B176AC">
        <w:rPr>
          <w:rFonts w:ascii="Arial" w:eastAsia="Arial" w:hAnsi="Arial" w:cs="Arial"/>
          <w:bCs/>
          <w:color w:val="000000"/>
        </w:rPr>
        <w:t>nedostatak političke volje i strateškog kontinuiteta u sprovođenju reformi</w:t>
      </w:r>
      <w:r w:rsidRPr="00B176AC">
        <w:rPr>
          <w:rFonts w:ascii="Arial" w:eastAsia="Arial" w:hAnsi="Arial" w:cs="Arial"/>
          <w:color w:val="000000"/>
        </w:rPr>
        <w:t>, uz centralizovan i često politizovan sistem odlučivanja u kojem stručne i naučne osnove nijesu uvijek adekvatno uvažene. Biodiverzitet se u praksi često potcjenjuje u odnosu na kratkoročne razvojne prioritete, dok su dugoročne vizije očuvanja nedovoljno operativne kroz sprovođenje politika i mjere.</w:t>
      </w:r>
    </w:p>
    <w:p w:rsidR="00D14804" w:rsidRPr="00B176AC" w:rsidRDefault="00A26374">
      <w:pPr>
        <w:pBdr>
          <w:top w:val="nil"/>
          <w:left w:val="nil"/>
          <w:bottom w:val="nil"/>
          <w:right w:val="nil"/>
          <w:between w:val="nil"/>
        </w:pBdr>
        <w:spacing w:line="240" w:lineRule="auto"/>
        <w:jc w:val="both"/>
        <w:rPr>
          <w:rFonts w:ascii="Arial" w:eastAsia="Arial" w:hAnsi="Arial" w:cs="Arial"/>
          <w:color w:val="000000"/>
        </w:rPr>
      </w:pPr>
      <w:sdt>
        <w:sdtPr>
          <w:tag w:val="goog_rdk_19"/>
          <w:id w:val="312770536"/>
        </w:sdtPr>
        <w:sdtEndPr/>
        <w:sdtContent/>
      </w:sdt>
      <w:sdt>
        <w:sdtPr>
          <w:tag w:val="goog_rdk_20"/>
          <w:id w:val="-1703777707"/>
        </w:sdtPr>
        <w:sdtEndPr/>
        <w:sdtContent/>
      </w:sdt>
      <w:r w:rsidR="00E47E1B" w:rsidRPr="00B176AC">
        <w:rPr>
          <w:rFonts w:ascii="Arial" w:eastAsia="Arial" w:hAnsi="Arial" w:cs="Arial"/>
          <w:color w:val="000000"/>
        </w:rPr>
        <w:t xml:space="preserve">Dodatni izazov predstavlja </w:t>
      </w:r>
      <w:r w:rsidR="00E47E1B" w:rsidRPr="00B176AC">
        <w:rPr>
          <w:rFonts w:ascii="Arial" w:eastAsia="Arial" w:hAnsi="Arial" w:cs="Arial"/>
          <w:bCs/>
          <w:color w:val="000000"/>
        </w:rPr>
        <w:t>fragmentisana i nedosljedna primjena legislative i instrumenata politike zaštite prirode</w:t>
      </w:r>
      <w:r w:rsidR="00E47E1B" w:rsidRPr="00B176AC">
        <w:rPr>
          <w:rFonts w:ascii="Arial" w:eastAsia="Arial" w:hAnsi="Arial" w:cs="Arial"/>
          <w:color w:val="000000"/>
        </w:rPr>
        <w:t xml:space="preserve">, uključujući procjene uticaja na životnu sredinu, uslove zaštite prirode, mjere mitigacije i adaptacije, kao i princip „zagađivač plaća“. Istovremeno, </w:t>
      </w:r>
      <w:r w:rsidR="00E47E1B" w:rsidRPr="00B176AC">
        <w:rPr>
          <w:rFonts w:ascii="Arial" w:eastAsia="Arial" w:hAnsi="Arial" w:cs="Arial"/>
          <w:bCs/>
          <w:color w:val="000000"/>
        </w:rPr>
        <w:t>slaba međusektorska koordinacija</w:t>
      </w:r>
      <w:r w:rsidR="00E47E1B" w:rsidRPr="00B176AC">
        <w:rPr>
          <w:rFonts w:ascii="Arial" w:eastAsia="Arial" w:hAnsi="Arial" w:cs="Arial"/>
          <w:color w:val="000000"/>
        </w:rPr>
        <w:t xml:space="preserve"> i ograničena integracija biodiverziteta i ekosistemskih usluga u sektorske, razvojne i fiskalne politike dovode do kumulativnih negativnih uticaja koji nijesu sistemski prepoznati niti upravljani.</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Značajno ograničenje predstavljaju i </w:t>
      </w:r>
      <w:r>
        <w:rPr>
          <w:rFonts w:ascii="Arial" w:hAnsi="Arial" w:cs="Arial"/>
          <w:b/>
          <w:bCs/>
          <w:color w:val="000000"/>
          <w:sz w:val="22"/>
          <w:szCs w:val="22"/>
        </w:rPr>
        <w:t>nestabilno i nedovoljno finansiranje</w:t>
      </w:r>
      <w:r>
        <w:rPr>
          <w:rFonts w:ascii="Arial" w:hAnsi="Arial" w:cs="Arial"/>
          <w:color w:val="000000"/>
          <w:sz w:val="22"/>
          <w:szCs w:val="22"/>
        </w:rPr>
        <w:t>, dominacija ad hoc i projektnog pristupa, kao i neusklađenost budžetskih alokacija sa stvarnim potrebama očuvanja, obnove i upravljanja biodiverzitetom, uključujući postojanje ekonomskih podsticaja koji mogu imati štetne efekte po prirodu.</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Procjene vrijednosti biodiverziteta u Crnoj Gori pokazuju da ekosistemi, kroz direktnu upotrebu resursa i pružanje usluga poput oprašivanja, zaštite voda i rekreacije, stvaraju značajnu ekonomsku korist. Ukupna procijenjena vrijednost odabranih vrsta i ekosistema za 2011. godinu iznosila je </w:t>
      </w:r>
      <w:r>
        <w:rPr>
          <w:rFonts w:ascii="Arial" w:hAnsi="Arial" w:cs="Arial"/>
          <w:b/>
          <w:bCs/>
          <w:color w:val="000000"/>
          <w:sz w:val="22"/>
          <w:szCs w:val="22"/>
        </w:rPr>
        <w:t>€ 985 miliona</w:t>
      </w:r>
      <w:r>
        <w:rPr>
          <w:rFonts w:ascii="Arial" w:hAnsi="Arial" w:cs="Arial"/>
          <w:color w:val="000000"/>
          <w:sz w:val="22"/>
          <w:szCs w:val="22"/>
        </w:rPr>
        <w:t xml:space="preserve">, odnosno gotovo trećinu tadašnjeg BDP-a i </w:t>
      </w:r>
      <w:r>
        <w:rPr>
          <w:rFonts w:ascii="Arial" w:hAnsi="Arial" w:cs="Arial"/>
          <w:b/>
          <w:bCs/>
          <w:color w:val="000000"/>
          <w:sz w:val="22"/>
          <w:szCs w:val="22"/>
        </w:rPr>
        <w:t>2,3 puta više</w:t>
      </w:r>
      <w:r>
        <w:rPr>
          <w:rFonts w:ascii="Arial" w:hAnsi="Arial" w:cs="Arial"/>
          <w:color w:val="000000"/>
          <w:sz w:val="22"/>
          <w:szCs w:val="22"/>
        </w:rPr>
        <w:t xml:space="preserve"> od dodate vrijednosti sektora poljoprivrede, šumarstva i ribarstva</w:t>
      </w:r>
      <w:r w:rsidR="00CB158C">
        <w:rPr>
          <w:rStyle w:val="FootnoteReference"/>
          <w:rFonts w:ascii="Arial" w:hAnsi="Arial"/>
          <w:color w:val="000000"/>
          <w:sz w:val="22"/>
          <w:szCs w:val="22"/>
        </w:rPr>
        <w:footnoteReference w:id="7"/>
      </w:r>
      <w:r>
        <w:rPr>
          <w:rFonts w:ascii="Arial" w:hAnsi="Arial" w:cs="Arial"/>
          <w:color w:val="000000"/>
          <w:sz w:val="22"/>
          <w:szCs w:val="22"/>
        </w:rPr>
        <w:t>.</w:t>
      </w:r>
    </w:p>
    <w:p w:rsidR="00260647" w:rsidRDefault="00260647" w:rsidP="00260647">
      <w:pPr>
        <w:pStyle w:val="NormalWeb"/>
        <w:spacing w:before="240" w:beforeAutospacing="0" w:after="240" w:afterAutospacing="0"/>
        <w:jc w:val="both"/>
      </w:pPr>
      <w:r>
        <w:rPr>
          <w:rFonts w:ascii="Arial" w:hAnsi="Arial" w:cs="Arial"/>
          <w:color w:val="000000"/>
          <w:sz w:val="22"/>
          <w:szCs w:val="22"/>
        </w:rPr>
        <w:t>U praksi se, međutim, vrijednosti biodiverziteta često zanemaruju: ekosistemske usluge nemaju tržišnu cijenu, naknade za korišćenje prirodnih dobara ne odražavaju njihovu punu vrijednost, a prihodi iz djelatnosti koje zavise od prirode ne vraćaju se u dovoljnoj mjeri u njenu zaštitu. Ova potcijenjenost odražava se i u javnim politikama i budžetskim izdvajanjima.</w:t>
      </w:r>
    </w:p>
    <w:p w:rsidR="00260647" w:rsidRDefault="00260647" w:rsidP="00260647">
      <w:pPr>
        <w:pStyle w:val="NormalWeb"/>
        <w:spacing w:before="240" w:beforeAutospacing="0" w:after="240" w:afterAutospacing="0"/>
        <w:jc w:val="both"/>
      </w:pPr>
      <w:r>
        <w:rPr>
          <w:rFonts w:ascii="Arial" w:hAnsi="Arial" w:cs="Arial"/>
          <w:color w:val="000000"/>
          <w:sz w:val="22"/>
          <w:szCs w:val="22"/>
        </w:rPr>
        <w:t>Očuvanje biodiverziteta finansira se iz više izvora</w:t>
      </w:r>
      <w:r w:rsidR="00CB158C">
        <w:rPr>
          <w:rStyle w:val="FootnoteReference"/>
          <w:rFonts w:ascii="Arial" w:hAnsi="Arial"/>
          <w:color w:val="000000"/>
          <w:sz w:val="22"/>
          <w:szCs w:val="22"/>
        </w:rPr>
        <w:footnoteReference w:id="8"/>
      </w:r>
      <w:r>
        <w:rPr>
          <w:rFonts w:ascii="Arial" w:hAnsi="Arial" w:cs="Arial"/>
          <w:color w:val="000000"/>
          <w:sz w:val="22"/>
          <w:szCs w:val="22"/>
        </w:rPr>
        <w:t xml:space="preserve">. U periodu </w:t>
      </w:r>
      <w:r>
        <w:rPr>
          <w:rFonts w:ascii="Arial" w:hAnsi="Arial" w:cs="Arial"/>
          <w:b/>
          <w:bCs/>
          <w:color w:val="000000"/>
          <w:sz w:val="22"/>
          <w:szCs w:val="22"/>
        </w:rPr>
        <w:t>2020–2024.godine</w:t>
      </w:r>
      <w:r>
        <w:rPr>
          <w:rFonts w:ascii="Arial" w:hAnsi="Arial" w:cs="Arial"/>
          <w:color w:val="000000"/>
          <w:sz w:val="22"/>
          <w:szCs w:val="22"/>
        </w:rPr>
        <w:t xml:space="preserve"> sredstva iz domaćih izvora su gotovo u potpunosti dolazila iz javnog sektora – državnog i lokalnih budžeta te budžeta upravljača zaštićenih područja</w:t>
      </w:r>
      <w:r w:rsidR="001A0EC7">
        <w:rPr>
          <w:rStyle w:val="FootnoteReference"/>
          <w:rFonts w:ascii="Arial" w:hAnsi="Arial"/>
          <w:color w:val="000000"/>
          <w:sz w:val="22"/>
          <w:szCs w:val="22"/>
        </w:rPr>
        <w:footnoteReference w:id="9"/>
      </w:r>
      <w:r>
        <w:rPr>
          <w:rFonts w:ascii="Arial" w:hAnsi="Arial" w:cs="Arial"/>
          <w:color w:val="000000"/>
          <w:sz w:val="22"/>
          <w:szCs w:val="22"/>
        </w:rPr>
        <w:t xml:space="preserve">. Iako djeluje i </w:t>
      </w:r>
      <w:r>
        <w:rPr>
          <w:rFonts w:ascii="Arial" w:hAnsi="Arial" w:cs="Arial"/>
          <w:b/>
          <w:bCs/>
          <w:color w:val="000000"/>
          <w:sz w:val="22"/>
          <w:szCs w:val="22"/>
        </w:rPr>
        <w:t>Eko-fond</w:t>
      </w:r>
      <w:r>
        <w:rPr>
          <w:rFonts w:ascii="Arial" w:hAnsi="Arial" w:cs="Arial"/>
          <w:color w:val="000000"/>
          <w:sz w:val="22"/>
          <w:szCs w:val="22"/>
        </w:rPr>
        <w:t>, ova institucija do sada nije imala značajne prihode po osnovu</w:t>
      </w:r>
      <w:r w:rsidR="006C3C24">
        <w:rPr>
          <w:rFonts w:ascii="Arial" w:hAnsi="Arial" w:cs="Arial"/>
          <w:color w:val="000000"/>
          <w:sz w:val="22"/>
          <w:szCs w:val="22"/>
        </w:rPr>
        <w:t xml:space="preserve"> korišćenja prirodnih resursa</w:t>
      </w:r>
      <w:r w:rsidR="00B97C2D">
        <w:rPr>
          <w:rStyle w:val="FootnoteReference"/>
          <w:rFonts w:ascii="Arial" w:hAnsi="Arial"/>
          <w:color w:val="000000"/>
          <w:sz w:val="22"/>
          <w:szCs w:val="22"/>
        </w:rPr>
        <w:footnoteReference w:id="10"/>
      </w:r>
      <w:r>
        <w:rPr>
          <w:rFonts w:ascii="Arial" w:hAnsi="Arial" w:cs="Arial"/>
          <w:color w:val="000000"/>
          <w:sz w:val="22"/>
          <w:szCs w:val="22"/>
        </w:rPr>
        <w:t xml:space="preserve"> pa sljedstveno tome podrška očuvanju biodiverzitetu nije bila značajna. Za ulaganja privatnog sektora može se ocijeniti da </w:t>
      </w:r>
      <w:r>
        <w:rPr>
          <w:rFonts w:ascii="Arial" w:hAnsi="Arial" w:cs="Arial"/>
          <w:color w:val="000000"/>
          <w:sz w:val="22"/>
          <w:szCs w:val="22"/>
        </w:rPr>
        <w:lastRenderedPageBreak/>
        <w:t xml:space="preserve">su bila minimalna i uglavnom realizovana kroz </w:t>
      </w:r>
      <w:r w:rsidRPr="00FE3698">
        <w:rPr>
          <w:rFonts w:ascii="Arial" w:hAnsi="Arial" w:cs="Arial"/>
          <w:i/>
          <w:color w:val="000000"/>
          <w:sz w:val="22"/>
          <w:szCs w:val="22"/>
        </w:rPr>
        <w:t>ad hoc</w:t>
      </w:r>
      <w:r>
        <w:rPr>
          <w:rFonts w:ascii="Arial" w:hAnsi="Arial" w:cs="Arial"/>
          <w:color w:val="000000"/>
          <w:sz w:val="22"/>
          <w:szCs w:val="22"/>
        </w:rPr>
        <w:t xml:space="preserve"> donacije</w:t>
      </w:r>
      <w:r w:rsidR="00B97C2D">
        <w:rPr>
          <w:rStyle w:val="FootnoteReference"/>
          <w:rFonts w:ascii="Arial" w:hAnsi="Arial"/>
          <w:color w:val="000000"/>
          <w:sz w:val="22"/>
          <w:szCs w:val="22"/>
        </w:rPr>
        <w:footnoteReference w:id="11"/>
      </w:r>
      <w:r>
        <w:rPr>
          <w:rFonts w:ascii="Arial" w:hAnsi="Arial" w:cs="Arial"/>
          <w:color w:val="000000"/>
          <w:sz w:val="22"/>
          <w:szCs w:val="22"/>
        </w:rPr>
        <w:t xml:space="preserve">, uz određene pomake ka primjeni ESG standarda (npr. </w:t>
      </w:r>
      <w:r>
        <w:rPr>
          <w:rFonts w:ascii="Arial" w:hAnsi="Arial" w:cs="Arial"/>
          <w:b/>
          <w:bCs/>
          <w:color w:val="000000"/>
          <w:sz w:val="22"/>
          <w:szCs w:val="22"/>
        </w:rPr>
        <w:t>EPCG, Trebjesa Nikšić, NELT, Voli</w:t>
      </w:r>
      <w:r>
        <w:rPr>
          <w:rFonts w:ascii="Arial" w:hAnsi="Arial" w:cs="Arial"/>
          <w:color w:val="000000"/>
          <w:sz w:val="22"/>
          <w:szCs w:val="22"/>
        </w:rPr>
        <w:t xml:space="preserve"> i pojedine banke). Međunarodni izvori, posebno </w:t>
      </w:r>
      <w:r>
        <w:rPr>
          <w:rFonts w:ascii="Arial" w:hAnsi="Arial" w:cs="Arial"/>
          <w:b/>
          <w:bCs/>
          <w:color w:val="000000"/>
          <w:sz w:val="22"/>
          <w:szCs w:val="22"/>
        </w:rPr>
        <w:t>GEF 6 i 7</w:t>
      </w:r>
      <w:r>
        <w:rPr>
          <w:rFonts w:ascii="Arial" w:hAnsi="Arial" w:cs="Arial"/>
          <w:color w:val="000000"/>
          <w:sz w:val="22"/>
          <w:szCs w:val="22"/>
        </w:rPr>
        <w:t xml:space="preserve"> i </w:t>
      </w:r>
      <w:r>
        <w:rPr>
          <w:rFonts w:ascii="Arial" w:hAnsi="Arial" w:cs="Arial"/>
          <w:b/>
          <w:bCs/>
          <w:color w:val="000000"/>
          <w:sz w:val="22"/>
          <w:szCs w:val="22"/>
        </w:rPr>
        <w:t>IPA</w:t>
      </w:r>
      <w:r>
        <w:rPr>
          <w:rFonts w:ascii="Arial" w:hAnsi="Arial" w:cs="Arial"/>
          <w:color w:val="000000"/>
          <w:sz w:val="22"/>
          <w:szCs w:val="22"/>
        </w:rPr>
        <w:t xml:space="preserve">, imali su važnu ulogu kroz projekte i institucionalnu podršku. </w:t>
      </w:r>
      <w:r>
        <w:rPr>
          <w:rFonts w:ascii="Arial" w:hAnsi="Arial" w:cs="Arial"/>
          <w:b/>
          <w:bCs/>
          <w:color w:val="000000"/>
          <w:sz w:val="22"/>
          <w:szCs w:val="22"/>
        </w:rPr>
        <w:t>Civilni sektor</w:t>
      </w:r>
      <w:r>
        <w:rPr>
          <w:rFonts w:ascii="Arial" w:hAnsi="Arial" w:cs="Arial"/>
          <w:color w:val="000000"/>
          <w:sz w:val="22"/>
          <w:szCs w:val="22"/>
        </w:rPr>
        <w:t xml:space="preserve"> takođe predstavlja značajan izvor finansiranja za projekte i aktivnosti očuvanja biodiverziteta.</w:t>
      </w:r>
    </w:p>
    <w:p w:rsidR="00260647" w:rsidRDefault="00260647" w:rsidP="00260647">
      <w:pPr>
        <w:pStyle w:val="NormalWeb"/>
        <w:spacing w:before="240" w:beforeAutospacing="0" w:after="240" w:afterAutospacing="0"/>
        <w:jc w:val="both"/>
      </w:pPr>
      <w:r>
        <w:rPr>
          <w:rFonts w:ascii="Arial" w:hAnsi="Arial" w:cs="Arial"/>
          <w:color w:val="000000"/>
          <w:sz w:val="22"/>
          <w:szCs w:val="22"/>
        </w:rPr>
        <w:t>Državni budžet finansira rad ključnih institucija (</w:t>
      </w:r>
      <w:r>
        <w:rPr>
          <w:rFonts w:ascii="Arial" w:hAnsi="Arial" w:cs="Arial"/>
          <w:b/>
          <w:bCs/>
          <w:color w:val="000000"/>
          <w:sz w:val="22"/>
          <w:szCs w:val="22"/>
        </w:rPr>
        <w:t>MERS, AZŽS</w:t>
      </w:r>
      <w:r>
        <w:rPr>
          <w:rFonts w:ascii="Arial" w:hAnsi="Arial" w:cs="Arial"/>
          <w:color w:val="000000"/>
          <w:sz w:val="22"/>
          <w:szCs w:val="22"/>
        </w:rPr>
        <w:t xml:space="preserve">), programe i mjere zaštite prirode i transfere </w:t>
      </w:r>
      <w:r>
        <w:rPr>
          <w:rFonts w:ascii="Arial" w:hAnsi="Arial" w:cs="Arial"/>
          <w:b/>
          <w:bCs/>
          <w:color w:val="000000"/>
          <w:sz w:val="22"/>
          <w:szCs w:val="22"/>
        </w:rPr>
        <w:t>JPNP</w:t>
      </w:r>
      <w:r>
        <w:rPr>
          <w:rFonts w:ascii="Arial" w:hAnsi="Arial" w:cs="Arial"/>
          <w:color w:val="000000"/>
          <w:sz w:val="22"/>
          <w:szCs w:val="22"/>
        </w:rPr>
        <w:t>, kao i sektorske politike koje indirektno doprinose očuvanju biodiverziteta</w:t>
      </w:r>
      <w:r w:rsidR="00D51E3E">
        <w:rPr>
          <w:rStyle w:val="FootnoteReference"/>
          <w:rFonts w:ascii="Arial" w:hAnsi="Arial"/>
          <w:color w:val="000000"/>
          <w:sz w:val="22"/>
          <w:szCs w:val="22"/>
        </w:rPr>
        <w:footnoteReference w:id="12"/>
      </w:r>
      <w:r>
        <w:rPr>
          <w:rFonts w:ascii="Arial" w:hAnsi="Arial" w:cs="Arial"/>
          <w:color w:val="000000"/>
          <w:sz w:val="22"/>
          <w:szCs w:val="22"/>
        </w:rPr>
        <w:t>. Budžeti lokalnih samouprava finansiraju upravljanje zaštićenim područjima proglašenim na lokalnom nivou i sprovođenje mjera i aktivnosti predviđenih lokalnim planovima (za biodiverzitet, životnu sredinu). Finansijski kapaciteti opština su ograničeni, naročito na sjeveru. U periodu 2020-2024. godine, državni budžet činio je oko 40% BDP-a, dok je javna potrošnja na lokalnom nivou iznosila oko 5% BDP-a.</w:t>
      </w:r>
    </w:p>
    <w:p w:rsidR="00260647" w:rsidRDefault="00260647" w:rsidP="00260647">
      <w:pPr>
        <w:pStyle w:val="NormalWeb"/>
        <w:spacing w:before="240" w:beforeAutospacing="0" w:after="240" w:afterAutospacing="0"/>
        <w:jc w:val="both"/>
      </w:pPr>
      <w:r>
        <w:rPr>
          <w:rFonts w:ascii="Arial" w:hAnsi="Arial" w:cs="Arial"/>
          <w:b/>
          <w:bCs/>
          <w:color w:val="000000"/>
          <w:sz w:val="22"/>
          <w:szCs w:val="22"/>
        </w:rPr>
        <w:t>Tokom poslednjih pet godina</w:t>
      </w:r>
      <w:r>
        <w:rPr>
          <w:rFonts w:ascii="Arial" w:hAnsi="Arial" w:cs="Arial"/>
          <w:color w:val="000000"/>
          <w:sz w:val="22"/>
          <w:szCs w:val="22"/>
        </w:rPr>
        <w:t xml:space="preserve">, direktno finansiranje biodiverziteta (relevantni djelovi budžeta MERS, AZŽS, Eko-fonda i lokalnih samouprava te budžeti upravljača zaštićenih područja) kretalo se u rasponu od </w:t>
      </w:r>
      <w:r>
        <w:rPr>
          <w:rFonts w:ascii="Arial" w:hAnsi="Arial" w:cs="Arial"/>
          <w:b/>
          <w:bCs/>
          <w:color w:val="000000"/>
          <w:sz w:val="22"/>
          <w:szCs w:val="22"/>
        </w:rPr>
        <w:t>€ 4,9–9,3 miliona godišnje</w:t>
      </w:r>
      <w:r>
        <w:rPr>
          <w:rFonts w:ascii="Arial" w:hAnsi="Arial" w:cs="Arial"/>
          <w:color w:val="000000"/>
          <w:sz w:val="22"/>
          <w:szCs w:val="22"/>
        </w:rPr>
        <w:t xml:space="preserve">, pri čemu su dominirali budžeti upravljača zaštićenih područja, posebno </w:t>
      </w:r>
      <w:r>
        <w:rPr>
          <w:rFonts w:ascii="Arial" w:hAnsi="Arial" w:cs="Arial"/>
          <w:b/>
          <w:bCs/>
          <w:color w:val="000000"/>
          <w:sz w:val="22"/>
          <w:szCs w:val="22"/>
        </w:rPr>
        <w:t>JPNP</w:t>
      </w:r>
      <w:r>
        <w:rPr>
          <w:rFonts w:ascii="Arial" w:hAnsi="Arial" w:cs="Arial"/>
          <w:color w:val="000000"/>
          <w:sz w:val="22"/>
          <w:szCs w:val="22"/>
        </w:rPr>
        <w:t xml:space="preserve"> (56% ukupnog direktnog finansiranja u 2024. godini). Direktna podrška državnog budžeta nacionalnim parkovima kretala se od oko </w:t>
      </w:r>
      <w:r>
        <w:rPr>
          <w:rFonts w:ascii="Arial" w:hAnsi="Arial" w:cs="Arial"/>
          <w:b/>
          <w:bCs/>
          <w:color w:val="000000"/>
          <w:sz w:val="22"/>
          <w:szCs w:val="22"/>
        </w:rPr>
        <w:t>€ 0,8 do 1,75 miliona</w:t>
      </w:r>
      <w:r>
        <w:rPr>
          <w:rFonts w:ascii="Arial" w:hAnsi="Arial" w:cs="Arial"/>
          <w:color w:val="000000"/>
          <w:sz w:val="22"/>
          <w:szCs w:val="22"/>
        </w:rPr>
        <w:t xml:space="preserve"> godišnje. Budžeti ključnih nacionalnih institucija (</w:t>
      </w:r>
      <w:r>
        <w:rPr>
          <w:rFonts w:ascii="Arial" w:hAnsi="Arial" w:cs="Arial"/>
          <w:b/>
          <w:bCs/>
          <w:color w:val="000000"/>
          <w:sz w:val="22"/>
          <w:szCs w:val="22"/>
        </w:rPr>
        <w:t>MERS, AZŽS, Eko-fond</w:t>
      </w:r>
      <w:r>
        <w:rPr>
          <w:rFonts w:ascii="Arial" w:hAnsi="Arial" w:cs="Arial"/>
          <w:color w:val="000000"/>
          <w:sz w:val="22"/>
          <w:szCs w:val="22"/>
        </w:rPr>
        <w:t xml:space="preserve">), bez transfera nacionalnim parkovima, činili su </w:t>
      </w:r>
      <w:r>
        <w:rPr>
          <w:rFonts w:ascii="Arial" w:hAnsi="Arial" w:cs="Arial"/>
          <w:b/>
          <w:bCs/>
          <w:color w:val="000000"/>
          <w:sz w:val="22"/>
          <w:szCs w:val="22"/>
        </w:rPr>
        <w:t>17–24%</w:t>
      </w:r>
      <w:r>
        <w:rPr>
          <w:rFonts w:ascii="Arial" w:hAnsi="Arial" w:cs="Arial"/>
          <w:color w:val="000000"/>
          <w:sz w:val="22"/>
          <w:szCs w:val="22"/>
        </w:rPr>
        <w:t xml:space="preserve"> ukupnih sredstava. Finansiranje biodiverziteta iz lokalnih budžeta bilo je na nivou do par stotina hiljada eura godišnje, uz značajan skok (na € 0,6 miliona) u 2024. godini.</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Učešće direktnog finansiranja biodiverziteta iz državnog budžeta (relevantni djelovi budžeta ključnih institucija i transferi nacionalnim parkovima) u ukupnim budžetskim rashodima bilo je </w:t>
      </w:r>
      <w:r>
        <w:rPr>
          <w:rFonts w:ascii="Arial" w:hAnsi="Arial" w:cs="Arial"/>
          <w:b/>
          <w:bCs/>
          <w:color w:val="000000"/>
          <w:sz w:val="22"/>
          <w:szCs w:val="22"/>
        </w:rPr>
        <w:t>oko ili ispod 0,1%</w:t>
      </w:r>
      <w:r>
        <w:rPr>
          <w:rFonts w:ascii="Arial" w:hAnsi="Arial" w:cs="Arial"/>
          <w:color w:val="000000"/>
          <w:sz w:val="22"/>
          <w:szCs w:val="22"/>
        </w:rPr>
        <w:t xml:space="preserve"> u cijelom posmatranom periodu, uz opadajući trend i samo </w:t>
      </w:r>
      <w:r>
        <w:rPr>
          <w:rFonts w:ascii="Arial" w:hAnsi="Arial" w:cs="Arial"/>
          <w:b/>
          <w:bCs/>
          <w:color w:val="000000"/>
          <w:sz w:val="22"/>
          <w:szCs w:val="22"/>
        </w:rPr>
        <w:t>0,07% u 2024. godini</w:t>
      </w:r>
      <w:r>
        <w:rPr>
          <w:rFonts w:ascii="Arial" w:hAnsi="Arial" w:cs="Arial"/>
          <w:color w:val="000000"/>
          <w:sz w:val="22"/>
          <w:szCs w:val="22"/>
        </w:rPr>
        <w:t>. O niskom stepenu prioriteta koji mjere i aktivnosti očuvanja biodiverziteta imaju u planiranju i izvršavanju nacionalnog budžeta govori i činjenica da je 2024. godine transfer nacionalnim parkovima bio oko 4 puta niži od prihoda koje je JPNP generisalo od prodaje ulaznica (€ 3,3 miliona), a budžet ključnih institucija za zaštitu prirode (€ 1,67 miliona) dva puta niži. Vrijednost koju posjetioci pripisuju nacionalnim parkovima (samo jednom od većeg broja zaštićenih područja) Crne Gore spremnošću da plate za iskustva koja ta posjeta pruža prevazilazi u značajnoj mjeri spremnost države da izdvoji sredstva za potrebe očuvanja cjelokupnog biodiverziteta. Budžetske projekcije za program životna sredina i prostorno planiranje (koji obuhvata i finansiranje biodiverziteta) nijesu ohrabrujuće: do 2027. godine previđeni su rashodi na nivou od oko 0,3% BDP-a, uz smanjenj</w:t>
      </w:r>
      <w:r w:rsidR="00D51E3E">
        <w:rPr>
          <w:rFonts w:ascii="Arial" w:hAnsi="Arial" w:cs="Arial"/>
          <w:color w:val="000000"/>
          <w:sz w:val="22"/>
          <w:szCs w:val="22"/>
        </w:rPr>
        <w:t>e na 0,2% u narednim godinama.</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Indirektno finansiranje kroz sektorske politike (doprinos resora mjerama i aktivnostima sa pozitivnim uticajem na biodiverzitet) procijenjeno je na </w:t>
      </w:r>
      <w:r>
        <w:rPr>
          <w:rFonts w:ascii="Arial" w:hAnsi="Arial" w:cs="Arial"/>
          <w:b/>
          <w:bCs/>
          <w:color w:val="000000"/>
          <w:sz w:val="22"/>
          <w:szCs w:val="22"/>
        </w:rPr>
        <w:t xml:space="preserve">€ 1,98 miliona godišnje. </w:t>
      </w:r>
      <w:r>
        <w:rPr>
          <w:rFonts w:ascii="Arial" w:hAnsi="Arial" w:cs="Arial"/>
          <w:color w:val="000000"/>
          <w:sz w:val="22"/>
          <w:szCs w:val="22"/>
        </w:rPr>
        <w:t xml:space="preserve">Najznačajniji doprinosi ovom dodatnom finansiranju biodiverziteta čine relevantni budžeti MPŠV (mjere podrške razvoju pčelarstva, organske poljoprivrede i sl.), Uprave za šume (pošumljavanje, borba protiv šumskih požara i bolesti) i Ministarstva javnih radova (kroz projekte za smanjenja zagađenja). Sektori kao što su turizam, energetika, ekonomski razvoj i saobraćaj takođe daju </w:t>
      </w:r>
      <w:r>
        <w:rPr>
          <w:rFonts w:ascii="Arial" w:hAnsi="Arial" w:cs="Arial"/>
          <w:color w:val="000000"/>
          <w:sz w:val="22"/>
          <w:szCs w:val="22"/>
        </w:rPr>
        <w:lastRenderedPageBreak/>
        <w:t>određeni doprinos ali na niskom nivou. Nedostatak sistema za praćenje rashoda i integraciju prirodnog kapitala u nacionalne račune ograničava preciznost procjena.</w:t>
      </w:r>
    </w:p>
    <w:p w:rsidR="00260647" w:rsidRDefault="00260647" w:rsidP="00260647">
      <w:pPr>
        <w:pStyle w:val="NormalWeb"/>
        <w:spacing w:before="240" w:beforeAutospacing="0" w:after="240" w:afterAutospacing="0"/>
        <w:jc w:val="both"/>
      </w:pPr>
      <w:r>
        <w:rPr>
          <w:rFonts w:ascii="Arial" w:hAnsi="Arial" w:cs="Arial"/>
          <w:color w:val="000000"/>
          <w:sz w:val="22"/>
          <w:szCs w:val="22"/>
        </w:rPr>
        <w:t>Najmanje pet opština (Herceg Novi, Plužine, Podgorica, Šavnik i Tivat) čini značajne napore (proporcionalno finansijskim kapacitetima) da obezbijedi stabilno finansiranje zaštićenim područjima proglašenim na lokalnom nivou i podrži druge mjere za očuvanje biodiverziteta. Finansiranje zaštićenih područja ostaje značajan izazov za budući period, budući da su se dosadašnji mehanizmi (uglavnom ograničeni na budžetske transfere i naknade za korišćenje zaštićenih područja) pokaz</w:t>
      </w:r>
      <w:r w:rsidR="00D51E3E">
        <w:rPr>
          <w:rFonts w:ascii="Arial" w:hAnsi="Arial" w:cs="Arial"/>
          <w:color w:val="000000"/>
          <w:sz w:val="22"/>
          <w:szCs w:val="22"/>
        </w:rPr>
        <w:t>ali kao neadekvatni.</w:t>
      </w:r>
    </w:p>
    <w:p w:rsidR="00260647" w:rsidRDefault="00260647" w:rsidP="00260647">
      <w:pPr>
        <w:pStyle w:val="NormalWeb"/>
        <w:spacing w:before="240" w:beforeAutospacing="0" w:after="240" w:afterAutospacing="0"/>
        <w:jc w:val="both"/>
      </w:pPr>
      <w:r>
        <w:rPr>
          <w:rFonts w:ascii="Arial" w:hAnsi="Arial" w:cs="Arial"/>
          <w:color w:val="000000"/>
          <w:sz w:val="22"/>
          <w:szCs w:val="22"/>
        </w:rPr>
        <w:t>Veoma značajan izvor finansiranja su projekti i aktivnosti koje su u periodu 2020-2024. godine sprovele nevladine organizacije. Njihov doprinos očuvanju biodiverziteta procijenjen je na gotovo milion eura (€ 950,364) godišnje u prosjeku, što prevazilazi iznose budžeta MERS i AZŽS posmatranih pojedinačno. Projekti nevladinih organizacija se dominantno finansiraju iz međunarodnih izvora.</w:t>
      </w:r>
    </w:p>
    <w:p w:rsidR="00260647" w:rsidRDefault="00260647" w:rsidP="00260647">
      <w:pPr>
        <w:pStyle w:val="NormalWeb"/>
        <w:spacing w:before="240" w:beforeAutospacing="0" w:after="240" w:afterAutospacing="0"/>
        <w:jc w:val="both"/>
      </w:pPr>
      <w:r>
        <w:rPr>
          <w:rFonts w:ascii="Arial" w:hAnsi="Arial" w:cs="Arial"/>
          <w:color w:val="000000"/>
          <w:sz w:val="22"/>
          <w:szCs w:val="22"/>
        </w:rPr>
        <w:t>IPA i GEF kao najvažniji pojedinačni međunarodni izvori takođe značajno učestvuju u finansiranju biodiverziteta u Crnoj Gori, dodajući još po € 0,8-0,9 miliona eura godišnje tokom prethodnih pet godina. Doprinos ostalih međunarodnih donatora nije bilo moguće procijeniti. Visoka zavisnost od projektnog finansiranja nosi sa sobom i određene negativne efekte.  </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Subvencije (za proizvodnju i pružanje usluga) iz državnog budžeta, ne računajući Agro-budžet, iznosile su oko € 52 miliona u 2024. godini. Podrška se pruža za razvoj turističke djelatnosti, preduzetništvo, industrijski razvoj, energetsku efikasnost, proizvodnju energije iz obnovljivih izvora i druge programe. Pojedine subvencije imaju ili mogu imati štetne efekte za biodiverzitet, ali do sada nijesu rađene analize o mogućim uticajima niti provjera integracije biodiverziteta u programe subvencionisanja. Evidentno je međutim da su subvencije za male hidroelektrane nanijele značajnu štetu biodiverzitetu. Subvencije potrošačima električne energije u periodu </w:t>
      </w:r>
      <w:r>
        <w:rPr>
          <w:rFonts w:ascii="Arial" w:hAnsi="Arial" w:cs="Arial"/>
          <w:b/>
          <w:bCs/>
          <w:color w:val="000000"/>
          <w:sz w:val="22"/>
          <w:szCs w:val="22"/>
        </w:rPr>
        <w:t>2018–2023</w:t>
      </w:r>
      <w:r>
        <w:rPr>
          <w:rFonts w:ascii="Arial" w:hAnsi="Arial" w:cs="Arial"/>
          <w:color w:val="000000"/>
          <w:sz w:val="22"/>
          <w:szCs w:val="22"/>
        </w:rPr>
        <w:t xml:space="preserve"> procijenjene su na </w:t>
      </w:r>
      <w:r>
        <w:rPr>
          <w:rFonts w:ascii="Arial" w:hAnsi="Arial" w:cs="Arial"/>
          <w:b/>
          <w:bCs/>
          <w:color w:val="000000"/>
          <w:sz w:val="22"/>
          <w:szCs w:val="22"/>
        </w:rPr>
        <w:t>€ 1,2 milijarde</w:t>
      </w:r>
      <w:r>
        <w:rPr>
          <w:rFonts w:ascii="Arial" w:hAnsi="Arial" w:cs="Arial"/>
          <w:color w:val="000000"/>
          <w:sz w:val="22"/>
          <w:szCs w:val="22"/>
        </w:rPr>
        <w:t>. Potencijalno štetne subvencije postoje i u poljoprivredi, ribarstvu, turizmu i šumarstvu. Potrebna je dalja analiza i reforma sistema podsticaja kako bi se ohrabrile aktivnosti povoljne po prirodu i ograničile štete po biodiverzitet.</w:t>
      </w:r>
    </w:p>
    <w:p w:rsidR="00260647" w:rsidRDefault="00260647" w:rsidP="00260647">
      <w:pPr>
        <w:pStyle w:val="NormalWeb"/>
        <w:spacing w:before="240" w:beforeAutospacing="0" w:after="240" w:afterAutospacing="0"/>
        <w:jc w:val="both"/>
      </w:pPr>
      <w:r>
        <w:rPr>
          <w:rFonts w:ascii="Arial" w:hAnsi="Arial" w:cs="Arial"/>
          <w:color w:val="000000"/>
          <w:sz w:val="22"/>
          <w:szCs w:val="22"/>
        </w:rPr>
        <w:t xml:space="preserve">Ukupno posmatrano, može se ocijeniti da postojeći mehanizmi finansiranja nijesu dovoljni za sadašnje ni buduće obaveze koje proizilaze iz </w:t>
      </w:r>
      <w:r>
        <w:rPr>
          <w:rFonts w:ascii="Arial" w:hAnsi="Arial" w:cs="Arial"/>
          <w:b/>
          <w:bCs/>
          <w:color w:val="000000"/>
          <w:sz w:val="22"/>
          <w:szCs w:val="22"/>
        </w:rPr>
        <w:t>EU pristupanja</w:t>
      </w:r>
      <w:r>
        <w:rPr>
          <w:rFonts w:ascii="Arial" w:hAnsi="Arial" w:cs="Arial"/>
          <w:color w:val="000000"/>
          <w:sz w:val="22"/>
          <w:szCs w:val="22"/>
        </w:rPr>
        <w:t xml:space="preserve"> i </w:t>
      </w:r>
      <w:r>
        <w:rPr>
          <w:rFonts w:ascii="Arial" w:hAnsi="Arial" w:cs="Arial"/>
          <w:b/>
          <w:bCs/>
          <w:color w:val="000000"/>
          <w:sz w:val="22"/>
          <w:szCs w:val="22"/>
        </w:rPr>
        <w:t>GBF ciljeva</w:t>
      </w:r>
      <w:r>
        <w:rPr>
          <w:rFonts w:ascii="Arial" w:hAnsi="Arial" w:cs="Arial"/>
          <w:color w:val="000000"/>
          <w:sz w:val="22"/>
          <w:szCs w:val="22"/>
        </w:rPr>
        <w:t xml:space="preserve">. Neophodno je uvođenje novih finansijskih instrumenata, reforma štetnih subvencija i jačanje koordinacije, uz snažniju političku podršku i razvoj institucionalnih kapaciteta za sprovođenje </w:t>
      </w:r>
      <w:r w:rsidR="0073617E">
        <w:rPr>
          <w:rFonts w:ascii="Arial" w:hAnsi="Arial" w:cs="Arial"/>
          <w:b/>
          <w:bCs/>
          <w:color w:val="000000"/>
          <w:sz w:val="22"/>
          <w:szCs w:val="22"/>
        </w:rPr>
        <w:t>NSBAP</w:t>
      </w:r>
      <w:r>
        <w:rPr>
          <w:rFonts w:ascii="Arial" w:hAnsi="Arial" w:cs="Arial"/>
          <w:b/>
          <w:bCs/>
          <w:color w:val="000000"/>
          <w:sz w:val="22"/>
          <w:szCs w:val="22"/>
        </w:rPr>
        <w:t>-a 2026–2031</w:t>
      </w:r>
      <w:r>
        <w:rPr>
          <w:rFonts w:ascii="Arial" w:hAnsi="Arial" w:cs="Arial"/>
          <w:color w:val="000000"/>
          <w:sz w:val="22"/>
          <w:szCs w:val="22"/>
        </w:rPr>
        <w:t>.</w:t>
      </w:r>
    </w:p>
    <w:p w:rsidR="00D14804" w:rsidRDefault="00E47E1B" w:rsidP="00260647">
      <w:pPr>
        <w:spacing w:before="280" w:after="280" w:line="240" w:lineRule="auto"/>
        <w:jc w:val="both"/>
        <w:rPr>
          <w:rFonts w:ascii="Arial" w:eastAsia="Arial" w:hAnsi="Arial" w:cs="Arial"/>
        </w:rPr>
      </w:pPr>
      <w:r>
        <w:rPr>
          <w:rFonts w:ascii="Arial" w:eastAsia="Arial" w:hAnsi="Arial" w:cs="Arial"/>
          <w:b/>
          <w:bCs/>
        </w:rPr>
        <w:t>Analiza institucionalnih kapaciteta za zaštitu biodiverziteta</w:t>
      </w:r>
      <w:r>
        <w:rPr>
          <w:rFonts w:ascii="Arial" w:eastAsia="Arial" w:hAnsi="Arial" w:cs="Arial"/>
        </w:rPr>
        <w:t xml:space="preserve"> u Crnoj Gori pokazuje da, uprkos uspostavljenom pravnom i organizacionom okviru, njegova efikasna primjena ostaje ograničena strukturnim izazovima. Ključni problemi odnose se na nedostatak administrativnih i tehničkih kapaciteta, nejasno podijeljene nadležnosti, slabu međusektorsku koordinaciju i ograničenu finansijsku održivost sistema zaštite.</w:t>
      </w:r>
    </w:p>
    <w:p w:rsidR="00D14804" w:rsidRDefault="00E47E1B">
      <w:pPr>
        <w:spacing w:before="280" w:after="280" w:line="240" w:lineRule="auto"/>
        <w:jc w:val="both"/>
        <w:rPr>
          <w:rFonts w:ascii="Arial" w:eastAsia="Arial" w:hAnsi="Arial" w:cs="Arial"/>
        </w:rPr>
      </w:pPr>
      <w:r>
        <w:rPr>
          <w:rFonts w:ascii="Arial" w:eastAsia="Arial" w:hAnsi="Arial" w:cs="Arial"/>
        </w:rPr>
        <w:t xml:space="preserve">Na svim nivoima upravljanja prisutan je manjak stručnog kadra, posebno u oblastima planiranja, monitoringa biodiverziteta, upravljanja zaštićenim područjima i procjene uticaja na životnu sredinu, uz ograničene mogućnosti stručnog usavršavanja i izraženu zavisnost od projektno finansiranih angažmana. </w:t>
      </w:r>
    </w:p>
    <w:p w:rsidR="002727F1" w:rsidRPr="002727F1" w:rsidRDefault="00E47E1B" w:rsidP="002727F1">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Istovremeno, </w:t>
      </w:r>
      <w:r>
        <w:rPr>
          <w:rFonts w:ascii="Arial" w:eastAsia="Arial" w:hAnsi="Arial" w:cs="Arial"/>
          <w:b/>
          <w:bCs/>
          <w:color w:val="000000"/>
        </w:rPr>
        <w:t>nedovoljno razvijen sistem podataka, monitoringa, izvještavanja i evaluacije</w:t>
      </w:r>
      <w:r>
        <w:rPr>
          <w:rFonts w:ascii="Arial" w:eastAsia="Arial" w:hAnsi="Arial" w:cs="Arial"/>
          <w:color w:val="000000"/>
        </w:rPr>
        <w:t xml:space="preserve"> ograničava donošenje odluka zasnovanih na dokazima i praćenje učinaka politika i mjera. </w:t>
      </w:r>
      <w:r w:rsidR="002727F1" w:rsidRPr="002727F1">
        <w:rPr>
          <w:rFonts w:ascii="Arial" w:eastAsia="Arial" w:hAnsi="Arial" w:cs="Arial"/>
          <w:color w:val="000000"/>
        </w:rPr>
        <w:t xml:space="preserve">Sistem monitoringa i upravljanja podacima o biodiverzitetu u Crnoj Gori zasniva se na važećem zakonskom okviru, ali je u praksi fragmentisan, metodološki neujednačen i ograničenog obuhvata. Monitoring sprovodi više institucija (Agencija za zaštitu životne sredine, upravljači zaštićenih područja, sektorske uprave, naučne institucije i NVO), ali bez </w:t>
      </w:r>
      <w:r w:rsidR="002727F1" w:rsidRPr="002727F1">
        <w:rPr>
          <w:rFonts w:ascii="Arial" w:eastAsia="Arial" w:hAnsi="Arial" w:cs="Arial"/>
          <w:color w:val="000000"/>
        </w:rPr>
        <w:lastRenderedPageBreak/>
        <w:t xml:space="preserve">standardizovanih protokola, kontinuiranog finansiranja i centralizovanog informacionog sistema. Aktivnosti se često svode na inventarizacije umjesto dugoročnog praćenja trendova, podaci su razuđeni po institucijama i formatima, a interoperabilnost i usklađenost sa EU i međunarodnim obavezama su ograničene. Iako postoje pozitivni pomaci (Natura 2000 mapiranje, portal zaštićenih područja, usklađivanje </w:t>
      </w:r>
      <w:r w:rsidR="002727F1" w:rsidRPr="000437C5">
        <w:rPr>
          <w:rFonts w:ascii="Arial" w:eastAsia="Arial" w:hAnsi="Arial" w:cs="Arial"/>
          <w:color w:val="000000"/>
        </w:rPr>
        <w:t>sa MSFD),</w:t>
      </w:r>
      <w:r w:rsidR="002727F1" w:rsidRPr="002727F1">
        <w:rPr>
          <w:rFonts w:ascii="Arial" w:eastAsia="Arial" w:hAnsi="Arial" w:cs="Arial"/>
          <w:color w:val="000000"/>
        </w:rPr>
        <w:t xml:space="preserve"> sistem i dalje nema funkcionalnu nacionalnu bazu podataka niti stabilan mehanizam razmjene i analize podataka.</w:t>
      </w:r>
    </w:p>
    <w:p w:rsidR="002727F1" w:rsidRPr="002727F1" w:rsidRDefault="002727F1" w:rsidP="002727F1">
      <w:pPr>
        <w:pBdr>
          <w:top w:val="nil"/>
          <w:left w:val="nil"/>
          <w:bottom w:val="nil"/>
          <w:right w:val="nil"/>
          <w:between w:val="nil"/>
        </w:pBdr>
        <w:spacing w:line="240" w:lineRule="auto"/>
        <w:jc w:val="both"/>
        <w:rPr>
          <w:rFonts w:ascii="Arial" w:eastAsia="Arial" w:hAnsi="Arial" w:cs="Arial"/>
          <w:color w:val="000000"/>
        </w:rPr>
      </w:pPr>
      <w:r w:rsidRPr="002727F1">
        <w:rPr>
          <w:rFonts w:ascii="Arial" w:eastAsia="Arial" w:hAnsi="Arial" w:cs="Arial"/>
          <w:color w:val="000000"/>
        </w:rPr>
        <w:t>Uzroci su pretežno sistemski: nedostatak stručnjaka i standardizovanih radnih mjesta, oslanjanje na projektna sredstva, slaba koordinacija i nedovoljno prepoznavanje monitoringa kao strateškog alata. Posljedice su ozbiljne – ne postoji pouzdana i sveobuhvatna slika o stanju i trendovima biodiverziteta, otežano je donošenje odluka zasnovanih na dokazima i procjena efekata politika, a rizik od neodrživih razvojnih odluka i daljeg gubitka biodiverziteta ostaje visok. Paralelno, nedovoljna informisanost i slabi mehanizmi inkluzivnog učešća dodatno umanjuju društvenu podršku i efikasnost upravljanja prirodnim resursima.</w:t>
      </w:r>
    </w:p>
    <w:p w:rsidR="00D14804" w:rsidRDefault="00E47E1B" w:rsidP="002727F1">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Posljedice ovakvog sistemskog okvira ogledaju se u </w:t>
      </w:r>
      <w:r w:rsidRPr="00B176AC">
        <w:rPr>
          <w:rFonts w:ascii="Arial" w:eastAsia="Arial" w:hAnsi="Arial" w:cs="Arial"/>
          <w:bCs/>
          <w:color w:val="000000"/>
        </w:rPr>
        <w:t>neefektivnom, nedovoljno inkluzivnom i često nepravednom upravljanju prirodnim resursima</w:t>
      </w:r>
      <w:r w:rsidRPr="00B176AC">
        <w:rPr>
          <w:rFonts w:ascii="Arial" w:eastAsia="Arial" w:hAnsi="Arial" w:cs="Arial"/>
          <w:color w:val="000000"/>
        </w:rPr>
        <w:t>,</w:t>
      </w:r>
      <w:r>
        <w:rPr>
          <w:rFonts w:ascii="Arial" w:eastAsia="Arial" w:hAnsi="Arial" w:cs="Arial"/>
          <w:color w:val="000000"/>
        </w:rPr>
        <w:t xml:space="preserve"> smanjenoj sposobnosti države da ispuni nacionalne i međunarodne obaveze, povećanom riziku od neodrživih razvojnih odluka i rastu dugoročnih ekoloških i ekonomskih troškova. Istovremeno, učestali konflikti između institucija i društva dodatno produbljuju nepovjerenje javnosti, povećavaju društvene nejednakosti i slabe društvenu koheziju, čime se dugoročno ugrožava održivost upravljanja biodiverzitetom.</w:t>
      </w:r>
    </w:p>
    <w:p w:rsidR="00D14804" w:rsidRDefault="00E47E1B">
      <w:pPr>
        <w:pBdr>
          <w:top w:val="nil"/>
          <w:left w:val="nil"/>
          <w:bottom w:val="nil"/>
          <w:right w:val="nil"/>
          <w:between w:val="nil"/>
        </w:pBdr>
        <w:spacing w:line="240" w:lineRule="auto"/>
        <w:jc w:val="both"/>
        <w:rPr>
          <w:rFonts w:ascii="Arial" w:eastAsia="Arial" w:hAnsi="Arial" w:cs="Arial"/>
          <w:b/>
          <w:bCs/>
          <w:color w:val="000000"/>
        </w:rPr>
      </w:pPr>
      <w:r>
        <w:rPr>
          <w:rFonts w:ascii="Arial" w:eastAsia="Arial" w:hAnsi="Arial" w:cs="Arial"/>
          <w:b/>
          <w:bCs/>
          <w:color w:val="000000"/>
        </w:rPr>
        <w:t>Prepoznavanje ovog horizontalnog problema ima ključni značaj za definisanje strateškog odgovora NSBAP-a. Vizija očuvanih, obnovljenih i otpornih ekosistema Crne Gore do 2035/2050. godine zasniva se na jačanju institucionalnog sistema, integraciji biodiverziteta u sve relevantne politike i budžetske procese, uspostavljanju ekološki reprezentativne i povezane mreže zaštite kopna i mora, restauraciji degradiranih ekosistema, kao i razvoju inkluzivnih, rodno odgovornih i participativnih modela upravljanja zasnovanih na pouzdanim podacima i stabilnom finansiranju.</w:t>
      </w:r>
    </w:p>
    <w:p w:rsidR="00D14804"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b/>
          <w:bCs/>
          <w:color w:val="000000"/>
        </w:rPr>
        <w:t>Zaključno</w:t>
      </w:r>
      <w:r>
        <w:rPr>
          <w:rFonts w:ascii="Arial" w:eastAsia="Arial" w:hAnsi="Arial" w:cs="Arial"/>
          <w:color w:val="000000"/>
        </w:rPr>
        <w:t xml:space="preserve"> Analiza stanja biodiverziteta u Crnoj Gori ukazuje na visok nivo biološke i ekosistemske raznovrsnosti, ali i na izražene pritiske, fragmentaciju staništa, degradaciju ekosistema i nedovoljnu integraciju biodiverziteta u sektorske politike. Takvi trendovi potvrđuju da očuvanje biodiverziteta ne zavisi isključivo od mjera zaštite prirode, već od šireg institucionalnog, pravnog i razvojno-planskog okvira koji usmjerava upravljanje prostorom i prirodnim resursima.</w:t>
      </w:r>
    </w:p>
    <w:p w:rsidR="00D174EB" w:rsidRDefault="00E47E1B">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U tom kontekstu, razumijevanje postojećeg sistema politika, zakonodavstva i međunarodnih obaveza predstavlja ključnu osnovu za definisanje realnih i sprovedivih strateških ciljeva Nacionalne strategije biodiverziteta i akcionog plana. Okvir politika očuvanja biodiverziteta u Crnoj Gori stoga se posmatra kao most između identifikovanih problema i budućih rješenja, odnosno kao temelj za usklađivanje nacionalnih razvojnih pravaca sa ciljevima Globalnog okvira za biodiverzitet iz Kunming-Montreala i pravnom tekovinom Evropske unije.</w:t>
      </w:r>
    </w:p>
    <w:p w:rsidR="00267456" w:rsidRPr="00594AB0" w:rsidRDefault="00267456" w:rsidP="00594AB0">
      <w:pPr>
        <w:pStyle w:val="Heading3"/>
        <w:rPr>
          <w:rFonts w:ascii="Arial" w:eastAsia="Arial" w:hAnsi="Arial" w:cs="Arial"/>
          <w:sz w:val="26"/>
          <w:szCs w:val="26"/>
        </w:rPr>
      </w:pPr>
    </w:p>
    <w:p w:rsidR="00267456" w:rsidRPr="00594AB0" w:rsidRDefault="00594AB0" w:rsidP="00594AB0">
      <w:pPr>
        <w:pStyle w:val="Heading3"/>
        <w:rPr>
          <w:rFonts w:ascii="Arial" w:eastAsia="Arial" w:hAnsi="Arial" w:cs="Arial"/>
          <w:sz w:val="26"/>
          <w:szCs w:val="26"/>
        </w:rPr>
      </w:pPr>
      <w:bookmarkStart w:id="23" w:name="_Toc222754372"/>
      <w:r>
        <w:rPr>
          <w:rFonts w:ascii="Arial" w:eastAsia="Arial" w:hAnsi="Arial" w:cs="Arial"/>
          <w:sz w:val="26"/>
          <w:szCs w:val="26"/>
        </w:rPr>
        <w:t xml:space="preserve">2.4 </w:t>
      </w:r>
      <w:r w:rsidR="00267456" w:rsidRPr="00594AB0">
        <w:rPr>
          <w:rFonts w:ascii="Arial" w:eastAsia="Arial" w:hAnsi="Arial" w:cs="Arial"/>
          <w:sz w:val="26"/>
          <w:szCs w:val="26"/>
        </w:rPr>
        <w:t>Monitoring, podaci i upravljanje znanjem</w:t>
      </w:r>
      <w:bookmarkEnd w:id="23"/>
      <w:r w:rsidR="00267456" w:rsidRPr="00594AB0">
        <w:rPr>
          <w:rFonts w:ascii="Arial" w:eastAsia="Arial" w:hAnsi="Arial" w:cs="Arial"/>
          <w:sz w:val="26"/>
          <w:szCs w:val="26"/>
        </w:rPr>
        <w:t xml:space="preserve"> </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 xml:space="preserve">Zakonski okvir za monitoring biodiverziteta u Crnoj Gori zasniva se na Zakonu o životnoj sredini i Zakonu o zaštiti prirode, koji zajedno definišu institucionalne nadležnosti, obim, planiranje, sprovođenje i izvještavanje o monitoringu biodiverziteta. U pogledu institucionalnog okvira, monitoring sprovodi više institucija na državnom i lokalnom nivou, uz podršku naučnih organizacija i civilnog sektora. Centralnu ulogu ima Agencija za zaštitu životne sredine, koja prikuplja podatke, izvještava o stanju biodiverziteta i sprovodi pojedine elemente monitoringa. Upravljači zaštićenim područjima, kao i sektorske institucije nadležne za šumarstvo, lov i ribarstvo, takođe sprovode monitoring u skladu sa svojim upravljačkim potrebama i zakonskim </w:t>
      </w:r>
      <w:r w:rsidRPr="00267456">
        <w:rPr>
          <w:rFonts w:ascii="Arial" w:eastAsia="Arial" w:hAnsi="Arial" w:cs="Arial"/>
          <w:color w:val="000000"/>
        </w:rPr>
        <w:lastRenderedPageBreak/>
        <w:t>obavezama, a naučne institucije i nevladine organizacije dopunjuju sistem kroz povremene ili specijalizovane monitoring aktivnosti.</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Postojeći monitoring programi su ograničeni jer obuhvataju samo neke grupe vrsta, staništa i pritiske. Monitoring ptica sprovodi se kroz brojanje ptica u zaštićenim područjima i kroz izvješataje upravljača lovištima. Monitoring sisara, se sprovodi kroz aktivnosti ministarstva poloprivrede kroz brojanje, a takođe i projekte NVO organizacija. Izvještaji upravljača lovištima o brojnosti sisara i ptica su često izloženi osporavanju od strane NVO i eksperata zbog metodologije brojanja jedinki.  Herpetofauna i batrahofauna se prati kroz projekte NVO, dok se praćenje. Beskičmenjaci i biljne vrste prate se sporadično, uglavnom kroz zajednice ili pojedine ugrožene ili zaštićene vrste. Za manji broj vrsta slatkovodnih beskičmenjaka izrađena je aplikacija za bi</w:t>
      </w:r>
      <w:r w:rsidR="00CC3B2F">
        <w:rPr>
          <w:rFonts w:ascii="Arial" w:eastAsia="Arial" w:hAnsi="Arial" w:cs="Arial"/>
          <w:color w:val="000000"/>
        </w:rPr>
        <w:t xml:space="preserve">omonitoring (biomonitoring.me). </w:t>
      </w:r>
      <w:r w:rsidRPr="00267456">
        <w:rPr>
          <w:rFonts w:ascii="Arial" w:eastAsia="Arial" w:hAnsi="Arial" w:cs="Arial"/>
          <w:color w:val="000000"/>
        </w:rPr>
        <w:t>Osim registara agrobiodiverziteta, monitoring genetskih resursa izostaje.</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Osim taksonomske, i geografska pokrivenost monitoring programima je ograničena. Monitoring se najčešće sprovodi u zaštićenim područjima, gdje upravljači prate ključne vrste i staništa za potrebe upravljanja. Pojedine vrste i elementi ekosistema prate se i na odabranim lokacijama u skladu sa institucionalnim programima monitoringa. Dodatno, sektorski monitorinzi — poput monitoringa šuma, voda i morskih ekosistema — obuhvataju šire teritorije van zaštićenih područja.</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U odnosu na pritiske, u posljednjem periodu započeto je praćenje pojedinih invazivnih stranih vrsta, prvenstveno kroz aktivnosti u nacionalnim parkovima, u okviru projektnih inicijativa civilnog sektora, kao i u kontekstu fitosanitarnih poslova, međutim ovaj vid monitoringa još uvijek nije uspostavljen kao sistematičan, standardizovan i dugoročno održiv na nacionalnom nivou. Takođe, za određene infrastrukturne projekte, poput izgradnje autoputa, sprovodi se monitoring uticaja na biodiverzitet u skladu sa zahtjevima procjene uticaja na životnu sredinu.</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Analiza postojećih aktivnosti pokazuje da je sistem monitoringa biodiverziteta u Crnoj Gori izrazito neujednačen. Osim već pomenutih praznina u taksonomskom i geografskom obuhvatu, većina aktivnosti koje se nazivaju monitoringom zapravo predstavljaju inventarizacije, odnosno jednokratni ili kratokoročni pregled vrsta ili staništa, bez kontinuiteta koji bi omogućio praćenje promjena kroz vrijeme. Kontinuirani monitorinzi prisutni su u vrlo malom broju slučajeva i uglavnom se odnose na specifične sektorske obaveze ili aktivnosti koje sprovode odgovorne institucije. Pored nedostatka kontinuiteta, evidentan je i problem neujednačenih metodologija: monitoring se najčešće ne sprovodi prema utvrđenim i standardizovanim protokolima na utvrđenim lokacijama,  već je pristup prepušten pojedinačnim institucijama ili samim ekspertima. Posljedica toga je da se dobijeni podaci razlikuju po obimu, kvalitetu i formatu, pa nisu kompatibilni niti međusobno uporedivi.</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Uz identifikovane metodološke i institucionalne izazove, dodatni problem predstavlja i neusklađenost monitoring aktivnosti sa međunarodnim obavezama i regulatornim okvirima, kao što su Direktiva o staništima, Direktiva o pticama, kao i obaveze koje proizilaze iz Konvencije o biološkoj raznovrsnosti i Bernske konvencije. Monitoring metodologije nijesu standardizovane niti formalno usklađene sa ovim instrumentima, što dodatno ograničava mogućnost korišćenja prikupljenih podataka za izvještavanje i uporednu analizu.</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 xml:space="preserve">Stanje postojećih monitoring programa direktno se odražava na način čuvanja, dijeljenja i upravljanja podacima o biodiverzitetu. Crna Gora trenutno nema jedinstvenu nacionalnu bazu podataka u koju bi se sistematski slivali podaci iz različitih sektora i institucija, niti centralizovani informacioni sistem koji bi omogućio pregled stanja biodiverziteta, identifikovanje trendova i korišćenje podataka za informisano donošenje odluka. Podaci nijesu integrisani, već su fragmentisani i često se čuvaju u vidu zasebnih Word, Excel ili PDF dokumenata u institucijama ili kod pojedinačnih stručnjaka. Digitalizacija, interoperabilnost i standardizacija podataka su vrlo ograničene. Formati podataka nijesu standardizovani, a kompatibilnost sa zahtjevima INSPIRE, EIONET i EUNIS sistema je djelimična ili nepostojeća. Pored toga, protok podataka </w:t>
      </w:r>
      <w:r w:rsidRPr="00267456">
        <w:rPr>
          <w:rFonts w:ascii="Arial" w:eastAsia="Arial" w:hAnsi="Arial" w:cs="Arial"/>
          <w:color w:val="000000"/>
        </w:rPr>
        <w:lastRenderedPageBreak/>
        <w:t>između institucija je ograničen i uglavnom se odvija samo u situacijama kada postoji konkretna potreba, najčešće kroz zahtjeve za slobodan pristup informacijama ili ad hoc razmjenu.</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Pojedini sistemi predstavljaju pozitivan pomak u razvoju baze znanja o biodiverzitetu. Značajan izvor podataka predstavlja mapiranje Natura 2000 staništa, kroz koje su prikupljeni podaci o distribuciji vrsta i staništa od interesa za EU na više od 90% teritorije. Ovi podaci spadaju među najsvježije i najkompletnije podatke o biodiverzitetu u Crnoj Gori, ali još uvijek nijesu u potpunosti obrađeni niti javno dostupni, što se očekuje u narednom periodu. Takođe je uspostavljen i novi portal zaštićenih područja. Iako  u odnosu na prethodnu verziju portala nova verzija sadrži manji obim informacija i ima manje intuitivan korisnički interfejs, što u određenoj mjeri ograničava njegovu funkcionalnost i upotrebljivost, ovaj portal ipak predstavlja javno dostupnu online platformu sa prostornim podacima i osnovnom dokumentacijom o zaštićenim područjima. Značajan napredak je napravljen i u domenu morskih ekosistema u pogledu razvoja metodologija i institucionalnih kapaciteta. Kroz više projekata sproveden je proces usklađivanja monitoringa sa zahtjevima Okvirne direktive o morskoj strategiji (MSFD) i Barselonske konvencije i jačanja kapaciteta, čime je uspostavljena osnova za monitoring morskih ekosistema, iako nedostatak finansijskih sredstava za njegovu punu i redovnu primjenu i dalje predstavlja glavno ograničenje.</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Kao jedan od uzroka ovakvog stanja monitoringa i upravljanja podacima ističe se nedostatak kapaciteta. Najprije, nedostaje dovoljan broj stručnjaka za određene taksonomske grupe  i za specifične pritiske i ekološke procese. Kadrovski kapaciteti su ograničeni i u pogledu razvoja i primjene standardizovanih protokola - stručnjaci često nemaju dovoljno iskustva u izradi metodologija monitoringa i njihovoj dosljednoj primjeni na terenu, postoji nedovoljno poznavanje prostornih analiza kao i statističkih metoda potrebnih za obradu podataka, izračunavanje indeksa, prepoznavanje trendova i formulaciju zaključaka zasnovanih na dokazima, a i njihova znanja i vještine u primjeni digitalnih tehnologija takođe su ograničena. Ovaj problem dodatno produbljuju ograničene mogućnosti za stručno usavršavanje, kao i institucionalni okvir zapošljavanja u kom institucije ne sistematizuju niti zapošljavaju stručnjake za monitoring i upravljanje podacima, zbog čega izostaje stabilna kadrovska baza i dugoročna institucionalna podrška. Po pitanju tehničkih kapaciteta, ograničena je dostupnost specijalizovanoj terenskoj i laboratorijskoj opremi i odgovarajućim digitalnim alatima i IT tehnologijama.</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Posebno ogrančavajući faktor predstavljaju finansijski resursi. Monitoring se u velikoj mjeri oslanja na projektne i donatorske inicijative, koje su vremenski ograničene, pa se monitoring uglavnom ne sprovodi kontinuirano, već sporadično. Ni institucionalni budžeti, ni finansiranje dostupno civilnom sektoru nijesu dovoljni da obezbijede dugoročno praćenje stanja biodiverziteta. Čak i u slučajevima gdje su metodologije razvijene, institucije obučene i regulatorni okvir jasno definisan (kao u slučaju monitoringa mora), nedostatak dugoročnog finansijskog oslonca onemogućava kontinuirani monitoring.</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Među uzrocima problema je i slaba koordinacija između institucija. Ne postoje uspostavljeni protokoli i procedure za sistematizaciju, dijeljenje i verifikaciju podataka, ni za redovno izvještavanje između institucija, što je dodatno otežano nedovoljnim poznavanjem sektorskih propisa i zahtjeva od strane subjekata van njega. Sve to dovodi do neujednačene i nepotpune razmjene informacija i takva fragmentacija onemogućava objedinjavanje podataka i njihovu praktičnu upotrebu u strateškom planiranju.</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Niska svijest i razumijevanje među donosiocima odluka predstavljaju dodatni, sistemski uzrok slabog funkcionisanja monitoringa, upravljanja podacima i znanjem o biodiverzitetu. Monitoring se ne prepoznaje kao strateški alat za politiku, planiranje i upravljanje prirodnim resursima, već se posmatra kao tehnička aktivnost niskog prioriteta. Nedostatak ovakvog shvatanja dovodi do toga da ulaganja u monitoring, istraživanje i upravljanje podacima nijesu percipirana kao investicije u održivi razvoj, već kao trošak koji lako može biti odložen.</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lastRenderedPageBreak/>
        <w:t>Postojeće stanje monitoringa i upravljanja podacima o biodiverzitetu ostavlja značajne posljedice po sistem zaštite prirode i sposobnost države da donosi odluke zasnovane na dokazima i ispunjava svoje obaveze, jer ne postoji jasna i sveobuhvatna slika o stanju i trendovima biodiverziteta, niti je moguće procijeniti efektivnost politika i mjera zaštite prirode. Zbog nepostojanja kontinuiranog monitoringa i sistematskih podataka, ne postoji pouzdan uvid u pritiske na ekosisteme i promjene koje oni izazivaju, a time ni osnova da se razviju strategije upravljanja, definišu mjere mitigacije i obnove ekosistema, niti da se planiraju i sprovode rješenja zasnovana na prirodi.</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Druga važna posljedica je otežano ispunjavanje međunarodnih obaveza. Crna Gora, kao potpisnica Konvencije o biološkoj raznovrsnosti, nema uspostavljen sistem koji bi omogućio prikupljanje podataka potrebnih za redovno izvještavanje o stanju biodiverziteta i sprovođenju strategije biodiverziteta. [Marija5] Kao država kandidat za EU, Crna Gora preuzima obaveze iz Direktive o staništima i Direktive o pticama, koje zahtijevaju redovan monitoring vrsta i staništa, kao i usklađenost sa evropskim politikama o podacima, pri čemu trenutni sistem nije u mogućnosti da odgovori ovim zahtjevima.</w:t>
      </w:r>
    </w:p>
    <w:p w:rsidR="00267456" w:rsidRP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Svakako najveća posljedica ovog stanja jeste rizik od daljeg gubitka biodiverziteta bez adekvatnog institucionalnog odgovora. Vrste i staništa koja nijesu obuhvaćena monitoringom ostaju izvan sistema zaštite, ne postoje mehanizmi ranog upozoravanja na negativne promjene u populacijama ili ekosistemima, a nema ni pouzdanog uvida u efekte projekata, investicija i primijenjenih mjera mitigacije. Bez tih informacija, sistemi zaštite prirode ne mogu pravovremeno reagovati, niti usmjeravati mjere tamo gdje su najpotrebnije.</w:t>
      </w:r>
    </w:p>
    <w:p w:rsidR="00267456" w:rsidRDefault="00267456" w:rsidP="00267456">
      <w:pPr>
        <w:pBdr>
          <w:top w:val="nil"/>
          <w:left w:val="nil"/>
          <w:bottom w:val="nil"/>
          <w:right w:val="nil"/>
          <w:between w:val="nil"/>
        </w:pBdr>
        <w:spacing w:line="240" w:lineRule="auto"/>
        <w:jc w:val="both"/>
        <w:rPr>
          <w:rFonts w:ascii="Arial" w:eastAsia="Arial" w:hAnsi="Arial" w:cs="Arial"/>
          <w:color w:val="000000"/>
        </w:rPr>
      </w:pPr>
      <w:r w:rsidRPr="00267456">
        <w:rPr>
          <w:rFonts w:ascii="Arial" w:eastAsia="Arial" w:hAnsi="Arial" w:cs="Arial"/>
          <w:color w:val="000000"/>
        </w:rPr>
        <w:t>Na osnovu pethodnog može se zaključiti da Crna Gora trenutno nema funkcionalan i standardizovan nacionalni sistem prikupljanja, obrade i razmjene podataka i upravljanja znanjemo biodiverzitetu koji bi omogućio praćenje stanja prirode kroz vrijeme, procjenu efikasnosti politika zaštite prirode i ispunjavanje međunarodnih obaveza.</w:t>
      </w:r>
    </w:p>
    <w:p w:rsidR="00D174EB" w:rsidRDefault="00D174EB">
      <w:pPr>
        <w:pBdr>
          <w:top w:val="nil"/>
          <w:left w:val="nil"/>
          <w:bottom w:val="nil"/>
          <w:right w:val="nil"/>
          <w:between w:val="nil"/>
        </w:pBdr>
        <w:spacing w:line="240" w:lineRule="auto"/>
        <w:jc w:val="both"/>
        <w:rPr>
          <w:rFonts w:ascii="Arial" w:eastAsia="Arial" w:hAnsi="Arial" w:cs="Arial"/>
          <w:color w:val="000000"/>
        </w:rPr>
      </w:pPr>
    </w:p>
    <w:p w:rsidR="00D14804" w:rsidRDefault="00267456" w:rsidP="0064038B">
      <w:pPr>
        <w:pStyle w:val="Heading3"/>
        <w:jc w:val="both"/>
        <w:rPr>
          <w:rFonts w:ascii="Arial" w:eastAsia="Arial" w:hAnsi="Arial" w:cs="Arial"/>
          <w:sz w:val="26"/>
          <w:szCs w:val="26"/>
        </w:rPr>
      </w:pPr>
      <w:bookmarkStart w:id="24" w:name="_Toc222754373"/>
      <w:r>
        <w:rPr>
          <w:rFonts w:ascii="Arial" w:eastAsia="Arial" w:hAnsi="Arial" w:cs="Arial"/>
          <w:sz w:val="26"/>
          <w:szCs w:val="26"/>
        </w:rPr>
        <w:t>2.5</w:t>
      </w:r>
      <w:r w:rsidR="00B176AC">
        <w:rPr>
          <w:rFonts w:ascii="Arial" w:eastAsia="Arial" w:hAnsi="Arial" w:cs="Arial"/>
          <w:sz w:val="26"/>
          <w:szCs w:val="26"/>
        </w:rPr>
        <w:t xml:space="preserve"> </w:t>
      </w:r>
      <w:r w:rsidR="00E47E1B">
        <w:rPr>
          <w:rFonts w:ascii="Arial" w:eastAsia="Arial" w:hAnsi="Arial" w:cs="Arial"/>
          <w:sz w:val="26"/>
          <w:szCs w:val="26"/>
        </w:rPr>
        <w:t>Rodna ravnopravnost, inkluzija ranjivih grupa i učešće lokalnog stanovništva u zaštiti</w:t>
      </w:r>
      <w:r w:rsidR="003330F4">
        <w:rPr>
          <w:rFonts w:ascii="Arial" w:eastAsia="Arial" w:hAnsi="Arial" w:cs="Arial"/>
          <w:sz w:val="26"/>
          <w:szCs w:val="26"/>
        </w:rPr>
        <w:t xml:space="preserve"> i očuvanju</w:t>
      </w:r>
      <w:r w:rsidR="00E47E1B">
        <w:rPr>
          <w:rFonts w:ascii="Arial" w:eastAsia="Arial" w:hAnsi="Arial" w:cs="Arial"/>
          <w:sz w:val="26"/>
          <w:szCs w:val="26"/>
        </w:rPr>
        <w:t xml:space="preserve"> biodiverziteta</w:t>
      </w:r>
      <w:r w:rsidR="003330F4">
        <w:rPr>
          <w:rFonts w:ascii="Arial" w:eastAsia="Arial" w:hAnsi="Arial" w:cs="Arial"/>
          <w:sz w:val="26"/>
          <w:szCs w:val="26"/>
        </w:rPr>
        <w:t xml:space="preserve"> Crne Gore</w:t>
      </w:r>
      <w:bookmarkEnd w:id="24"/>
    </w:p>
    <w:p w:rsidR="00D14804" w:rsidRDefault="00D14804"/>
    <w:p w:rsidR="00D14804" w:rsidRDefault="00E47E1B">
      <w:pPr>
        <w:spacing w:after="240" w:line="240" w:lineRule="auto"/>
        <w:jc w:val="both"/>
        <w:rPr>
          <w:rFonts w:ascii="Arial" w:eastAsia="Arial" w:hAnsi="Arial" w:cs="Arial"/>
        </w:rPr>
      </w:pPr>
      <w:r>
        <w:rPr>
          <w:rFonts w:ascii="Arial" w:eastAsia="Arial" w:hAnsi="Arial" w:cs="Arial"/>
        </w:rPr>
        <w:t>Zaštita biodiverziteta iz perspektive rodne ravnopravnosti, inkluzije ranjivih grupa i učešća lokalnog stanovništva predstavlja složen mehanizam koji je jasno prepoznat kroz crnogorsko zakonodavstvo i međunarodne sporazume koji garantuju pravo na učešće u odlučivanju, pristup prirodnim, društvenim i ekonomskim resursima, kao i pravednu raspodjelu dobrobiti od tih resursa. Međutim, podaci pokazuju da se zemlja suočava sa brojnim izazovima u sprovođenju zakonskog okvira, čime se slabi legitimitet i održivost mjera zaštite prirode, smanjuje povjerenje zajednice, gubi se tradicionalno znanje i povećava rizik od siromaštva i socijalne isključenosti.</w:t>
      </w:r>
    </w:p>
    <w:p w:rsidR="00D14804" w:rsidRDefault="00E47E1B">
      <w:pPr>
        <w:spacing w:after="240" w:line="240" w:lineRule="auto"/>
        <w:jc w:val="both"/>
        <w:rPr>
          <w:rFonts w:ascii="Arial" w:eastAsia="Arial" w:hAnsi="Arial" w:cs="Arial"/>
        </w:rPr>
      </w:pPr>
      <w:r>
        <w:rPr>
          <w:rFonts w:ascii="Arial" w:eastAsia="Arial" w:hAnsi="Arial" w:cs="Arial"/>
        </w:rPr>
        <w:t xml:space="preserve">Na primjeru podataka o učešću žena u odlučivanju, zasnovanog na Zakonu o rodnoj ravnopravnosti koji jasno propisuje obavezu ravnopravne zastupljenosti žena na mjestima donošenja odluka u svim javnim sferama, uključujući i zaštitu prirode, jasno se vidi da postoje neravnopravnosti u odlučivanju, pristupu i korišćenju resursa. U Skupštini Crne Gore žene čine oko 24% poslanika/ca. Njihova zastupljenost u skupštinskim odborima varira, ali u Odboru za poljoprivredu čine 36,4% članstva. Na nivou lokalnih skupština opština, žene su zastupljene sa oko 27%, a svega 8% žena je na čelu opštine. U državnoj upravi, žene zauzimaju između 28% i 35% rukovodećih pozicija, uključujući ministarke, sekretarke ministarstava i direktorke direktorata. U javnim preduzećima žene su zastupljene sa oko 10% kao predsjednice upravnih odbora i sa blizu 20% kao direktorke javnih preduzeća. Preduzetnice su vlasnice oko 25% preduzeća, a svaka treća menadžerka u privatnom sektoru je žena. Samo 12% žena u ruralnim područjima ima formalno vlasništvo ili sigurno pravo korišćenja zemljišta. Indeks rodne </w:t>
      </w:r>
      <w:r>
        <w:rPr>
          <w:rFonts w:ascii="Arial" w:eastAsia="Arial" w:hAnsi="Arial" w:cs="Arial"/>
        </w:rPr>
        <w:lastRenderedPageBreak/>
        <w:t>ravnopravnosti iznosi 59,3 (prosjek EU je 68,6), sa najnižim vrijednostima u ekonomskom učešću i odlučivanju. Stopa zaposlenosti žena je 43%, rodni jaz u platama iznosi 13%. Obrazovne razlike se smanjuju (žene čine 58% studenata/kinja), ali razlike u neplaćenom radu i pristupu resursima ostaju – žene u prosjeku provedu tri puta više vremena u domaćinstvu nego muškarci. I dalje postoji ograničen nivo rodno odgovornih budžeta i slab kapacitet institucija za sprovođenje rodno senzitivne politike u sektoru zaštite životne sredine.</w:t>
      </w:r>
    </w:p>
    <w:p w:rsidR="00D14804" w:rsidRDefault="00E47E1B">
      <w:pPr>
        <w:spacing w:after="240" w:line="240" w:lineRule="auto"/>
        <w:jc w:val="both"/>
        <w:rPr>
          <w:rFonts w:ascii="Arial" w:eastAsia="Arial" w:hAnsi="Arial" w:cs="Arial"/>
        </w:rPr>
      </w:pPr>
      <w:r>
        <w:rPr>
          <w:rFonts w:ascii="Arial" w:eastAsia="Arial" w:hAnsi="Arial" w:cs="Arial"/>
        </w:rPr>
        <w:t>Ranjive grupe (djeca, osobe sa invaliditetom, Romi/kinje i Egipćani/ke, osobe koje žive u udaljenim seoskim područjima) imaju ograničen pristup javnim resursima, procesima odlučivanja i edukaciji o biodiverzitetu. Pravo Roma/Egipćana i osoba sa invaliditetom na zemljište je dodatno ograničeno zbog nedostatka dokumentacije – procjenjuje se da samo 3% ovih populacija ima formalno priznato pravo. Specifične prepreke uključuju nepristupačnost zaštićenih područja za osobe sa invaliditetom, manjak prilagođenih edukativnih kampanja i informativnih materijala na jezicima i formatima razumljivim ovim grupama. Najnovije preporuke i projekti predviđaju razvoj inkluzivnih monitoring programa, rodnih i socijalnih indikatora i direktno uključivanje predstavnika ranjivih grupa u radne grupe i javne konsultacije.</w:t>
      </w:r>
    </w:p>
    <w:p w:rsidR="00D14804" w:rsidRDefault="00E47E1B">
      <w:pPr>
        <w:spacing w:after="240" w:line="240" w:lineRule="auto"/>
        <w:jc w:val="both"/>
        <w:rPr>
          <w:rFonts w:ascii="Arial" w:eastAsia="Arial" w:hAnsi="Arial" w:cs="Arial"/>
        </w:rPr>
      </w:pPr>
      <w:r>
        <w:rPr>
          <w:rFonts w:ascii="Arial" w:eastAsia="Arial" w:hAnsi="Arial" w:cs="Arial"/>
        </w:rPr>
        <w:t>Sa druge strane, mladi su u Crnoj Gori sve aktivniji u zaštiti biodiverziteta, najviše kroz volonterske programe, učešće u ekološkim akcijama, edukativnim radionicama i javnim kampanjama koje vode nevladine organizacije. Više NVO razvija liderske programe gdje mladi dobijaju priliku da učestvuju u monitoring aktivnostima i odlučivanju o upravljanju zaštićenim područjima. Edukativne aktivnosti organizuju se kroz škole, omladinske klubove i zajedničke terenske akcije na istraživanju stanja biljnih i životinjskih vrsta. Naročito su značajni projekti koji povezuju mlade iz urbanih i ruralnih sredina i razvijaju njihove kapacitete za zagovaranje održive zaštite životne sredine kroz debate, škole u prirodi, akcije čišćenja, volonterski monitoring ptica i staništa, koji motivišu mlade da preuzmu liderske uloge u promociji i implementaciji ekoloških standarda.</w:t>
      </w:r>
    </w:p>
    <w:p w:rsidR="00D14804" w:rsidRDefault="00E47E1B">
      <w:pPr>
        <w:spacing w:after="240" w:line="240" w:lineRule="auto"/>
        <w:jc w:val="both"/>
        <w:rPr>
          <w:rFonts w:ascii="Arial" w:eastAsia="Arial" w:hAnsi="Arial" w:cs="Arial"/>
        </w:rPr>
      </w:pPr>
      <w:r>
        <w:rPr>
          <w:rFonts w:ascii="Arial" w:eastAsia="Arial" w:hAnsi="Arial" w:cs="Arial"/>
        </w:rPr>
        <w:t>Iako zakoni propisuju obavezu učešća javnosti kroz javne rasprave, pristup odlučivanju o upravljanju prirodnim resursima je uglavnom centralizovan, sa nedovoljno transparentnosti i participacije lokalnih zajednica u planiranju i upravljanju, što je dijelom zbog nedostatka jasnih protokola za uključivanje lokalnih aktera i akterki, a dijelom zbog nedovoljnog razumijevanja i političke volje da se kroz participativni razvoj lokalnih akcionih planova usmjerenih na očuvanje biodiverziteta omogući održiv prirodni, društveni i ekonomski razvoj. Crna Gora je potpisala i ratifikovala Arhusku konvenciju, čime se obavezala na primjenu njenih standarda u pristupu informacijama, učešću javnosti i pravnoj zaštiti u oblastima životne sredine, ali izvještaji o njenom sprovođenju ukazuju na ograničene kapacitete i resurse, naročito na lokalnom nivou, kao i na nedostatak transparentnog i efikasnog uključivanja građana/ki u odlučivanje. Istraživanja NVO pokazuju da je zainteresovanost stanovništva za aktivno učešće oko 30%, ali da je stvarna participacija znatno niža i često se svodi na potpisivanje peticija, dok je direktno uključivanje u rasprave i konsultacije znatno slabije. Srodne analize naglašavaju da u dio onih koji učestvuju u procesima odlučivanja na lokalnom nivou u Crnoj Gori uglavnom ne prelazi 10–15%, s posebnom napomenom da su žene i predstavnici/ce direktno pogođenih zajednica nedovoljno zastupljeni. Ove analize ukazuju da postoji potreba za unapređenjem ugovaranja, informisanja i uključivanja građana/ki, te za razvojem modela koji motivišu i žene i predstavnike/ce ranjivih grupa iz lokalnih zajednica na veće učešće u javnim raspravama. Nevladine organizacije i međunarodni programi i projekti uključuju češće javne konsultacije, uključivanje lokalnih savjetodavnih tijela i pojedinačne projekte civilnog sektora koji podučavaju i osnažuju lokalne grupe (uključujući žene, mlade i ranjive grupe).</w:t>
      </w:r>
    </w:p>
    <w:p w:rsidR="00D14804" w:rsidRDefault="00E47E1B">
      <w:pPr>
        <w:spacing w:after="240" w:line="240" w:lineRule="auto"/>
        <w:jc w:val="both"/>
        <w:rPr>
          <w:rFonts w:ascii="Arial" w:eastAsia="Arial" w:hAnsi="Arial" w:cs="Arial"/>
        </w:rPr>
      </w:pPr>
      <w:r>
        <w:rPr>
          <w:rFonts w:ascii="Arial" w:eastAsia="Arial" w:hAnsi="Arial" w:cs="Arial"/>
        </w:rPr>
        <w:t xml:space="preserve">Bogatstvo znanja i iskustva lokalnog stanovništva, naročito žena koje žive u seoskim područjima, sakupljača/ca ljekovitog bilja i nedrvnih proizvoda, kao i ribara, ostaje kao neiskorišćen resurs, iako oni koriste svakodnevno iskustvo i duboko poznavanje prirode kako bi prepoznali promjene u biodiverzitetu i reagovali na njih. Žene koje se bave stočarstvom, ratarstvom i radom u baštama često su prve koje primjećuju promjene u ponašanju domaćih i </w:t>
      </w:r>
      <w:r>
        <w:rPr>
          <w:rFonts w:ascii="Arial" w:eastAsia="Arial" w:hAnsi="Arial" w:cs="Arial"/>
        </w:rPr>
        <w:lastRenderedPageBreak/>
        <w:t>divljih životinja, kao što su ranije ili kasnije selidbe ptica, promjena navika ispaše stoke ili učestalija pojava štetočina među biljkama. Promjene u rastu i zdravlju biljaka primjećuju kroz slabiju klijavost, promjenu boje listova, sušu ili pojavu novih bolesti, što direktno utiče na prinose i kvalitet proizvoda. Ribari opažaju promjene u migracionim putanjama riba, sve slabiju prisutnost pojedinih vrsta i pojavu novih, invazivnih morskih organizama, što direktno utiče na ulov i lokalnu ekonomiju. Ljudi koji sakupljaju i prerađuju ljekovito bilje i šumske plodove bilježe pomjeranja u periodu cvjetanja i sazrijevanja – određene vrste cvjetaju ranije ili kasnije, što otežava sakupljanje i preradu. Lokalno stanovništvo je dragocjeni izvor informacija o promjenama rasprostranjenosti pojedinih biljaka, nestanku autohtonih vrsta sa tradicionalnih lokaliteta i pojavi novih, ponekad invazivnih vrsta, kao i klimatskim uslovima, kao što su promijenjeni ritam padavina i temperature, suša i ekstremni vremenski događaji, koji se direktno odražavaju na uspjeh gajenja, sakupljanja, kvaliteta i količine biljnog materijala.</w:t>
      </w:r>
    </w:p>
    <w:p w:rsidR="00D14804" w:rsidRDefault="00E47E1B">
      <w:pPr>
        <w:spacing w:after="240" w:line="240" w:lineRule="auto"/>
        <w:jc w:val="both"/>
        <w:rPr>
          <w:rFonts w:ascii="Arial" w:eastAsia="Arial" w:hAnsi="Arial" w:cs="Arial"/>
        </w:rPr>
      </w:pPr>
      <w:r>
        <w:rPr>
          <w:rFonts w:ascii="Arial" w:eastAsia="Arial" w:hAnsi="Arial" w:cs="Arial"/>
        </w:rPr>
        <w:t>Ekološke nevladine organizacije, kao i NVO koje se bave razvojem seoskog turizma, ekonomskim osnaživanjem žena i mladih, imaju važnu ulogu u uključivanju lokalnog stanovništva u zaštitu biodiverziteta u Crnoj Gori. Kroz radionice, javne tribine i edukativne kampanje, šire se i prenose znanja o vrijednosti i očuvanju prirodnih resursa i valorizuju tradicionalna iskustva. U pojedinim opštinama NVO su sprovodile participativni monitoring, gdje su mještani direktno učestvovali u praćenju stanja ugroženih vrsta i ekosistema, a realizovani su i projekti u kojima su žene, mladi i predstavnici/ce marginalizovanih grupa imali odlučujuću ulogu u planiranju aktivnosti zaštite prirode. Jedan od najupečatljivijih primjera je višemjesečna podrška lokalnog stanovništva stručnom biološkom timu u pronalaženju i zaštiti staništa nove biljne vrste Petrolamium crnojevići, koja može da posluži kao primjer dobre prakse saradnje naučne zajednice i građana/ki u očuvanju biodiverziteta. Primjeri dobre prakse u razvoju ekološki održivog seoskog turizma, u kome lokalna zajednica, a naročito žene, doprinose zaštiti biodiverziteta, mogu se naći na sjeveru Crne Gore, gdje su NVO dale veliki doprinos kroz rad sa seoskim domaćinstvima i ženama iz ruralnih krajeva, koje su kroz NVO projekte dobile priliku za obuku o ekološkoj poljoprivredi i održivom korišćenju resursa. Primjeri uključuju izradu lokalnih priručnika i informativnog materijala, kao i unapređenje pristupačnosti prirodnih područja za djecu i osobe sa invaliditetom. Iskustvo ovih NVO potvrđuje da je inkluzivni i participativni model ključan za uspjeh zaštite biodiverziteta i jačanje povjerenja građana/ki u institucije zaštite prirode.</w:t>
      </w:r>
    </w:p>
    <w:p w:rsidR="003330F4" w:rsidRDefault="003330F4">
      <w:pPr>
        <w:spacing w:after="240" w:line="240" w:lineRule="auto"/>
        <w:jc w:val="both"/>
        <w:rPr>
          <w:rFonts w:ascii="Arial" w:eastAsia="Arial" w:hAnsi="Arial" w:cs="Arial"/>
        </w:rPr>
      </w:pPr>
    </w:p>
    <w:p w:rsidR="003330F4" w:rsidRDefault="00CC3B2F" w:rsidP="003330F4">
      <w:pPr>
        <w:pStyle w:val="Heading3"/>
        <w:rPr>
          <w:rFonts w:ascii="Arial" w:eastAsia="Arial" w:hAnsi="Arial" w:cs="Arial"/>
          <w:sz w:val="26"/>
          <w:szCs w:val="26"/>
        </w:rPr>
      </w:pPr>
      <w:bookmarkStart w:id="25" w:name="_Toc222754374"/>
      <w:r>
        <w:rPr>
          <w:rFonts w:ascii="Arial" w:eastAsia="Arial" w:hAnsi="Arial" w:cs="Arial"/>
          <w:sz w:val="26"/>
          <w:szCs w:val="26"/>
        </w:rPr>
        <w:t>2.6</w:t>
      </w:r>
      <w:r w:rsidR="003330F4" w:rsidRPr="003330F4">
        <w:rPr>
          <w:rFonts w:ascii="Arial" w:eastAsia="Arial" w:hAnsi="Arial" w:cs="Arial"/>
          <w:sz w:val="26"/>
          <w:szCs w:val="26"/>
        </w:rPr>
        <w:t xml:space="preserve"> Analiza zainteresovanih strana NSBAP 2026-2031</w:t>
      </w:r>
      <w:bookmarkEnd w:id="25"/>
    </w:p>
    <w:p w:rsidR="00F237FB" w:rsidRDefault="003330F4" w:rsidP="003330F4">
      <w:pPr>
        <w:spacing w:line="240" w:lineRule="auto"/>
        <w:jc w:val="both"/>
        <w:rPr>
          <w:rFonts w:ascii="Arial" w:hAnsi="Arial" w:cs="Arial"/>
        </w:rPr>
      </w:pPr>
      <w:r>
        <w:rPr>
          <w:rFonts w:ascii="Arial" w:hAnsi="Arial" w:cs="Arial"/>
        </w:rPr>
        <w:t>Sprovođenje N</w:t>
      </w:r>
      <w:r w:rsidRPr="003330F4">
        <w:rPr>
          <w:rFonts w:ascii="Arial" w:hAnsi="Arial" w:cs="Arial"/>
        </w:rPr>
        <w:t>S</w:t>
      </w:r>
      <w:r>
        <w:rPr>
          <w:rFonts w:ascii="Arial" w:hAnsi="Arial" w:cs="Arial"/>
        </w:rPr>
        <w:t>B</w:t>
      </w:r>
      <w:r w:rsidRPr="003330F4">
        <w:rPr>
          <w:rFonts w:ascii="Arial" w:hAnsi="Arial" w:cs="Arial"/>
        </w:rPr>
        <w:t xml:space="preserve">AP-a zahtijeva koordinisano djelovanje širokog spektra institucionalnih i društvenih aktera čije nadležnosti, </w:t>
      </w:r>
      <w:r w:rsidRPr="003947AB">
        <w:rPr>
          <w:rFonts w:ascii="Arial" w:hAnsi="Arial" w:cs="Arial"/>
        </w:rPr>
        <w:t>aktivnosti ili interesi imaju direktan ili indirektan uticaj na stanje biodiverziteta u Crnoj Gori. Analiza zainteresovanih strana sprovedena je u skladu sa Uredbom o načinu i postupku usklađivanja i praćenja sprovođenja strateških dokumenata</w:t>
      </w:r>
      <w:r w:rsidR="003947AB" w:rsidRPr="003947AB">
        <w:rPr>
          <w:rFonts w:ascii="Arial" w:hAnsi="Arial" w:cs="Arial"/>
        </w:rPr>
        <w:t xml:space="preserve"> („Službeni list Crne Gore“, br. 54/2018)</w:t>
      </w:r>
      <w:r w:rsidRPr="003947AB">
        <w:rPr>
          <w:rFonts w:ascii="Arial" w:hAnsi="Arial" w:cs="Arial"/>
        </w:rPr>
        <w:t xml:space="preserve"> i </w:t>
      </w:r>
      <w:r w:rsidR="003947AB" w:rsidRPr="003947AB">
        <w:rPr>
          <w:rFonts w:ascii="Arial" w:hAnsi="Arial" w:cs="Arial"/>
        </w:rPr>
        <w:t>Metodologijom razvijanja politika, izrade i praćenja sprovođenja strateških dokumenata Vlade Crne Gore</w:t>
      </w:r>
      <w:r w:rsidRPr="003947AB">
        <w:rPr>
          <w:rFonts w:ascii="Arial" w:hAnsi="Arial" w:cs="Arial"/>
        </w:rPr>
        <w:t>, uz primjenu principa saradnje i transparentnosti, te usklađivanje sa ciljevima KM-GBF posebno</w:t>
      </w:r>
      <w:r w:rsidR="003947AB">
        <w:rPr>
          <w:rFonts w:ascii="Arial" w:hAnsi="Arial" w:cs="Arial"/>
        </w:rPr>
        <w:t xml:space="preserve"> sa zadacima</w:t>
      </w:r>
      <w:r>
        <w:rPr>
          <w:rFonts w:ascii="Arial" w:hAnsi="Arial" w:cs="Arial"/>
        </w:rPr>
        <w:t xml:space="preserve"> T22 i T23. </w:t>
      </w:r>
    </w:p>
    <w:p w:rsidR="00784AE2" w:rsidRDefault="003330F4" w:rsidP="00784AE2">
      <w:pPr>
        <w:spacing w:line="240" w:lineRule="auto"/>
        <w:jc w:val="both"/>
        <w:rPr>
          <w:rFonts w:ascii="Arial" w:hAnsi="Arial" w:cs="Arial"/>
        </w:rPr>
      </w:pPr>
      <w:r w:rsidRPr="003330F4">
        <w:rPr>
          <w:rFonts w:ascii="Arial" w:hAnsi="Arial" w:cs="Arial"/>
        </w:rPr>
        <w:t>Identifikacija aktera izvršena je na osnovu njihove institucionalne nadležnosti, stepena interesa i uticaja, kao i potencijalne uloge u planiranju, finansiranju, sprovođenju i nadzoru Strategije. Procjena je pokazala da najveći prioritet (visok interes i visok uticaj) imaju ključna resorna ministarstva, Agencija za zaštitu životne sredine, upravljači zaštićenih područja, Ministarstvo finansija, kao i koordinaci</w:t>
      </w:r>
      <w:r w:rsidR="00784AE2">
        <w:rPr>
          <w:rFonts w:ascii="Arial" w:hAnsi="Arial" w:cs="Arial"/>
        </w:rPr>
        <w:t xml:space="preserve">ona tijela na nacionalnom nivou. </w:t>
      </w:r>
      <w:r w:rsidR="00784AE2" w:rsidRPr="00885D93">
        <w:rPr>
          <w:rFonts w:ascii="Arial" w:hAnsi="Arial" w:cs="Arial"/>
        </w:rPr>
        <w:t>U P</w:t>
      </w:r>
      <w:r w:rsidR="004E35B8" w:rsidRPr="00885D93">
        <w:rPr>
          <w:rFonts w:ascii="Arial" w:hAnsi="Arial" w:cs="Arial"/>
        </w:rPr>
        <w:t xml:space="preserve">rilogu </w:t>
      </w:r>
      <w:r w:rsidR="003E5CFF" w:rsidRPr="00885D93">
        <w:rPr>
          <w:rFonts w:ascii="Arial" w:hAnsi="Arial" w:cs="Arial"/>
        </w:rPr>
        <w:t>V</w:t>
      </w:r>
      <w:r w:rsidR="0053416F" w:rsidRPr="00885D93">
        <w:rPr>
          <w:rFonts w:ascii="Arial" w:hAnsi="Arial" w:cs="Arial"/>
        </w:rPr>
        <w:t>I</w:t>
      </w:r>
      <w:r w:rsidR="004E35B8" w:rsidRPr="00885D93">
        <w:rPr>
          <w:rFonts w:ascii="Arial" w:hAnsi="Arial" w:cs="Arial"/>
        </w:rPr>
        <w:t xml:space="preserve"> je Tabela </w:t>
      </w:r>
      <w:r w:rsidR="004758CE" w:rsidRPr="00885D93">
        <w:rPr>
          <w:rFonts w:ascii="Arial" w:hAnsi="Arial" w:cs="Arial"/>
        </w:rPr>
        <w:t>0</w:t>
      </w:r>
      <w:r w:rsidR="003E5CFF" w:rsidRPr="00885D93">
        <w:rPr>
          <w:rFonts w:ascii="Arial" w:hAnsi="Arial" w:cs="Arial"/>
        </w:rPr>
        <w:t>5</w:t>
      </w:r>
      <w:r w:rsidR="00784AE2" w:rsidRPr="00885D93">
        <w:rPr>
          <w:rFonts w:ascii="Arial" w:hAnsi="Arial" w:cs="Arial"/>
        </w:rPr>
        <w:t xml:space="preserve"> sa detaljnom analizoma zainteresovanih strana.</w:t>
      </w:r>
    </w:p>
    <w:p w:rsidR="003330F4" w:rsidRPr="003330F4" w:rsidRDefault="003330F4" w:rsidP="003330F4">
      <w:pPr>
        <w:spacing w:line="240" w:lineRule="auto"/>
        <w:jc w:val="both"/>
        <w:rPr>
          <w:rFonts w:ascii="Arial" w:hAnsi="Arial" w:cs="Arial"/>
          <w:b/>
          <w:bCs/>
        </w:rPr>
      </w:pPr>
      <w:r w:rsidRPr="003330F4">
        <w:rPr>
          <w:rFonts w:ascii="Arial" w:hAnsi="Arial" w:cs="Arial"/>
          <w:b/>
          <w:bCs/>
        </w:rPr>
        <w:t>1. Ministarstva i državni organi</w:t>
      </w:r>
    </w:p>
    <w:p w:rsidR="003330F4" w:rsidRPr="003330F4" w:rsidRDefault="003330F4" w:rsidP="003330F4">
      <w:pPr>
        <w:spacing w:line="240" w:lineRule="auto"/>
        <w:jc w:val="both"/>
        <w:rPr>
          <w:rFonts w:ascii="Arial" w:hAnsi="Arial" w:cs="Arial"/>
        </w:rPr>
      </w:pPr>
      <w:r w:rsidRPr="003330F4">
        <w:rPr>
          <w:rFonts w:ascii="Arial" w:hAnsi="Arial" w:cs="Arial"/>
        </w:rPr>
        <w:t>Ministarstvo ekologije, održivog razvoja i razvoja sjevera</w:t>
      </w:r>
      <w:r w:rsidR="004B1989">
        <w:rPr>
          <w:rFonts w:ascii="Arial" w:hAnsi="Arial" w:cs="Arial"/>
        </w:rPr>
        <w:t xml:space="preserve"> (MERS)</w:t>
      </w:r>
      <w:r w:rsidRPr="003330F4">
        <w:rPr>
          <w:rFonts w:ascii="Arial" w:hAnsi="Arial" w:cs="Arial"/>
        </w:rPr>
        <w:t xml:space="preserve"> ima centralnu koordinacionu ulogu kao nosilac politike zaštite biodiverziteta i odgovorno tijelo za međunarodne obaveze. </w:t>
      </w:r>
      <w:r w:rsidRPr="003330F4">
        <w:rPr>
          <w:rFonts w:ascii="Arial" w:hAnsi="Arial" w:cs="Arial"/>
        </w:rPr>
        <w:lastRenderedPageBreak/>
        <w:t>Procijenjeno je kao akter sa maksima</w:t>
      </w:r>
      <w:r w:rsidR="00F237FB">
        <w:rPr>
          <w:rFonts w:ascii="Arial" w:hAnsi="Arial" w:cs="Arial"/>
        </w:rPr>
        <w:t>lnim interesom i uticajem (5/5).</w:t>
      </w:r>
      <w:r w:rsidR="009058A4">
        <w:rPr>
          <w:rFonts w:ascii="Arial" w:hAnsi="Arial" w:cs="Arial"/>
        </w:rPr>
        <w:t xml:space="preserve"> </w:t>
      </w:r>
      <w:r w:rsidRPr="003330F4">
        <w:rPr>
          <w:rFonts w:ascii="Arial" w:hAnsi="Arial" w:cs="Arial"/>
        </w:rPr>
        <w:t>Ključni izazovi odnose se na ograničene kadrovske i finansijske kapacitete, preklapanje nadležnosti i potrebu za snažnijom međuresornom koordinacijom.</w:t>
      </w:r>
    </w:p>
    <w:p w:rsidR="003330F4" w:rsidRPr="003330F4" w:rsidRDefault="003330F4" w:rsidP="003330F4">
      <w:pPr>
        <w:spacing w:line="240" w:lineRule="auto"/>
        <w:jc w:val="both"/>
        <w:rPr>
          <w:rFonts w:ascii="Arial" w:hAnsi="Arial" w:cs="Arial"/>
        </w:rPr>
      </w:pPr>
      <w:r w:rsidRPr="003330F4">
        <w:rPr>
          <w:rFonts w:ascii="Arial" w:hAnsi="Arial" w:cs="Arial"/>
        </w:rPr>
        <w:t xml:space="preserve">Ministarstvo poljoprivrede, šumarstva i vodoprivrede, Ministarstvo prostornog planiranja, Ministarstvo finansija, Ministarstvo evropskih poslova i druga sektorska ministarstva imaju visok uticaj na biodiverzitet kroz upravljanje prirodnim resursima, budžetsko planiranje, razvoj infrastrukture i usklađivanje sa EU </w:t>
      </w:r>
      <w:r w:rsidRPr="009058A4">
        <w:rPr>
          <w:rFonts w:ascii="Arial" w:hAnsi="Arial" w:cs="Arial"/>
          <w:i/>
        </w:rPr>
        <w:t>acquis</w:t>
      </w:r>
      <w:r w:rsidRPr="003330F4">
        <w:rPr>
          <w:rFonts w:ascii="Arial" w:hAnsi="Arial" w:cs="Arial"/>
        </w:rPr>
        <w:t>-em</w:t>
      </w:r>
      <w:r>
        <w:rPr>
          <w:rFonts w:ascii="Arial" w:hAnsi="Arial" w:cs="Arial"/>
        </w:rPr>
        <w:t>.</w:t>
      </w:r>
      <w:r w:rsidR="009058A4">
        <w:rPr>
          <w:rFonts w:ascii="Arial" w:hAnsi="Arial" w:cs="Arial"/>
        </w:rPr>
        <w:t xml:space="preserve"> </w:t>
      </w:r>
      <w:r w:rsidRPr="003330F4">
        <w:rPr>
          <w:rFonts w:ascii="Arial" w:hAnsi="Arial" w:cs="Arial"/>
        </w:rPr>
        <w:t>Analiza ukazuje da je ključni izazov nedovoljna sistemska integracija biodiverziteta u sektorske politike, posebno kroz prostorno planiranje, SEA/EIA procedure i fiskalne instrumente.</w:t>
      </w:r>
    </w:p>
    <w:p w:rsidR="003330F4" w:rsidRPr="003330F4" w:rsidRDefault="003330F4" w:rsidP="003330F4">
      <w:pPr>
        <w:spacing w:line="240" w:lineRule="auto"/>
        <w:jc w:val="both"/>
        <w:rPr>
          <w:rFonts w:ascii="Arial" w:hAnsi="Arial" w:cs="Arial"/>
          <w:b/>
          <w:bCs/>
        </w:rPr>
      </w:pPr>
      <w:r w:rsidRPr="003330F4">
        <w:rPr>
          <w:rFonts w:ascii="Arial" w:hAnsi="Arial" w:cs="Arial"/>
          <w:b/>
          <w:bCs/>
        </w:rPr>
        <w:t>2. Agencije i javna preduzeća</w:t>
      </w:r>
    </w:p>
    <w:p w:rsidR="003330F4" w:rsidRPr="003330F4" w:rsidRDefault="003330F4" w:rsidP="003330F4">
      <w:pPr>
        <w:spacing w:line="240" w:lineRule="auto"/>
        <w:jc w:val="both"/>
        <w:rPr>
          <w:rFonts w:ascii="Arial" w:hAnsi="Arial" w:cs="Arial"/>
        </w:rPr>
      </w:pPr>
      <w:r w:rsidRPr="003330F4">
        <w:rPr>
          <w:rFonts w:ascii="Arial" w:hAnsi="Arial" w:cs="Arial"/>
        </w:rPr>
        <w:t>Agencija za zaštitu životne sredine</w:t>
      </w:r>
      <w:r w:rsidR="004B1989">
        <w:rPr>
          <w:rFonts w:ascii="Arial" w:hAnsi="Arial" w:cs="Arial"/>
        </w:rPr>
        <w:t xml:space="preserve"> (AZ</w:t>
      </w:r>
      <w:r w:rsidR="004F4BEF">
        <w:rPr>
          <w:rFonts w:ascii="Arial" w:hAnsi="Arial" w:cs="Arial"/>
        </w:rPr>
        <w:t>ŽS</w:t>
      </w:r>
      <w:r w:rsidR="004B1989">
        <w:rPr>
          <w:rFonts w:ascii="Arial" w:hAnsi="Arial" w:cs="Arial"/>
        </w:rPr>
        <w:t>)</w:t>
      </w:r>
      <w:r w:rsidRPr="003330F4">
        <w:rPr>
          <w:rFonts w:ascii="Arial" w:hAnsi="Arial" w:cs="Arial"/>
        </w:rPr>
        <w:t xml:space="preserve"> predstavlja ključni tehnički organ za monitoring, baze podataka i izvještavanje prem</w:t>
      </w:r>
      <w:r w:rsidR="009058A4">
        <w:rPr>
          <w:rFonts w:ascii="Arial" w:hAnsi="Arial" w:cs="Arial"/>
        </w:rPr>
        <w:t>a EU i CBD-u (visok uticaj – 5).</w:t>
      </w:r>
      <w:r w:rsidRPr="003330F4">
        <w:rPr>
          <w:rFonts w:ascii="Arial" w:hAnsi="Arial" w:cs="Arial"/>
        </w:rPr>
        <w:t xml:space="preserve">Identifikovani izazovi uključuju </w:t>
      </w:r>
      <w:r w:rsidR="009058A4">
        <w:rPr>
          <w:rFonts w:ascii="Arial" w:hAnsi="Arial" w:cs="Arial"/>
        </w:rPr>
        <w:t xml:space="preserve"> </w:t>
      </w:r>
      <w:r w:rsidRPr="003330F4">
        <w:rPr>
          <w:rFonts w:ascii="Arial" w:hAnsi="Arial" w:cs="Arial"/>
        </w:rPr>
        <w:t>nedovoljne tehničke kapacitete, ograničene budžete i potrebu za digitalnom interoperabilnošću sistema.</w:t>
      </w:r>
    </w:p>
    <w:p w:rsidR="003330F4" w:rsidRPr="003330F4" w:rsidRDefault="003330F4" w:rsidP="003330F4">
      <w:pPr>
        <w:spacing w:line="240" w:lineRule="auto"/>
        <w:jc w:val="both"/>
        <w:rPr>
          <w:rFonts w:ascii="Arial" w:hAnsi="Arial" w:cs="Arial"/>
        </w:rPr>
      </w:pPr>
      <w:r w:rsidRPr="003330F4">
        <w:rPr>
          <w:rFonts w:ascii="Arial" w:hAnsi="Arial" w:cs="Arial"/>
        </w:rPr>
        <w:t>JP „Naciona</w:t>
      </w:r>
      <w:r w:rsidR="00DE75DC">
        <w:rPr>
          <w:rFonts w:ascii="Arial" w:hAnsi="Arial" w:cs="Arial"/>
        </w:rPr>
        <w:t>lni parkovi Crne Gore“ i JP za u</w:t>
      </w:r>
      <w:r w:rsidRPr="003330F4">
        <w:rPr>
          <w:rFonts w:ascii="Arial" w:hAnsi="Arial" w:cs="Arial"/>
        </w:rPr>
        <w:t>pravljanje morskim dobrom imaju ključnu operativnu ulogu u sprovođenju mjera n</w:t>
      </w:r>
      <w:r w:rsidR="00DE75DC">
        <w:rPr>
          <w:rFonts w:ascii="Arial" w:hAnsi="Arial" w:cs="Arial"/>
        </w:rPr>
        <w:t xml:space="preserve">a terenu (interes 5, uticaj 4). </w:t>
      </w:r>
      <w:r w:rsidRPr="003330F4">
        <w:rPr>
          <w:rFonts w:ascii="Arial" w:hAnsi="Arial" w:cs="Arial"/>
        </w:rPr>
        <w:t>Analiza pokazuje neravnomjernost kapaciteta, finansijsku zavisnost od projektnih sredstava i potrebu za dugoročnim planiranjem.</w:t>
      </w:r>
    </w:p>
    <w:p w:rsidR="003330F4" w:rsidRPr="003330F4" w:rsidRDefault="00D7501D" w:rsidP="003330F4">
      <w:pPr>
        <w:spacing w:line="240" w:lineRule="auto"/>
        <w:jc w:val="both"/>
        <w:rPr>
          <w:rFonts w:ascii="Arial" w:hAnsi="Arial" w:cs="Arial"/>
        </w:rPr>
      </w:pPr>
      <w:r>
        <w:rPr>
          <w:rFonts w:ascii="Arial" w:hAnsi="Arial" w:cs="Arial"/>
        </w:rPr>
        <w:t>F</w:t>
      </w:r>
      <w:r w:rsidR="00C400B6">
        <w:rPr>
          <w:rFonts w:ascii="Arial" w:hAnsi="Arial" w:cs="Arial"/>
        </w:rPr>
        <w:t>ond za zaštitu životne sredine</w:t>
      </w:r>
      <w:r>
        <w:rPr>
          <w:rFonts w:ascii="Arial" w:hAnsi="Arial" w:cs="Arial"/>
        </w:rPr>
        <w:t xml:space="preserve"> Crne Gore</w:t>
      </w:r>
      <w:r w:rsidR="00C400B6">
        <w:rPr>
          <w:rFonts w:ascii="Arial" w:hAnsi="Arial" w:cs="Arial"/>
        </w:rPr>
        <w:t xml:space="preserve"> (</w:t>
      </w:r>
      <w:r w:rsidR="003330F4" w:rsidRPr="003330F4">
        <w:rPr>
          <w:rFonts w:ascii="Arial" w:hAnsi="Arial" w:cs="Arial"/>
        </w:rPr>
        <w:t>Eko-fond</w:t>
      </w:r>
      <w:r w:rsidR="00C400B6">
        <w:rPr>
          <w:rFonts w:ascii="Arial" w:hAnsi="Arial" w:cs="Arial"/>
        </w:rPr>
        <w:t>)</w:t>
      </w:r>
      <w:r w:rsidR="003330F4" w:rsidRPr="003330F4">
        <w:rPr>
          <w:rFonts w:ascii="Arial" w:hAnsi="Arial" w:cs="Arial"/>
        </w:rPr>
        <w:t xml:space="preserve"> ima potencijal za finansijsku podršku biodiverzitetu, ali je do sada taj</w:t>
      </w:r>
      <w:r w:rsidR="00C400B6">
        <w:rPr>
          <w:rFonts w:ascii="Arial" w:hAnsi="Arial" w:cs="Arial"/>
        </w:rPr>
        <w:t xml:space="preserve"> potencijal ograničeno korišćen.</w:t>
      </w:r>
    </w:p>
    <w:p w:rsidR="003330F4" w:rsidRPr="003330F4" w:rsidRDefault="003330F4" w:rsidP="003330F4">
      <w:pPr>
        <w:spacing w:line="240" w:lineRule="auto"/>
        <w:jc w:val="both"/>
        <w:rPr>
          <w:rFonts w:ascii="Arial" w:hAnsi="Arial" w:cs="Arial"/>
          <w:b/>
          <w:bCs/>
        </w:rPr>
      </w:pPr>
      <w:r w:rsidRPr="003330F4">
        <w:rPr>
          <w:rFonts w:ascii="Arial" w:hAnsi="Arial" w:cs="Arial"/>
          <w:b/>
          <w:bCs/>
        </w:rPr>
        <w:t>3. Lokalne samouprave</w:t>
      </w:r>
    </w:p>
    <w:p w:rsidR="003330F4" w:rsidRPr="003330F4" w:rsidRDefault="003330F4" w:rsidP="003330F4">
      <w:pPr>
        <w:spacing w:line="240" w:lineRule="auto"/>
        <w:jc w:val="both"/>
        <w:rPr>
          <w:rFonts w:ascii="Arial" w:hAnsi="Arial" w:cs="Arial"/>
        </w:rPr>
      </w:pPr>
      <w:r w:rsidRPr="003330F4">
        <w:rPr>
          <w:rFonts w:ascii="Arial" w:hAnsi="Arial" w:cs="Arial"/>
        </w:rPr>
        <w:t>Jedinice lokalne samouprave imaju ključnu ulogu u sprovođenju mjera na terenu, izradi lokalnih planova zaštite životne sredine, integraciji biodiverziteta u prostorne planove</w:t>
      </w:r>
      <w:r w:rsidR="00C400B6">
        <w:rPr>
          <w:rFonts w:ascii="Arial" w:hAnsi="Arial" w:cs="Arial"/>
        </w:rPr>
        <w:t xml:space="preserve"> nižeg reda</w:t>
      </w:r>
      <w:r w:rsidRPr="003330F4">
        <w:rPr>
          <w:rFonts w:ascii="Arial" w:hAnsi="Arial" w:cs="Arial"/>
        </w:rPr>
        <w:t xml:space="preserve"> i sprovođenju lokalnih akcionih planova. Njihov interes je ocijenjen kao visok (4)</w:t>
      </w:r>
      <w:r w:rsidR="00C400B6">
        <w:rPr>
          <w:rFonts w:ascii="Arial" w:hAnsi="Arial" w:cs="Arial"/>
        </w:rPr>
        <w:t xml:space="preserve">, ali sa umjerenim uticajem (3). </w:t>
      </w:r>
      <w:r w:rsidRPr="003330F4">
        <w:rPr>
          <w:rFonts w:ascii="Arial" w:hAnsi="Arial" w:cs="Arial"/>
        </w:rPr>
        <w:t>Glavni izazovi odnose se na ograničene ljudske i tehničke kapacitete, zavisnost od spoljnog finansiranja i nedovoljno razvijene mehanizme uključivanja građana u lokalno planiranje.</w:t>
      </w:r>
    </w:p>
    <w:p w:rsidR="003330F4" w:rsidRPr="003330F4" w:rsidRDefault="003330F4" w:rsidP="003330F4">
      <w:pPr>
        <w:spacing w:line="240" w:lineRule="auto"/>
        <w:jc w:val="both"/>
        <w:rPr>
          <w:rFonts w:ascii="Arial" w:hAnsi="Arial" w:cs="Arial"/>
          <w:b/>
          <w:bCs/>
        </w:rPr>
      </w:pPr>
      <w:r w:rsidRPr="003330F4">
        <w:rPr>
          <w:rFonts w:ascii="Arial" w:hAnsi="Arial" w:cs="Arial"/>
          <w:b/>
          <w:bCs/>
        </w:rPr>
        <w:t>4. Lokalne zajednice</w:t>
      </w:r>
    </w:p>
    <w:p w:rsidR="003330F4" w:rsidRPr="003330F4" w:rsidRDefault="003330F4" w:rsidP="003330F4">
      <w:pPr>
        <w:spacing w:line="240" w:lineRule="auto"/>
        <w:jc w:val="both"/>
        <w:rPr>
          <w:rFonts w:ascii="Arial" w:hAnsi="Arial" w:cs="Arial"/>
        </w:rPr>
      </w:pPr>
      <w:r w:rsidRPr="003330F4">
        <w:rPr>
          <w:rFonts w:ascii="Arial" w:hAnsi="Arial" w:cs="Arial"/>
        </w:rPr>
        <w:t>Lokalne zajednice, uključujući korisnike prirodnih resursa (ribarstvo, pčelarstvo, stočarstvo, turizam, šumarstvo), predstavljaju ključne aktere u sprovođenju mjera očuvanja. Njihov formalni uticaj je umjeren, ali njihov stvarni značaj za uspjeh mjera je visok. Analiza ukazuje na potrebu za jačanjem participativnih mehanizama, boljom komunikacijom i valorizacijom tradicionalnog znanja.</w:t>
      </w:r>
    </w:p>
    <w:p w:rsidR="003330F4" w:rsidRPr="003330F4" w:rsidRDefault="003330F4" w:rsidP="003330F4">
      <w:pPr>
        <w:spacing w:line="240" w:lineRule="auto"/>
        <w:jc w:val="both"/>
        <w:rPr>
          <w:rFonts w:ascii="Arial" w:hAnsi="Arial" w:cs="Arial"/>
          <w:b/>
          <w:bCs/>
        </w:rPr>
      </w:pPr>
      <w:r w:rsidRPr="003330F4">
        <w:rPr>
          <w:rFonts w:ascii="Arial" w:hAnsi="Arial" w:cs="Arial"/>
          <w:b/>
          <w:bCs/>
        </w:rPr>
        <w:t>5. Naučna zajednica</w:t>
      </w:r>
    </w:p>
    <w:p w:rsidR="003330F4" w:rsidRPr="003330F4" w:rsidRDefault="003330F4" w:rsidP="003330F4">
      <w:pPr>
        <w:spacing w:line="240" w:lineRule="auto"/>
        <w:jc w:val="both"/>
        <w:rPr>
          <w:rFonts w:ascii="Arial" w:hAnsi="Arial" w:cs="Arial"/>
        </w:rPr>
      </w:pPr>
      <w:r w:rsidRPr="003330F4">
        <w:rPr>
          <w:rFonts w:ascii="Arial" w:hAnsi="Arial" w:cs="Arial"/>
        </w:rPr>
        <w:t>Univerziteti, Institut za biologiju mora</w:t>
      </w:r>
      <w:r w:rsidR="000D32BD">
        <w:rPr>
          <w:rFonts w:ascii="Arial" w:hAnsi="Arial" w:cs="Arial"/>
        </w:rPr>
        <w:t xml:space="preserve"> (IBM)</w:t>
      </w:r>
      <w:r w:rsidRPr="003330F4">
        <w:rPr>
          <w:rFonts w:ascii="Arial" w:hAnsi="Arial" w:cs="Arial"/>
        </w:rPr>
        <w:t xml:space="preserve">, </w:t>
      </w:r>
      <w:r w:rsidR="000D32BD">
        <w:rPr>
          <w:rFonts w:ascii="Arial" w:hAnsi="Arial" w:cs="Arial"/>
        </w:rPr>
        <w:t>Zavod za hidrometeorologiju</w:t>
      </w:r>
      <w:r w:rsidR="00D7501D">
        <w:rPr>
          <w:rFonts w:ascii="Arial" w:hAnsi="Arial" w:cs="Arial"/>
        </w:rPr>
        <w:t xml:space="preserve"> i seizmologiju</w:t>
      </w:r>
      <w:r w:rsidR="000D32BD">
        <w:rPr>
          <w:rFonts w:ascii="Arial" w:hAnsi="Arial" w:cs="Arial"/>
        </w:rPr>
        <w:t xml:space="preserve"> </w:t>
      </w:r>
      <w:r w:rsidR="00D7501D">
        <w:rPr>
          <w:rFonts w:ascii="Arial" w:hAnsi="Arial" w:cs="Arial"/>
        </w:rPr>
        <w:t xml:space="preserve">Crne Gore </w:t>
      </w:r>
      <w:r w:rsidR="000D32BD">
        <w:rPr>
          <w:rFonts w:ascii="Arial" w:hAnsi="Arial" w:cs="Arial"/>
        </w:rPr>
        <w:t>(ZHMS)</w:t>
      </w:r>
      <w:r w:rsidRPr="003330F4">
        <w:rPr>
          <w:rFonts w:ascii="Arial" w:hAnsi="Arial" w:cs="Arial"/>
        </w:rPr>
        <w:t xml:space="preserve"> i druge istraživačke institucije imaju značajnu ulogu u obezbjeđivanju naučne osnove za od</w:t>
      </w:r>
      <w:r w:rsidR="000D32BD">
        <w:rPr>
          <w:rFonts w:ascii="Arial" w:hAnsi="Arial" w:cs="Arial"/>
        </w:rPr>
        <w:t xml:space="preserve">lučivanje (interes 4, uticaj 3). </w:t>
      </w:r>
      <w:r w:rsidRPr="003330F4">
        <w:rPr>
          <w:rFonts w:ascii="Arial" w:hAnsi="Arial" w:cs="Arial"/>
        </w:rPr>
        <w:t>Glavni izazovi odnose se na nedostatak stabilnog finansiranja istraživanja i nedovoljnu integraciju naučnih rezultata u procese donošenja odluka.</w:t>
      </w:r>
    </w:p>
    <w:p w:rsidR="003330F4" w:rsidRPr="003330F4" w:rsidRDefault="003330F4" w:rsidP="003330F4">
      <w:pPr>
        <w:spacing w:line="240" w:lineRule="auto"/>
        <w:jc w:val="both"/>
        <w:rPr>
          <w:rFonts w:ascii="Arial" w:hAnsi="Arial" w:cs="Arial"/>
          <w:b/>
          <w:bCs/>
        </w:rPr>
      </w:pPr>
      <w:r w:rsidRPr="003330F4">
        <w:rPr>
          <w:rFonts w:ascii="Arial" w:hAnsi="Arial" w:cs="Arial"/>
          <w:b/>
          <w:bCs/>
        </w:rPr>
        <w:t>6. Civilni sektor</w:t>
      </w:r>
    </w:p>
    <w:p w:rsidR="003330F4" w:rsidRDefault="003330F4" w:rsidP="003330F4">
      <w:pPr>
        <w:spacing w:line="240" w:lineRule="auto"/>
        <w:jc w:val="both"/>
        <w:rPr>
          <w:rFonts w:ascii="Arial" w:hAnsi="Arial" w:cs="Arial"/>
        </w:rPr>
      </w:pPr>
      <w:r w:rsidRPr="003330F4">
        <w:rPr>
          <w:rFonts w:ascii="Arial" w:hAnsi="Arial" w:cs="Arial"/>
        </w:rPr>
        <w:t>Nevladine organizacije imaju važnu ulogu u monitoringu, zagovaranju, edukaciji i pilot-projekt</w:t>
      </w:r>
      <w:r w:rsidR="00D7501D">
        <w:rPr>
          <w:rFonts w:ascii="Arial" w:hAnsi="Arial" w:cs="Arial"/>
        </w:rPr>
        <w:t xml:space="preserve">ima (interes 4, uticaj 2). </w:t>
      </w:r>
      <w:r w:rsidRPr="003330F4">
        <w:rPr>
          <w:rFonts w:ascii="Arial" w:hAnsi="Arial" w:cs="Arial"/>
        </w:rPr>
        <w:t>Njihov rad je često ograničen projektnim finansiranjem i nedovoljnom institucionalnom integracijom, ali predstavljaju ključan kanal za uključivanje javnosti i podizanje svijesti.</w:t>
      </w:r>
    </w:p>
    <w:p w:rsidR="00885D93" w:rsidRDefault="00885D93" w:rsidP="003330F4">
      <w:pPr>
        <w:spacing w:line="240" w:lineRule="auto"/>
        <w:jc w:val="both"/>
        <w:rPr>
          <w:rFonts w:ascii="Arial" w:hAnsi="Arial" w:cs="Arial"/>
        </w:rPr>
      </w:pPr>
    </w:p>
    <w:p w:rsidR="00885D93" w:rsidRPr="003330F4" w:rsidRDefault="00885D93" w:rsidP="003330F4">
      <w:pPr>
        <w:spacing w:line="240" w:lineRule="auto"/>
        <w:jc w:val="both"/>
        <w:rPr>
          <w:rFonts w:ascii="Arial" w:hAnsi="Arial" w:cs="Arial"/>
        </w:rPr>
      </w:pPr>
    </w:p>
    <w:p w:rsidR="003330F4" w:rsidRPr="003330F4" w:rsidRDefault="003330F4" w:rsidP="003330F4">
      <w:pPr>
        <w:spacing w:line="240" w:lineRule="auto"/>
        <w:jc w:val="both"/>
        <w:rPr>
          <w:rFonts w:ascii="Arial" w:hAnsi="Arial" w:cs="Arial"/>
          <w:b/>
          <w:bCs/>
        </w:rPr>
      </w:pPr>
      <w:r w:rsidRPr="003330F4">
        <w:rPr>
          <w:rFonts w:ascii="Arial" w:hAnsi="Arial" w:cs="Arial"/>
          <w:b/>
          <w:bCs/>
        </w:rPr>
        <w:lastRenderedPageBreak/>
        <w:t>7. Privatni sektor</w:t>
      </w:r>
    </w:p>
    <w:p w:rsidR="005D5A58" w:rsidRPr="00E3172F" w:rsidRDefault="003330F4" w:rsidP="005D5A58">
      <w:pPr>
        <w:spacing w:line="240" w:lineRule="auto"/>
        <w:jc w:val="both"/>
        <w:rPr>
          <w:rFonts w:ascii="Arial" w:hAnsi="Arial" w:cs="Arial"/>
          <w:i/>
        </w:rPr>
      </w:pPr>
      <w:r w:rsidRPr="003330F4">
        <w:rPr>
          <w:rFonts w:ascii="Arial" w:hAnsi="Arial" w:cs="Arial"/>
        </w:rPr>
        <w:t>Privredni subjekti u turizmu, energetici, šumarstvu i ribarstvu imaju direktan uticaj na biod</w:t>
      </w:r>
      <w:r w:rsidR="000D6CD8">
        <w:rPr>
          <w:rFonts w:ascii="Arial" w:hAnsi="Arial" w:cs="Arial"/>
        </w:rPr>
        <w:t xml:space="preserve">iverzitet (interes 3, uticaj 3). </w:t>
      </w:r>
      <w:r w:rsidRPr="003330F4">
        <w:rPr>
          <w:rFonts w:ascii="Arial" w:hAnsi="Arial" w:cs="Arial"/>
        </w:rPr>
        <w:t xml:space="preserve">Izazovi uključuju fokus na kratkoročne ekonomske koristi i nedovoljnu uključenost u planiranje politika. Istovremeno, postoji značajan potencijal za uključivanje </w:t>
      </w:r>
      <w:r w:rsidRPr="0053416F">
        <w:rPr>
          <w:rFonts w:ascii="Arial" w:hAnsi="Arial" w:cs="Arial"/>
        </w:rPr>
        <w:t>kroz</w:t>
      </w:r>
      <w:r w:rsidR="004E6928" w:rsidRPr="0053416F">
        <w:rPr>
          <w:rFonts w:ascii="Arial" w:hAnsi="Arial" w:cs="Arial"/>
        </w:rPr>
        <w:t>Ekološki, društveni i upravljački standardi</w:t>
      </w:r>
      <w:r w:rsidRPr="0053416F">
        <w:rPr>
          <w:rFonts w:ascii="Arial" w:hAnsi="Arial" w:cs="Arial"/>
        </w:rPr>
        <w:t xml:space="preserve"> </w:t>
      </w:r>
      <w:r w:rsidR="004E6928" w:rsidRPr="0053416F">
        <w:rPr>
          <w:rFonts w:ascii="Arial" w:hAnsi="Arial" w:cs="Arial"/>
        </w:rPr>
        <w:t xml:space="preserve">(eng. </w:t>
      </w:r>
      <w:r w:rsidR="0069661A" w:rsidRPr="0053416F">
        <w:rPr>
          <w:rFonts w:ascii="Arial" w:hAnsi="Arial" w:cs="Arial"/>
          <w:i/>
        </w:rPr>
        <w:t xml:space="preserve">Environmental, Social and Governance - </w:t>
      </w:r>
      <w:r w:rsidRPr="0053416F">
        <w:rPr>
          <w:rFonts w:ascii="Arial" w:hAnsi="Arial" w:cs="Arial"/>
        </w:rPr>
        <w:t>ESG</w:t>
      </w:r>
      <w:r w:rsidR="004E6928" w:rsidRPr="0053416F">
        <w:rPr>
          <w:rFonts w:ascii="Arial" w:hAnsi="Arial" w:cs="Arial"/>
        </w:rPr>
        <w:t>)</w:t>
      </w:r>
      <w:r w:rsidRPr="0053416F">
        <w:rPr>
          <w:rFonts w:ascii="Arial" w:hAnsi="Arial" w:cs="Arial"/>
        </w:rPr>
        <w:t xml:space="preserve"> standarde</w:t>
      </w:r>
      <w:r w:rsidRPr="003330F4">
        <w:rPr>
          <w:rFonts w:ascii="Arial" w:hAnsi="Arial" w:cs="Arial"/>
        </w:rPr>
        <w:t>, zelene finansijske instrumente i javno-privatna partnerstva.</w:t>
      </w:r>
    </w:p>
    <w:p w:rsidR="003330F4" w:rsidRPr="003330F4" w:rsidRDefault="003330F4" w:rsidP="003330F4">
      <w:pPr>
        <w:spacing w:line="240" w:lineRule="auto"/>
        <w:jc w:val="both"/>
        <w:rPr>
          <w:rFonts w:ascii="Arial" w:hAnsi="Arial" w:cs="Arial"/>
          <w:b/>
          <w:bCs/>
        </w:rPr>
      </w:pPr>
      <w:r w:rsidRPr="003330F4">
        <w:rPr>
          <w:rFonts w:ascii="Arial" w:hAnsi="Arial" w:cs="Arial"/>
          <w:b/>
          <w:bCs/>
        </w:rPr>
        <w:t>8. Međunarodni partneri</w:t>
      </w:r>
    </w:p>
    <w:p w:rsidR="003330F4" w:rsidRPr="003330F4" w:rsidRDefault="003330F4" w:rsidP="003330F4">
      <w:pPr>
        <w:spacing w:line="240" w:lineRule="auto"/>
        <w:jc w:val="both"/>
        <w:rPr>
          <w:rFonts w:ascii="Arial" w:hAnsi="Arial" w:cs="Arial"/>
        </w:rPr>
      </w:pPr>
      <w:r w:rsidRPr="0053416F">
        <w:rPr>
          <w:rFonts w:ascii="Arial" w:hAnsi="Arial" w:cs="Arial"/>
        </w:rPr>
        <w:t xml:space="preserve">EU, UNEP, UNDP, IUCN, </w:t>
      </w:r>
      <w:r w:rsidR="0069661A" w:rsidRPr="0053416F">
        <w:rPr>
          <w:rFonts w:ascii="Arial" w:hAnsi="Arial" w:cs="Arial"/>
        </w:rPr>
        <w:t>Njemačko društvo za međunarodnu saradnju (</w:t>
      </w:r>
      <w:r w:rsidR="0053416F" w:rsidRPr="007117DA">
        <w:rPr>
          <w:rFonts w:ascii="Arial" w:hAnsi="Arial" w:cs="Arial"/>
        </w:rPr>
        <w:t>njem</w:t>
      </w:r>
      <w:r w:rsidR="0053416F" w:rsidRPr="007117DA">
        <w:rPr>
          <w:rFonts w:ascii="Arial" w:hAnsi="Arial" w:cs="Arial"/>
          <w:i/>
        </w:rPr>
        <w:t xml:space="preserve">. </w:t>
      </w:r>
      <w:r w:rsidR="0069661A" w:rsidRPr="007117DA">
        <w:rPr>
          <w:rFonts w:ascii="Arial" w:hAnsi="Arial" w:cs="Arial"/>
          <w:i/>
        </w:rPr>
        <w:t xml:space="preserve">Deutsche Gesellschaft für Internationale Zusammenarbeit </w:t>
      </w:r>
      <w:r w:rsidR="0069661A" w:rsidRPr="005D5A58">
        <w:rPr>
          <w:rFonts w:ascii="Arial" w:hAnsi="Arial" w:cs="Arial"/>
        </w:rPr>
        <w:t>(GIZ) GmbH</w:t>
      </w:r>
      <w:r w:rsidR="0069661A">
        <w:rPr>
          <w:rFonts w:ascii="Arial" w:hAnsi="Arial" w:cs="Arial"/>
        </w:rPr>
        <w:t>)</w:t>
      </w:r>
      <w:r w:rsidRPr="003330F4">
        <w:rPr>
          <w:rFonts w:ascii="Arial" w:hAnsi="Arial" w:cs="Arial"/>
        </w:rPr>
        <w:t xml:space="preserve"> i druge organizacije pružaju tehničku i finansijsk</w:t>
      </w:r>
      <w:r>
        <w:rPr>
          <w:rFonts w:ascii="Arial" w:hAnsi="Arial" w:cs="Arial"/>
        </w:rPr>
        <w:t xml:space="preserve">u podršku (interes 4, uticaj 4). </w:t>
      </w:r>
      <w:r w:rsidRPr="003330F4">
        <w:rPr>
          <w:rFonts w:ascii="Arial" w:hAnsi="Arial" w:cs="Arial"/>
        </w:rPr>
        <w:t xml:space="preserve">Izazovi se odnose na različite cikluse planiranja i potrebu za boljom koordinacijom </w:t>
      </w:r>
      <w:r w:rsidR="004E6928">
        <w:rPr>
          <w:rFonts w:ascii="Arial" w:hAnsi="Arial" w:cs="Arial"/>
        </w:rPr>
        <w:t>strateških partnera/</w:t>
      </w:r>
      <w:r w:rsidRPr="003330F4">
        <w:rPr>
          <w:rFonts w:ascii="Arial" w:hAnsi="Arial" w:cs="Arial"/>
        </w:rPr>
        <w:t>donatora.</w:t>
      </w:r>
    </w:p>
    <w:p w:rsidR="003330F4" w:rsidRPr="003330F4" w:rsidRDefault="003330F4" w:rsidP="003330F4">
      <w:pPr>
        <w:spacing w:line="240" w:lineRule="auto"/>
        <w:jc w:val="both"/>
        <w:rPr>
          <w:rFonts w:ascii="Arial" w:hAnsi="Arial" w:cs="Arial"/>
          <w:b/>
          <w:bCs/>
        </w:rPr>
      </w:pPr>
      <w:r w:rsidRPr="003330F4">
        <w:rPr>
          <w:rFonts w:ascii="Arial" w:hAnsi="Arial" w:cs="Arial"/>
          <w:b/>
          <w:bCs/>
        </w:rPr>
        <w:t>9. Specifične društvene grupe i inkluzija</w:t>
      </w:r>
    </w:p>
    <w:p w:rsidR="003330F4" w:rsidRPr="003330F4" w:rsidRDefault="003330F4" w:rsidP="003330F4">
      <w:pPr>
        <w:spacing w:line="240" w:lineRule="auto"/>
        <w:jc w:val="both"/>
        <w:rPr>
          <w:rFonts w:ascii="Arial" w:hAnsi="Arial" w:cs="Arial"/>
        </w:rPr>
      </w:pPr>
      <w:r w:rsidRPr="003330F4">
        <w:rPr>
          <w:rFonts w:ascii="Arial" w:hAnsi="Arial" w:cs="Arial"/>
        </w:rPr>
        <w:t>Žene, djeca, mladi i ranjive grupe imaju visok interes (5)</w:t>
      </w:r>
      <w:r>
        <w:rPr>
          <w:rFonts w:ascii="Arial" w:hAnsi="Arial" w:cs="Arial"/>
        </w:rPr>
        <w:t xml:space="preserve">, ali nizak formalni uticaj (2). </w:t>
      </w:r>
      <w:r w:rsidRPr="003330F4">
        <w:rPr>
          <w:rFonts w:ascii="Arial" w:hAnsi="Arial" w:cs="Arial"/>
        </w:rPr>
        <w:t xml:space="preserve">Njihovo uključivanje zahtijeva ciljane komunikacione i obrazovne mjere, formalne mehanizme participacije i integraciju rodne ravnopravnosti u sve faze sprovođenja </w:t>
      </w:r>
      <w:r w:rsidR="004E6928">
        <w:rPr>
          <w:rFonts w:ascii="Arial" w:hAnsi="Arial" w:cs="Arial"/>
        </w:rPr>
        <w:t>NSBAP</w:t>
      </w:r>
      <w:r w:rsidRPr="003330F4">
        <w:rPr>
          <w:rFonts w:ascii="Arial" w:hAnsi="Arial" w:cs="Arial"/>
        </w:rPr>
        <w:t>.</w:t>
      </w:r>
    </w:p>
    <w:p w:rsidR="003330F4" w:rsidRPr="00885D93" w:rsidRDefault="003330F4" w:rsidP="003330F4">
      <w:pPr>
        <w:pStyle w:val="Heading4"/>
        <w:spacing w:line="240" w:lineRule="auto"/>
        <w:jc w:val="both"/>
        <w:rPr>
          <w:rFonts w:ascii="Arial" w:hAnsi="Arial" w:cs="Arial"/>
          <w:color w:val="auto"/>
        </w:rPr>
      </w:pPr>
      <w:r w:rsidRPr="003330F4">
        <w:rPr>
          <w:rFonts w:ascii="Arial" w:hAnsi="Arial" w:cs="Arial"/>
          <w:color w:val="auto"/>
        </w:rPr>
        <w:t>Strateš</w:t>
      </w:r>
      <w:r w:rsidR="00C10000">
        <w:rPr>
          <w:rFonts w:ascii="Arial" w:hAnsi="Arial" w:cs="Arial"/>
          <w:color w:val="auto"/>
        </w:rPr>
        <w:t>ke implikacije</w:t>
      </w:r>
      <w:r w:rsidR="00F01C47">
        <w:rPr>
          <w:rFonts w:ascii="Arial" w:hAnsi="Arial" w:cs="Arial"/>
          <w:color w:val="auto"/>
        </w:rPr>
        <w:t xml:space="preserve"> društvenih aktera</w:t>
      </w:r>
      <w:r w:rsidR="00C10000">
        <w:rPr>
          <w:rFonts w:ascii="Arial" w:hAnsi="Arial" w:cs="Arial"/>
          <w:color w:val="auto"/>
        </w:rPr>
        <w:t xml:space="preserve"> </w:t>
      </w:r>
      <w:r w:rsidR="00C10000" w:rsidRPr="00885D93">
        <w:rPr>
          <w:rFonts w:ascii="Arial" w:hAnsi="Arial" w:cs="Arial"/>
          <w:color w:val="auto"/>
        </w:rPr>
        <w:t>za sprovođenje N</w:t>
      </w:r>
      <w:r w:rsidRPr="00885D93">
        <w:rPr>
          <w:rFonts w:ascii="Arial" w:hAnsi="Arial" w:cs="Arial"/>
          <w:color w:val="auto"/>
        </w:rPr>
        <w:t>S</w:t>
      </w:r>
      <w:r w:rsidR="00C10000" w:rsidRPr="00885D93">
        <w:rPr>
          <w:rFonts w:ascii="Arial" w:hAnsi="Arial" w:cs="Arial"/>
          <w:color w:val="auto"/>
        </w:rPr>
        <w:t>B</w:t>
      </w:r>
      <w:r w:rsidRPr="00885D93">
        <w:rPr>
          <w:rFonts w:ascii="Arial" w:hAnsi="Arial" w:cs="Arial"/>
          <w:color w:val="auto"/>
        </w:rPr>
        <w:t>AP-a</w:t>
      </w:r>
    </w:p>
    <w:p w:rsidR="003330F4" w:rsidRPr="003330F4" w:rsidRDefault="003330F4" w:rsidP="00F01C47">
      <w:pPr>
        <w:pStyle w:val="NormalWeb"/>
        <w:spacing w:before="0" w:beforeAutospacing="0" w:after="0" w:afterAutospacing="0"/>
        <w:jc w:val="both"/>
        <w:rPr>
          <w:rFonts w:ascii="Arial" w:hAnsi="Arial" w:cs="Arial"/>
          <w:sz w:val="22"/>
          <w:szCs w:val="22"/>
        </w:rPr>
      </w:pPr>
      <w:r w:rsidRPr="00885D93">
        <w:rPr>
          <w:rFonts w:ascii="Arial" w:hAnsi="Arial" w:cs="Arial"/>
          <w:sz w:val="22"/>
          <w:szCs w:val="22"/>
        </w:rPr>
        <w:t>Ovakva struktura zainteresovanih strana</w:t>
      </w:r>
      <w:r w:rsidR="00F01C47" w:rsidRPr="00885D93">
        <w:rPr>
          <w:rFonts w:ascii="Arial" w:hAnsi="Arial" w:cs="Arial"/>
          <w:sz w:val="22"/>
          <w:szCs w:val="22"/>
        </w:rPr>
        <w:t xml:space="preserve"> (</w:t>
      </w:r>
      <w:r w:rsidR="007117DA" w:rsidRPr="00885D93">
        <w:rPr>
          <w:rFonts w:ascii="Arial" w:hAnsi="Arial" w:cs="Arial"/>
          <w:sz w:val="22"/>
          <w:szCs w:val="22"/>
        </w:rPr>
        <w:t>Grafik 4</w:t>
      </w:r>
      <w:r w:rsidR="00F01C47" w:rsidRPr="00885D93">
        <w:rPr>
          <w:rFonts w:ascii="Arial" w:hAnsi="Arial" w:cs="Arial"/>
          <w:sz w:val="22"/>
          <w:szCs w:val="22"/>
        </w:rPr>
        <w:t>)</w:t>
      </w:r>
      <w:r w:rsidRPr="003330F4">
        <w:rPr>
          <w:rFonts w:ascii="Arial" w:hAnsi="Arial" w:cs="Arial"/>
          <w:sz w:val="22"/>
          <w:szCs w:val="22"/>
        </w:rPr>
        <w:t xml:space="preserve"> ukazuje da uspjeh Strategije neće zavisiti samo od formalne raspodjele nadležnosti, već od:</w:t>
      </w:r>
    </w:p>
    <w:p w:rsidR="003330F4" w:rsidRPr="003330F4" w:rsidRDefault="003330F4" w:rsidP="008166A6">
      <w:pPr>
        <w:numPr>
          <w:ilvl w:val="0"/>
          <w:numId w:val="17"/>
        </w:numPr>
        <w:spacing w:after="0" w:line="240" w:lineRule="auto"/>
        <w:jc w:val="both"/>
        <w:rPr>
          <w:rFonts w:ascii="Arial" w:hAnsi="Arial" w:cs="Arial"/>
        </w:rPr>
      </w:pPr>
      <w:r w:rsidRPr="003330F4">
        <w:rPr>
          <w:rFonts w:ascii="Arial" w:hAnsi="Arial" w:cs="Arial"/>
        </w:rPr>
        <w:t>uspostavljanja funkcionalnih mehanizama međuresorne koordinacije,</w:t>
      </w:r>
    </w:p>
    <w:p w:rsidR="003330F4" w:rsidRPr="003330F4" w:rsidRDefault="003330F4" w:rsidP="008166A6">
      <w:pPr>
        <w:numPr>
          <w:ilvl w:val="0"/>
          <w:numId w:val="17"/>
        </w:numPr>
        <w:spacing w:before="100" w:beforeAutospacing="1" w:after="100" w:afterAutospacing="1" w:line="240" w:lineRule="auto"/>
        <w:jc w:val="both"/>
        <w:rPr>
          <w:rFonts w:ascii="Arial" w:hAnsi="Arial" w:cs="Arial"/>
        </w:rPr>
      </w:pPr>
      <w:r w:rsidRPr="003330F4">
        <w:rPr>
          <w:rFonts w:ascii="Arial" w:hAnsi="Arial" w:cs="Arial"/>
        </w:rPr>
        <w:t>jačanja institucionalnih i finansijskih kapaciteta ključnih nosilaca,</w:t>
      </w:r>
    </w:p>
    <w:p w:rsidR="003330F4" w:rsidRPr="003330F4" w:rsidRDefault="003330F4" w:rsidP="008166A6">
      <w:pPr>
        <w:numPr>
          <w:ilvl w:val="0"/>
          <w:numId w:val="17"/>
        </w:numPr>
        <w:spacing w:before="100" w:beforeAutospacing="1" w:after="100" w:afterAutospacing="1" w:line="240" w:lineRule="auto"/>
        <w:jc w:val="both"/>
        <w:rPr>
          <w:rFonts w:ascii="Arial" w:hAnsi="Arial" w:cs="Arial"/>
        </w:rPr>
      </w:pPr>
      <w:r w:rsidRPr="003330F4">
        <w:rPr>
          <w:rFonts w:ascii="Arial" w:hAnsi="Arial" w:cs="Arial"/>
        </w:rPr>
        <w:t>sistemskog uključivanja naučne zajednice i civilnog sektora,</w:t>
      </w:r>
    </w:p>
    <w:p w:rsidR="003330F4" w:rsidRPr="003330F4" w:rsidRDefault="003330F4" w:rsidP="008166A6">
      <w:pPr>
        <w:numPr>
          <w:ilvl w:val="0"/>
          <w:numId w:val="17"/>
        </w:numPr>
        <w:spacing w:before="100" w:beforeAutospacing="1" w:after="100" w:afterAutospacing="1" w:line="240" w:lineRule="auto"/>
        <w:jc w:val="both"/>
        <w:rPr>
          <w:rFonts w:ascii="Arial" w:hAnsi="Arial" w:cs="Arial"/>
        </w:rPr>
      </w:pPr>
      <w:r w:rsidRPr="003330F4">
        <w:rPr>
          <w:rFonts w:ascii="Arial" w:hAnsi="Arial" w:cs="Arial"/>
        </w:rPr>
        <w:t>osnaživanja lokalnih samouprava i zajednica,</w:t>
      </w:r>
    </w:p>
    <w:p w:rsidR="003330F4" w:rsidRPr="003330F4" w:rsidRDefault="003330F4" w:rsidP="008166A6">
      <w:pPr>
        <w:numPr>
          <w:ilvl w:val="0"/>
          <w:numId w:val="17"/>
        </w:numPr>
        <w:spacing w:before="100" w:beforeAutospacing="1" w:after="100" w:afterAutospacing="1" w:line="240" w:lineRule="auto"/>
        <w:jc w:val="both"/>
        <w:rPr>
          <w:rFonts w:ascii="Arial" w:hAnsi="Arial" w:cs="Arial"/>
        </w:rPr>
      </w:pPr>
      <w:r w:rsidRPr="003330F4">
        <w:rPr>
          <w:rFonts w:ascii="Arial" w:hAnsi="Arial" w:cs="Arial"/>
        </w:rPr>
        <w:t>te povećanja odgovornosti i angažmana privatnog sektora.</w:t>
      </w:r>
    </w:p>
    <w:p w:rsidR="003330F4" w:rsidRDefault="003330F4" w:rsidP="003330F4">
      <w:pPr>
        <w:pStyle w:val="NormalWeb"/>
        <w:jc w:val="both"/>
        <w:rPr>
          <w:rFonts w:ascii="Arial" w:hAnsi="Arial" w:cs="Arial"/>
          <w:sz w:val="22"/>
          <w:szCs w:val="22"/>
        </w:rPr>
      </w:pPr>
      <w:r w:rsidRPr="003330F4">
        <w:rPr>
          <w:rFonts w:ascii="Arial" w:hAnsi="Arial" w:cs="Arial"/>
          <w:sz w:val="22"/>
          <w:szCs w:val="22"/>
        </w:rPr>
        <w:t xml:space="preserve">Analiza jasno pokazuje da je najveći sistemski rizik fragmentacija odgovornosti i nedovoljna integracija biodiverziteta u sektorske </w:t>
      </w:r>
      <w:r w:rsidR="00C10000">
        <w:rPr>
          <w:rFonts w:ascii="Arial" w:hAnsi="Arial" w:cs="Arial"/>
          <w:sz w:val="22"/>
          <w:szCs w:val="22"/>
        </w:rPr>
        <w:t>politike i odluke. Stoga N</w:t>
      </w:r>
      <w:r w:rsidRPr="003330F4">
        <w:rPr>
          <w:rFonts w:ascii="Arial" w:hAnsi="Arial" w:cs="Arial"/>
          <w:sz w:val="22"/>
          <w:szCs w:val="22"/>
        </w:rPr>
        <w:t>S</w:t>
      </w:r>
      <w:r w:rsidR="00C10000">
        <w:rPr>
          <w:rFonts w:ascii="Arial" w:hAnsi="Arial" w:cs="Arial"/>
          <w:sz w:val="22"/>
          <w:szCs w:val="22"/>
        </w:rPr>
        <w:t>B</w:t>
      </w:r>
      <w:r w:rsidRPr="003330F4">
        <w:rPr>
          <w:rFonts w:ascii="Arial" w:hAnsi="Arial" w:cs="Arial"/>
          <w:sz w:val="22"/>
          <w:szCs w:val="22"/>
        </w:rPr>
        <w:t xml:space="preserve">AP prepoznaje potrebu za institucionalnim mehanizmima koji obezbjeđuju koordinisano djelovanje, transparentnost i participativno upravljanje, u skladu sa principom </w:t>
      </w:r>
      <w:r w:rsidRPr="00F46A6C">
        <w:rPr>
          <w:rFonts w:ascii="Arial" w:hAnsi="Arial" w:cs="Arial"/>
          <w:i/>
          <w:sz w:val="22"/>
          <w:szCs w:val="22"/>
        </w:rPr>
        <w:t>„ne izostaviti nikog</w:t>
      </w:r>
      <w:r w:rsidR="00AA4F07" w:rsidRPr="00F46A6C">
        <w:rPr>
          <w:rFonts w:ascii="Arial" w:hAnsi="Arial" w:cs="Arial"/>
          <w:i/>
          <w:sz w:val="22"/>
          <w:szCs w:val="22"/>
        </w:rPr>
        <w:t xml:space="preserve"> iza sebe“</w:t>
      </w:r>
      <w:r w:rsidR="00AA4F07">
        <w:rPr>
          <w:rFonts w:ascii="Arial" w:hAnsi="Arial" w:cs="Arial"/>
          <w:sz w:val="22"/>
          <w:szCs w:val="22"/>
        </w:rPr>
        <w:t xml:space="preserve"> (eng. </w:t>
      </w:r>
      <w:r w:rsidR="00AA4F07" w:rsidRPr="00F46A6C">
        <w:rPr>
          <w:rFonts w:ascii="Arial" w:hAnsi="Arial" w:cs="Arial"/>
          <w:i/>
          <w:sz w:val="22"/>
          <w:szCs w:val="22"/>
        </w:rPr>
        <w:t>„Leave no one behind.</w:t>
      </w:r>
      <w:r w:rsidR="00F46A6C" w:rsidRPr="00F46A6C">
        <w:rPr>
          <w:rFonts w:ascii="Arial" w:hAnsi="Arial" w:cs="Arial"/>
          <w:i/>
          <w:sz w:val="22"/>
          <w:szCs w:val="22"/>
        </w:rPr>
        <w:t>“</w:t>
      </w:r>
      <w:r w:rsidR="00AA4F07">
        <w:rPr>
          <w:rFonts w:ascii="Arial" w:hAnsi="Arial" w:cs="Arial"/>
          <w:sz w:val="22"/>
          <w:szCs w:val="22"/>
        </w:rPr>
        <w:t>).</w:t>
      </w: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8A4395" w:rsidRDefault="008A4395" w:rsidP="003330F4">
      <w:pPr>
        <w:pStyle w:val="NormalWeb"/>
        <w:jc w:val="both"/>
        <w:rPr>
          <w:rFonts w:ascii="Arial" w:hAnsi="Arial" w:cs="Arial"/>
          <w:b/>
          <w:sz w:val="20"/>
          <w:szCs w:val="20"/>
        </w:rPr>
      </w:pPr>
    </w:p>
    <w:p w:rsidR="00F46A6C" w:rsidRPr="00F46A6C" w:rsidRDefault="007117DA" w:rsidP="003330F4">
      <w:pPr>
        <w:pStyle w:val="NormalWeb"/>
        <w:jc w:val="both"/>
        <w:rPr>
          <w:rFonts w:ascii="Arial" w:hAnsi="Arial" w:cs="Arial"/>
          <w:sz w:val="20"/>
          <w:szCs w:val="20"/>
        </w:rPr>
      </w:pPr>
      <w:r>
        <w:rPr>
          <w:rFonts w:ascii="Arial" w:hAnsi="Arial" w:cs="Arial"/>
          <w:b/>
          <w:sz w:val="20"/>
          <w:szCs w:val="20"/>
        </w:rPr>
        <w:lastRenderedPageBreak/>
        <w:t>Grafik 4</w:t>
      </w:r>
      <w:r w:rsidR="00F46A6C" w:rsidRPr="00F46A6C">
        <w:rPr>
          <w:rFonts w:ascii="Arial" w:hAnsi="Arial" w:cs="Arial"/>
          <w:sz w:val="20"/>
          <w:szCs w:val="20"/>
        </w:rPr>
        <w:t xml:space="preserve"> – Prikaz mape </w:t>
      </w:r>
      <w:r w:rsidR="003E5CFF">
        <w:rPr>
          <w:rFonts w:ascii="Arial" w:hAnsi="Arial" w:cs="Arial"/>
          <w:sz w:val="20"/>
          <w:szCs w:val="20"/>
        </w:rPr>
        <w:t>zainteresovanih strana</w:t>
      </w:r>
      <w:r w:rsidR="00F46A6C" w:rsidRPr="00F46A6C">
        <w:rPr>
          <w:rFonts w:ascii="Arial" w:hAnsi="Arial" w:cs="Arial"/>
          <w:sz w:val="20"/>
          <w:szCs w:val="20"/>
        </w:rPr>
        <w:t>.</w:t>
      </w:r>
    </w:p>
    <w:p w:rsidR="003330F4" w:rsidRPr="003330F4" w:rsidRDefault="00F237FB" w:rsidP="003330F4">
      <w:pPr>
        <w:spacing w:line="240" w:lineRule="auto"/>
      </w:pPr>
      <w:r>
        <w:rPr>
          <w:noProof/>
        </w:rPr>
        <w:drawing>
          <wp:inline distT="0" distB="0" distL="0" distR="0" wp14:anchorId="6DC69C1B" wp14:editId="3056DAEF">
            <wp:extent cx="5486400" cy="7162800"/>
            <wp:effectExtent l="0" t="0" r="0" b="0"/>
            <wp:docPr id="2" name="image30.png"/>
            <wp:cNvGraphicFramePr/>
            <a:graphic xmlns:a="http://schemas.openxmlformats.org/drawingml/2006/main">
              <a:graphicData uri="http://schemas.openxmlformats.org/drawingml/2006/picture">
                <pic:pic xmlns:pic="http://schemas.openxmlformats.org/drawingml/2006/picture">
                  <pic:nvPicPr>
                    <pic:cNvPr id="1795573443" name="image30.png"/>
                    <pic:cNvPicPr/>
                  </pic:nvPicPr>
                  <pic:blipFill>
                    <a:blip r:embed="rId36"/>
                    <a:srcRect/>
                    <a:stretch>
                      <a:fillRect/>
                    </a:stretch>
                  </pic:blipFill>
                  <pic:spPr>
                    <a:xfrm>
                      <a:off x="0" y="0"/>
                      <a:ext cx="5486400" cy="7162800"/>
                    </a:xfrm>
                    <a:prstGeom prst="rect">
                      <a:avLst/>
                    </a:prstGeom>
                    <a:ln/>
                  </pic:spPr>
                </pic:pic>
              </a:graphicData>
            </a:graphic>
          </wp:inline>
        </w:drawing>
      </w:r>
    </w:p>
    <w:p w:rsidR="00F01C47" w:rsidRDefault="00F01C47">
      <w:pPr>
        <w:shd w:val="clear" w:color="auto" w:fill="FFFFFF"/>
        <w:spacing w:before="280" w:after="280" w:line="240" w:lineRule="auto"/>
        <w:rPr>
          <w:rFonts w:ascii="Arial" w:eastAsia="Arial" w:hAnsi="Arial" w:cs="Arial"/>
          <w:b/>
          <w:bCs/>
          <w:color w:val="222222"/>
          <w:sz w:val="36"/>
          <w:szCs w:val="36"/>
        </w:rPr>
      </w:pPr>
    </w:p>
    <w:p w:rsidR="00F01C47" w:rsidRDefault="00F01C47">
      <w:pPr>
        <w:shd w:val="clear" w:color="auto" w:fill="FFFFFF"/>
        <w:spacing w:before="280" w:after="280" w:line="240" w:lineRule="auto"/>
        <w:rPr>
          <w:rFonts w:ascii="Arial" w:eastAsia="Arial" w:hAnsi="Arial" w:cs="Arial"/>
          <w:b/>
          <w:bCs/>
          <w:color w:val="222222"/>
          <w:sz w:val="36"/>
          <w:szCs w:val="36"/>
        </w:rPr>
      </w:pPr>
    </w:p>
    <w:p w:rsidR="008A4395" w:rsidRDefault="008A4395">
      <w:pPr>
        <w:shd w:val="clear" w:color="auto" w:fill="FFFFFF"/>
        <w:spacing w:before="280" w:after="280" w:line="240" w:lineRule="auto"/>
        <w:rPr>
          <w:rFonts w:ascii="Arial" w:eastAsia="Arial" w:hAnsi="Arial" w:cs="Arial"/>
          <w:b/>
          <w:bCs/>
          <w:color w:val="222222"/>
          <w:sz w:val="36"/>
          <w:szCs w:val="36"/>
        </w:rPr>
      </w:pPr>
    </w:p>
    <w:p w:rsidR="00D14804" w:rsidRDefault="00532486">
      <w:pPr>
        <w:shd w:val="clear" w:color="auto" w:fill="FFFFFF"/>
        <w:spacing w:before="280" w:after="280" w:line="240" w:lineRule="auto"/>
        <w:rPr>
          <w:rFonts w:ascii="Arial" w:eastAsia="Arial" w:hAnsi="Arial" w:cs="Arial"/>
          <w:b/>
          <w:bCs/>
          <w:color w:val="222222"/>
          <w:sz w:val="36"/>
          <w:szCs w:val="36"/>
        </w:rPr>
      </w:pPr>
      <w:r>
        <w:rPr>
          <w:rFonts w:ascii="Arial" w:eastAsia="Arial" w:hAnsi="Arial" w:cs="Arial"/>
          <w:b/>
          <w:bCs/>
          <w:color w:val="222222"/>
          <w:sz w:val="36"/>
          <w:szCs w:val="36"/>
        </w:rPr>
        <w:lastRenderedPageBreak/>
        <w:t xml:space="preserve">Vizuelni prikaz: drvo </w:t>
      </w:r>
      <w:r w:rsidR="007F7E20">
        <w:rPr>
          <w:rFonts w:ascii="Arial" w:eastAsia="Arial" w:hAnsi="Arial" w:cs="Arial"/>
          <w:b/>
          <w:bCs/>
          <w:color w:val="222222"/>
          <w:sz w:val="36"/>
          <w:szCs w:val="36"/>
        </w:rPr>
        <w:t xml:space="preserve">problema </w:t>
      </w:r>
      <w:r>
        <w:rPr>
          <w:rFonts w:ascii="Arial" w:eastAsia="Arial" w:hAnsi="Arial" w:cs="Arial"/>
          <w:b/>
          <w:bCs/>
          <w:color w:val="222222"/>
          <w:sz w:val="36"/>
          <w:szCs w:val="36"/>
        </w:rPr>
        <w:t xml:space="preserve">– drvo </w:t>
      </w:r>
      <w:r w:rsidR="007F7E20">
        <w:rPr>
          <w:rFonts w:ascii="Arial" w:eastAsia="Arial" w:hAnsi="Arial" w:cs="Arial"/>
          <w:b/>
          <w:bCs/>
          <w:color w:val="222222"/>
          <w:sz w:val="36"/>
          <w:szCs w:val="36"/>
        </w:rPr>
        <w:t>rješenja</w:t>
      </w:r>
    </w:p>
    <w:p w:rsidR="006F2CEA" w:rsidRPr="00885D93" w:rsidRDefault="00532486" w:rsidP="006F2CEA">
      <w:pPr>
        <w:pStyle w:val="NormalWeb"/>
        <w:jc w:val="both"/>
        <w:rPr>
          <w:rFonts w:ascii="Arial" w:hAnsi="Arial" w:cs="Arial"/>
          <w:sz w:val="22"/>
          <w:szCs w:val="22"/>
        </w:rPr>
      </w:pPr>
      <w:r w:rsidRPr="00885D93">
        <w:rPr>
          <w:rFonts w:ascii="Arial" w:eastAsia="Arial" w:hAnsi="Arial" w:cs="Arial"/>
          <w:b/>
          <w:color w:val="222222"/>
        </w:rPr>
        <w:t>Napomena</w:t>
      </w:r>
      <w:r w:rsidRPr="00885D93">
        <w:rPr>
          <w:rFonts w:ascii="Arial" w:eastAsia="Arial" w:hAnsi="Arial" w:cs="Arial"/>
          <w:color w:val="222222"/>
        </w:rPr>
        <w:t xml:space="preserve">: </w:t>
      </w:r>
      <w:r w:rsidR="006F2CEA" w:rsidRPr="00885D93">
        <w:rPr>
          <w:rFonts w:ascii="Arial" w:hAnsi="Arial" w:cs="Arial"/>
          <w:sz w:val="22"/>
          <w:szCs w:val="22"/>
        </w:rPr>
        <w:t xml:space="preserve">Vizuelni prikaz Drveta problema i Drveta rješenja biće naknadno </w:t>
      </w:r>
      <w:r w:rsidR="008D4259" w:rsidRPr="00885D93">
        <w:rPr>
          <w:rFonts w:ascii="Arial" w:hAnsi="Arial" w:cs="Arial"/>
          <w:sz w:val="22"/>
          <w:szCs w:val="22"/>
        </w:rPr>
        <w:t>ažuriran</w:t>
      </w:r>
      <w:r w:rsidR="006F2CEA" w:rsidRPr="00885D93">
        <w:rPr>
          <w:rFonts w:ascii="Arial" w:hAnsi="Arial" w:cs="Arial"/>
          <w:sz w:val="22"/>
          <w:szCs w:val="22"/>
        </w:rPr>
        <w:t xml:space="preserve">, </w:t>
      </w:r>
      <w:r w:rsidR="008D4259" w:rsidRPr="00885D93">
        <w:rPr>
          <w:rFonts w:ascii="Arial" w:hAnsi="Arial" w:cs="Arial"/>
          <w:sz w:val="22"/>
          <w:szCs w:val="22"/>
        </w:rPr>
        <w:t xml:space="preserve">a </w:t>
      </w:r>
      <w:r w:rsidR="006F2CEA" w:rsidRPr="00885D93">
        <w:rPr>
          <w:rFonts w:ascii="Arial" w:hAnsi="Arial" w:cs="Arial"/>
          <w:sz w:val="22"/>
          <w:szCs w:val="22"/>
        </w:rPr>
        <w:t>nakon integracije</w:t>
      </w:r>
      <w:r w:rsidR="008D4259" w:rsidRPr="00885D93">
        <w:rPr>
          <w:rFonts w:ascii="Arial" w:hAnsi="Arial" w:cs="Arial"/>
          <w:sz w:val="22"/>
          <w:szCs w:val="22"/>
        </w:rPr>
        <w:t xml:space="preserve"> potencijalnih</w:t>
      </w:r>
      <w:r w:rsidR="006F2CEA" w:rsidRPr="00885D93">
        <w:rPr>
          <w:rFonts w:ascii="Arial" w:hAnsi="Arial" w:cs="Arial"/>
          <w:sz w:val="22"/>
          <w:szCs w:val="22"/>
        </w:rPr>
        <w:t xml:space="preserve"> komentara sa javne rasprave i relevantnih sugestija nadležnih </w:t>
      </w:r>
      <w:r w:rsidR="008D4259" w:rsidRPr="00885D93">
        <w:rPr>
          <w:rFonts w:ascii="Arial" w:hAnsi="Arial" w:cs="Arial"/>
          <w:sz w:val="22"/>
          <w:szCs w:val="22"/>
        </w:rPr>
        <w:t xml:space="preserve">resora i </w:t>
      </w:r>
      <w:r w:rsidR="006F2CEA" w:rsidRPr="00885D93">
        <w:rPr>
          <w:rFonts w:ascii="Arial" w:hAnsi="Arial" w:cs="Arial"/>
          <w:sz w:val="22"/>
          <w:szCs w:val="22"/>
        </w:rPr>
        <w:t>institucija.</w:t>
      </w:r>
    </w:p>
    <w:p w:rsidR="00D14804" w:rsidRDefault="00DD1CC5" w:rsidP="00D25D6D">
      <w:pPr>
        <w:pStyle w:val="NormalWeb"/>
        <w:jc w:val="both"/>
        <w:rPr>
          <w:rFonts w:ascii="Arial" w:hAnsi="Arial" w:cs="Arial"/>
          <w:sz w:val="22"/>
          <w:szCs w:val="22"/>
        </w:rPr>
      </w:pPr>
      <w:r w:rsidRPr="00885D93">
        <w:rPr>
          <w:rFonts w:ascii="Arial" w:hAnsi="Arial" w:cs="Arial"/>
          <w:sz w:val="22"/>
          <w:szCs w:val="22"/>
        </w:rPr>
        <w:t>Tabela 03 i 04 u Prilogu V</w:t>
      </w:r>
      <w:r>
        <w:rPr>
          <w:rFonts w:ascii="Arial" w:hAnsi="Arial" w:cs="Arial"/>
          <w:sz w:val="22"/>
          <w:szCs w:val="22"/>
        </w:rPr>
        <w:t xml:space="preserve"> ove strategije</w:t>
      </w:r>
      <w:r w:rsidR="006F2CEA" w:rsidRPr="006F2CEA">
        <w:rPr>
          <w:rFonts w:ascii="Arial" w:hAnsi="Arial" w:cs="Arial"/>
          <w:sz w:val="22"/>
          <w:szCs w:val="22"/>
        </w:rPr>
        <w:t xml:space="preserve"> </w:t>
      </w:r>
      <w:r w:rsidR="00D571A6">
        <w:rPr>
          <w:rFonts w:ascii="Arial" w:hAnsi="Arial" w:cs="Arial"/>
          <w:sz w:val="22"/>
          <w:szCs w:val="22"/>
        </w:rPr>
        <w:t>prikazuje</w:t>
      </w:r>
      <w:r w:rsidR="006F2CEA" w:rsidRPr="006F2CEA">
        <w:rPr>
          <w:rFonts w:ascii="Arial" w:hAnsi="Arial" w:cs="Arial"/>
          <w:sz w:val="22"/>
          <w:szCs w:val="22"/>
        </w:rPr>
        <w:t xml:space="preserve"> sažeti prikaz drveta problema i rješenja, ključnih uzroka i posljedica, kao i logike strateških i operativnih ciljeva, čime se obezbjeđuje jasna povezanost između identifikovanih izazova i mjera i aktivnosti predviđenih </w:t>
      </w:r>
      <w:r w:rsidR="00B86241">
        <w:rPr>
          <w:rFonts w:ascii="Arial" w:hAnsi="Arial" w:cs="Arial"/>
          <w:sz w:val="22"/>
          <w:szCs w:val="22"/>
        </w:rPr>
        <w:t xml:space="preserve">AP </w:t>
      </w:r>
      <w:r w:rsidR="006F2CEA" w:rsidRPr="006F2CEA">
        <w:rPr>
          <w:rFonts w:ascii="Arial" w:hAnsi="Arial" w:cs="Arial"/>
          <w:sz w:val="22"/>
          <w:szCs w:val="22"/>
        </w:rPr>
        <w:t>NSBAP-om.</w:t>
      </w:r>
    </w:p>
    <w:p w:rsidR="008D4259" w:rsidRPr="008D4259" w:rsidRDefault="008D4259" w:rsidP="00D25D6D">
      <w:pPr>
        <w:pStyle w:val="NormalWeb"/>
        <w:jc w:val="both"/>
        <w:rPr>
          <w:rFonts w:ascii="Arial" w:hAnsi="Arial" w:cs="Arial"/>
          <w:b/>
          <w:sz w:val="20"/>
          <w:szCs w:val="20"/>
        </w:rPr>
      </w:pPr>
      <w:r w:rsidRPr="008D4259">
        <w:rPr>
          <w:rFonts w:ascii="Arial" w:eastAsia="Arial" w:hAnsi="Arial" w:cs="Arial"/>
          <w:b/>
          <w:bCs/>
          <w:noProof/>
          <w:color w:val="222222"/>
          <w:sz w:val="20"/>
          <w:szCs w:val="20"/>
        </w:rPr>
        <w:drawing>
          <wp:anchor distT="0" distB="0" distL="114300" distR="114300" simplePos="0" relativeHeight="251661312" behindDoc="0" locked="0" layoutInCell="1" allowOverlap="1" wp14:anchorId="1565C071" wp14:editId="48EA5E42">
            <wp:simplePos x="0" y="0"/>
            <wp:positionH relativeFrom="margin">
              <wp:posOffset>349250</wp:posOffset>
            </wp:positionH>
            <wp:positionV relativeFrom="margin">
              <wp:posOffset>2084070</wp:posOffset>
            </wp:positionV>
            <wp:extent cx="4959605" cy="6572588"/>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959605" cy="6572588"/>
                    </a:xfrm>
                    <a:prstGeom prst="rect">
                      <a:avLst/>
                    </a:prstGeom>
                  </pic:spPr>
                </pic:pic>
              </a:graphicData>
            </a:graphic>
          </wp:anchor>
        </w:drawing>
      </w:r>
      <w:r w:rsidRPr="008D4259">
        <w:rPr>
          <w:rFonts w:ascii="Arial" w:hAnsi="Arial" w:cs="Arial"/>
          <w:b/>
          <w:sz w:val="20"/>
          <w:szCs w:val="20"/>
        </w:rPr>
        <w:t xml:space="preserve">Grafik </w:t>
      </w:r>
      <w:r w:rsidR="007117DA">
        <w:rPr>
          <w:rFonts w:ascii="Arial" w:hAnsi="Arial" w:cs="Arial"/>
          <w:b/>
          <w:sz w:val="20"/>
          <w:szCs w:val="20"/>
        </w:rPr>
        <w:t>5</w:t>
      </w:r>
      <w:r w:rsidRPr="008D4259">
        <w:rPr>
          <w:rFonts w:ascii="Arial" w:hAnsi="Arial" w:cs="Arial"/>
          <w:b/>
          <w:sz w:val="20"/>
          <w:szCs w:val="20"/>
        </w:rPr>
        <w:t xml:space="preserve"> </w:t>
      </w:r>
      <w:r w:rsidRPr="008D4259">
        <w:rPr>
          <w:rFonts w:ascii="Arial" w:hAnsi="Arial" w:cs="Arial"/>
          <w:sz w:val="20"/>
          <w:szCs w:val="20"/>
        </w:rPr>
        <w:t xml:space="preserve">– </w:t>
      </w:r>
      <w:r w:rsidR="004758CE">
        <w:rPr>
          <w:rFonts w:ascii="Arial" w:hAnsi="Arial" w:cs="Arial"/>
          <w:sz w:val="20"/>
          <w:szCs w:val="20"/>
        </w:rPr>
        <w:t>Slikoviti p</w:t>
      </w:r>
      <w:r w:rsidRPr="008D4259">
        <w:rPr>
          <w:rFonts w:ascii="Arial" w:hAnsi="Arial" w:cs="Arial"/>
          <w:sz w:val="20"/>
          <w:szCs w:val="20"/>
        </w:rPr>
        <w:t>rikaz</w:t>
      </w:r>
      <w:r w:rsidR="00DD1CC5">
        <w:rPr>
          <w:rFonts w:ascii="Arial" w:hAnsi="Arial" w:cs="Arial"/>
          <w:sz w:val="20"/>
          <w:szCs w:val="20"/>
        </w:rPr>
        <w:t xml:space="preserve"> -</w:t>
      </w:r>
      <w:r w:rsidRPr="008D4259">
        <w:rPr>
          <w:rFonts w:ascii="Arial" w:hAnsi="Arial" w:cs="Arial"/>
          <w:sz w:val="20"/>
          <w:szCs w:val="20"/>
        </w:rPr>
        <w:t xml:space="preserve"> Drvo problema</w:t>
      </w:r>
      <w:r w:rsidR="00DD1CC5">
        <w:rPr>
          <w:rFonts w:ascii="Arial" w:hAnsi="Arial" w:cs="Arial"/>
          <w:sz w:val="20"/>
          <w:szCs w:val="20"/>
        </w:rPr>
        <w:t>.</w:t>
      </w:r>
    </w:p>
    <w:p w:rsidR="00D25D6D" w:rsidRDefault="00D25D6D">
      <w:pPr>
        <w:shd w:val="clear" w:color="auto" w:fill="FFFFFF"/>
        <w:spacing w:before="280" w:after="280" w:line="240" w:lineRule="auto"/>
        <w:rPr>
          <w:rFonts w:ascii="Arial" w:eastAsia="Arial" w:hAnsi="Arial" w:cs="Arial"/>
          <w:b/>
          <w:bCs/>
          <w:color w:val="222222"/>
          <w:sz w:val="36"/>
          <w:szCs w:val="36"/>
        </w:rPr>
      </w:pPr>
    </w:p>
    <w:p w:rsidR="00D25D6D" w:rsidRDefault="00D25D6D">
      <w:pPr>
        <w:shd w:val="clear" w:color="auto" w:fill="FFFFFF"/>
        <w:spacing w:before="280" w:after="280" w:line="240" w:lineRule="auto"/>
        <w:rPr>
          <w:rFonts w:ascii="Arial" w:eastAsia="Arial" w:hAnsi="Arial" w:cs="Arial"/>
          <w:b/>
          <w:bCs/>
          <w:color w:val="222222"/>
          <w:sz w:val="36"/>
          <w:szCs w:val="36"/>
        </w:rPr>
      </w:pPr>
    </w:p>
    <w:p w:rsidR="00D571A6" w:rsidRDefault="00D571A6">
      <w:pPr>
        <w:shd w:val="clear" w:color="auto" w:fill="FFFFFF"/>
        <w:spacing w:before="280" w:after="280" w:line="240" w:lineRule="auto"/>
        <w:rPr>
          <w:rFonts w:ascii="Arial" w:eastAsia="Arial" w:hAnsi="Arial" w:cs="Arial"/>
          <w:b/>
          <w:bCs/>
          <w:color w:val="222222"/>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D571A6" w:rsidRPr="00D571A6" w:rsidRDefault="00D571A6" w:rsidP="00D571A6">
      <w:pPr>
        <w:rPr>
          <w:rFonts w:ascii="Arial" w:eastAsia="Arial" w:hAnsi="Arial" w:cs="Arial"/>
          <w:sz w:val="36"/>
          <w:szCs w:val="36"/>
        </w:rPr>
      </w:pPr>
    </w:p>
    <w:p w:rsidR="008A4395" w:rsidRDefault="008A4395" w:rsidP="00D571A6">
      <w:pPr>
        <w:rPr>
          <w:rFonts w:ascii="Arial" w:eastAsia="Arial" w:hAnsi="Arial" w:cs="Arial"/>
          <w:sz w:val="36"/>
          <w:szCs w:val="36"/>
        </w:rPr>
      </w:pPr>
    </w:p>
    <w:p w:rsidR="008A4395" w:rsidRDefault="008A4395" w:rsidP="008A4395">
      <w:pPr>
        <w:rPr>
          <w:rFonts w:ascii="Arial" w:eastAsia="Arial" w:hAnsi="Arial" w:cs="Arial"/>
          <w:sz w:val="36"/>
          <w:szCs w:val="36"/>
        </w:rPr>
      </w:pPr>
    </w:p>
    <w:p w:rsidR="00D25D6D" w:rsidRPr="00DD1CC5" w:rsidRDefault="008D4259" w:rsidP="008D4259">
      <w:pPr>
        <w:rPr>
          <w:rFonts w:ascii="Arial" w:hAnsi="Arial" w:cs="Arial"/>
          <w:sz w:val="20"/>
          <w:szCs w:val="20"/>
        </w:rPr>
      </w:pPr>
      <w:r w:rsidRPr="00DD1CC5">
        <w:rPr>
          <w:rFonts w:ascii="Arial" w:hAnsi="Arial" w:cs="Arial"/>
          <w:b/>
          <w:noProof/>
          <w:sz w:val="20"/>
          <w:szCs w:val="20"/>
        </w:rPr>
        <w:lastRenderedPageBreak/>
        <w:drawing>
          <wp:anchor distT="0" distB="0" distL="114300" distR="114300" simplePos="0" relativeHeight="251660288" behindDoc="1" locked="0" layoutInCell="1" allowOverlap="1" wp14:anchorId="71606930" wp14:editId="5C31D1DA">
            <wp:simplePos x="0" y="0"/>
            <wp:positionH relativeFrom="margin">
              <wp:align>center</wp:align>
            </wp:positionH>
            <wp:positionV relativeFrom="margin">
              <wp:posOffset>742950</wp:posOffset>
            </wp:positionV>
            <wp:extent cx="4451350" cy="6686550"/>
            <wp:effectExtent l="0" t="0" r="635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451350" cy="6686550"/>
                    </a:xfrm>
                    <a:prstGeom prst="rect">
                      <a:avLst/>
                    </a:prstGeom>
                  </pic:spPr>
                </pic:pic>
              </a:graphicData>
            </a:graphic>
          </wp:anchor>
        </w:drawing>
      </w:r>
      <w:r w:rsidR="007117DA">
        <w:rPr>
          <w:rFonts w:ascii="Arial" w:hAnsi="Arial" w:cs="Arial"/>
          <w:b/>
          <w:sz w:val="20"/>
          <w:szCs w:val="20"/>
        </w:rPr>
        <w:t>Grafik 06</w:t>
      </w:r>
      <w:r w:rsidRPr="00DD1CC5">
        <w:rPr>
          <w:rFonts w:ascii="Arial" w:hAnsi="Arial" w:cs="Arial"/>
          <w:sz w:val="20"/>
          <w:szCs w:val="20"/>
        </w:rPr>
        <w:t xml:space="preserve"> – </w:t>
      </w:r>
      <w:r w:rsidR="004758CE">
        <w:rPr>
          <w:rFonts w:ascii="Arial" w:hAnsi="Arial" w:cs="Arial"/>
          <w:sz w:val="20"/>
          <w:szCs w:val="20"/>
        </w:rPr>
        <w:t>Slikoviti p</w:t>
      </w:r>
      <w:r w:rsidRPr="00DD1CC5">
        <w:rPr>
          <w:rFonts w:ascii="Arial" w:hAnsi="Arial" w:cs="Arial"/>
          <w:sz w:val="20"/>
          <w:szCs w:val="20"/>
        </w:rPr>
        <w:t xml:space="preserve">rikaz </w:t>
      </w:r>
      <w:r w:rsidR="00DD1CC5">
        <w:rPr>
          <w:rFonts w:ascii="Arial" w:hAnsi="Arial" w:cs="Arial"/>
          <w:sz w:val="20"/>
          <w:szCs w:val="20"/>
        </w:rPr>
        <w:t xml:space="preserve">- </w:t>
      </w:r>
      <w:r w:rsidRPr="00DD1CC5">
        <w:rPr>
          <w:rFonts w:ascii="Arial" w:hAnsi="Arial" w:cs="Arial"/>
          <w:sz w:val="20"/>
          <w:szCs w:val="20"/>
        </w:rPr>
        <w:t>Drvo rješenja</w:t>
      </w:r>
      <w:r w:rsidR="00DD1CC5">
        <w:rPr>
          <w:rFonts w:ascii="Arial" w:hAnsi="Arial" w:cs="Arial"/>
          <w:sz w:val="20"/>
          <w:szCs w:val="20"/>
        </w:rPr>
        <w:t>.</w:t>
      </w:r>
    </w:p>
    <w:p w:rsidR="00D25D6D" w:rsidRDefault="00D25D6D" w:rsidP="008D4259"/>
    <w:p w:rsidR="00D25D6D" w:rsidRDefault="00D25D6D" w:rsidP="008D4259">
      <w:pPr>
        <w:rPr>
          <w:rFonts w:ascii="Arial" w:eastAsia="Arial" w:hAnsi="Arial" w:cs="Arial"/>
          <w:b/>
          <w:bCs/>
          <w:color w:val="222222"/>
          <w:sz w:val="36"/>
          <w:szCs w:val="36"/>
        </w:rPr>
      </w:pPr>
    </w:p>
    <w:p w:rsidR="00D25D6D" w:rsidRDefault="00D25D6D" w:rsidP="008D4259">
      <w:pPr>
        <w:rPr>
          <w:rFonts w:ascii="Arial" w:eastAsia="Arial" w:hAnsi="Arial" w:cs="Arial"/>
          <w:b/>
          <w:bCs/>
          <w:color w:val="222222"/>
          <w:sz w:val="36"/>
          <w:szCs w:val="36"/>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Pr>
        <w:rPr>
          <w:rFonts w:ascii="Arial" w:eastAsia="Arial" w:hAnsi="Arial" w:cs="Arial"/>
          <w:sz w:val="40"/>
          <w:szCs w:val="40"/>
        </w:rPr>
      </w:pPr>
    </w:p>
    <w:p w:rsidR="00D25D6D" w:rsidRDefault="00D25D6D" w:rsidP="008D4259"/>
    <w:p w:rsidR="00D25D6D" w:rsidRDefault="00D25D6D" w:rsidP="008D4259"/>
    <w:p w:rsidR="00D25D6D" w:rsidRDefault="00D25D6D" w:rsidP="008D4259"/>
    <w:p w:rsidR="00D571A6" w:rsidRDefault="00D571A6" w:rsidP="00D25D6D"/>
    <w:p w:rsidR="008A4395" w:rsidRDefault="008A4395" w:rsidP="00721DEF">
      <w:pPr>
        <w:pStyle w:val="Heading1"/>
        <w:rPr>
          <w:rFonts w:ascii="Arial" w:eastAsia="Arial" w:hAnsi="Arial" w:cs="Arial"/>
          <w:sz w:val="40"/>
          <w:szCs w:val="40"/>
        </w:rPr>
      </w:pPr>
    </w:p>
    <w:p w:rsidR="008A4395" w:rsidRDefault="008A4395" w:rsidP="00721DEF">
      <w:pPr>
        <w:pStyle w:val="Heading1"/>
        <w:rPr>
          <w:rFonts w:ascii="Arial" w:eastAsia="Arial" w:hAnsi="Arial" w:cs="Arial"/>
          <w:sz w:val="40"/>
          <w:szCs w:val="40"/>
        </w:rPr>
      </w:pPr>
    </w:p>
    <w:p w:rsidR="008A4395" w:rsidRDefault="008A4395" w:rsidP="00721DEF">
      <w:pPr>
        <w:pStyle w:val="Heading1"/>
        <w:rPr>
          <w:rFonts w:ascii="Arial" w:eastAsia="Arial" w:hAnsi="Arial" w:cs="Arial"/>
          <w:sz w:val="40"/>
          <w:szCs w:val="40"/>
        </w:rPr>
      </w:pPr>
    </w:p>
    <w:p w:rsidR="00D14804" w:rsidRDefault="002C41E5" w:rsidP="00721DEF">
      <w:pPr>
        <w:pStyle w:val="Heading1"/>
        <w:rPr>
          <w:rFonts w:ascii="Arial" w:eastAsia="Arial" w:hAnsi="Arial" w:cs="Arial"/>
          <w:sz w:val="40"/>
          <w:szCs w:val="40"/>
        </w:rPr>
      </w:pPr>
      <w:bookmarkStart w:id="26" w:name="_Toc222754375"/>
      <w:r w:rsidRPr="00DB7D81">
        <w:rPr>
          <w:rFonts w:ascii="Arial" w:eastAsia="Arial" w:hAnsi="Arial" w:cs="Arial"/>
          <w:sz w:val="40"/>
          <w:szCs w:val="40"/>
        </w:rPr>
        <w:lastRenderedPageBreak/>
        <w:t>III Strateški okvir sprovođenja NSBAP</w:t>
      </w:r>
      <w:r w:rsidR="00721DEF">
        <w:rPr>
          <w:rFonts w:ascii="Arial" w:eastAsia="Arial" w:hAnsi="Arial" w:cs="Arial"/>
          <w:sz w:val="40"/>
          <w:szCs w:val="40"/>
        </w:rPr>
        <w:t xml:space="preserve"> 2026-2031</w:t>
      </w:r>
      <w:bookmarkEnd w:id="26"/>
    </w:p>
    <w:p w:rsidR="00DB7D81" w:rsidRPr="00DB7D81" w:rsidRDefault="00DB7D81" w:rsidP="00DB7D81"/>
    <w:p w:rsidR="002C41E5" w:rsidRPr="00DB7D81" w:rsidRDefault="002C41E5" w:rsidP="00DB7D81">
      <w:pPr>
        <w:pStyle w:val="Heading2"/>
        <w:rPr>
          <w:rFonts w:ascii="Arial" w:hAnsi="Arial" w:cs="Arial"/>
          <w:sz w:val="32"/>
          <w:szCs w:val="32"/>
        </w:rPr>
      </w:pPr>
      <w:bookmarkStart w:id="27" w:name="_Toc222754376"/>
      <w:r w:rsidRPr="00DB7D81">
        <w:rPr>
          <w:rFonts w:ascii="Arial" w:hAnsi="Arial" w:cs="Arial"/>
          <w:sz w:val="32"/>
          <w:szCs w:val="32"/>
        </w:rPr>
        <w:t>3.1 Vizija zaštite i očuvanja biodiverziteta</w:t>
      </w:r>
      <w:r w:rsidR="00DB7D81">
        <w:rPr>
          <w:rFonts w:ascii="Arial" w:hAnsi="Arial" w:cs="Arial"/>
          <w:sz w:val="32"/>
          <w:szCs w:val="32"/>
        </w:rPr>
        <w:t xml:space="preserve"> Crne Gore </w:t>
      </w:r>
      <w:r w:rsidRPr="00DB7D81">
        <w:rPr>
          <w:rFonts w:ascii="Arial" w:hAnsi="Arial" w:cs="Arial"/>
          <w:sz w:val="32"/>
          <w:szCs w:val="32"/>
        </w:rPr>
        <w:t>do 2050. godine</w:t>
      </w:r>
      <w:bookmarkEnd w:id="27"/>
    </w:p>
    <w:p w:rsidR="002C41E5" w:rsidRDefault="002C41E5" w:rsidP="002C41E5">
      <w:pPr>
        <w:pStyle w:val="NormalWeb"/>
      </w:pPr>
    </w:p>
    <w:tbl>
      <w:tblPr>
        <w:tblStyle w:val="TableGrid"/>
        <w:tblW w:w="9271" w:type="dxa"/>
        <w:jc w:val="center"/>
        <w:tblLook w:val="04A0" w:firstRow="1" w:lastRow="0" w:firstColumn="1" w:lastColumn="0" w:noHBand="0" w:noVBand="1"/>
      </w:tblPr>
      <w:tblGrid>
        <w:gridCol w:w="9271"/>
      </w:tblGrid>
      <w:tr w:rsidR="002C41E5" w:rsidRPr="002C41E5" w:rsidTr="002C41E5">
        <w:trPr>
          <w:trHeight w:val="1164"/>
          <w:jc w:val="center"/>
        </w:trPr>
        <w:tc>
          <w:tcPr>
            <w:tcW w:w="9271" w:type="dxa"/>
            <w:shd w:val="clear" w:color="auto" w:fill="E2EFD9" w:themeFill="accent6" w:themeFillTint="33"/>
            <w:vAlign w:val="center"/>
          </w:tcPr>
          <w:p w:rsidR="002C41E5" w:rsidRPr="002C41E5" w:rsidRDefault="002C41E5" w:rsidP="002C41E5">
            <w:pPr>
              <w:pStyle w:val="NormalWeb"/>
              <w:jc w:val="center"/>
              <w:rPr>
                <w:rFonts w:ascii="Arial" w:hAnsi="Arial" w:cs="Arial"/>
                <w:i/>
              </w:rPr>
            </w:pPr>
            <w:r w:rsidRPr="002C41E5">
              <w:rPr>
                <w:rFonts w:ascii="Arial" w:hAnsi="Arial" w:cs="Arial"/>
                <w:b/>
                <w:bCs/>
                <w:i/>
                <w:color w:val="385623" w:themeColor="accent6" w:themeShade="80"/>
              </w:rPr>
              <w:t>Crna Gora je 2050. godine društvo koje živi u harmoniji s prirodom, sa očuvanim i obnovljenim biodiverzitetom i ekosistemima, koji obezbjeđuju otpornost zajednica, pravednu raspodjelu koristi i dugoročnu dobrobit svih.</w:t>
            </w:r>
          </w:p>
        </w:tc>
      </w:tr>
    </w:tbl>
    <w:p w:rsidR="002C41E5" w:rsidRPr="002C41E5" w:rsidRDefault="002C41E5" w:rsidP="002C41E5">
      <w:pPr>
        <w:pStyle w:val="NormalWeb"/>
        <w:jc w:val="both"/>
        <w:rPr>
          <w:rFonts w:ascii="Arial" w:hAnsi="Arial" w:cs="Arial"/>
          <w:sz w:val="22"/>
          <w:szCs w:val="22"/>
        </w:rPr>
      </w:pPr>
    </w:p>
    <w:p w:rsidR="002C41E5" w:rsidRPr="002C41E5" w:rsidRDefault="002C41E5" w:rsidP="002C41E5">
      <w:pPr>
        <w:pStyle w:val="NormalWeb"/>
        <w:jc w:val="both"/>
        <w:rPr>
          <w:rFonts w:ascii="Arial" w:hAnsi="Arial" w:cs="Arial"/>
          <w:sz w:val="22"/>
          <w:szCs w:val="22"/>
        </w:rPr>
      </w:pPr>
      <w:r>
        <w:rPr>
          <w:rFonts w:ascii="Arial" w:hAnsi="Arial" w:cs="Arial"/>
          <w:sz w:val="22"/>
          <w:szCs w:val="22"/>
        </w:rPr>
        <w:t xml:space="preserve">Polazeći od Vizije 2050. </w:t>
      </w:r>
      <w:r w:rsidRPr="002C41E5">
        <w:rPr>
          <w:rFonts w:ascii="Arial" w:hAnsi="Arial" w:cs="Arial"/>
          <w:sz w:val="22"/>
          <w:szCs w:val="22"/>
        </w:rPr>
        <w:t>godine, prema kojoj je Crna Gora društvo koje živi u skladu sa prirodom, sa očuvanim i obnovljenim biodiverzitetom i funkcionalnim ekosistemima koji obezbjeđuju otpornost zajednica, pravednu raspodjelu koristi i dugoročnu dobrobit svih</w:t>
      </w:r>
      <w:r>
        <w:rPr>
          <w:rFonts w:ascii="Arial" w:hAnsi="Arial" w:cs="Arial"/>
          <w:sz w:val="22"/>
          <w:szCs w:val="22"/>
        </w:rPr>
        <w:t xml:space="preserve"> građana i građanki</w:t>
      </w:r>
      <w:r w:rsidRPr="002C41E5">
        <w:rPr>
          <w:rFonts w:ascii="Arial" w:hAnsi="Arial" w:cs="Arial"/>
          <w:sz w:val="22"/>
          <w:szCs w:val="22"/>
        </w:rPr>
        <w:t>, definisani su strateški ciljevi koji predstavljaju operativni okvir za njeno ostvarenje do 2030/2031. godine</w:t>
      </w:r>
      <w:r>
        <w:rPr>
          <w:rFonts w:ascii="Arial" w:hAnsi="Arial" w:cs="Arial"/>
          <w:sz w:val="22"/>
          <w:szCs w:val="22"/>
        </w:rPr>
        <w:t>, shodno vremenskom okviru sprovođenju NSBAP</w:t>
      </w:r>
      <w:r w:rsidRPr="002C41E5">
        <w:rPr>
          <w:rFonts w:ascii="Arial" w:hAnsi="Arial" w:cs="Arial"/>
          <w:sz w:val="22"/>
          <w:szCs w:val="22"/>
        </w:rPr>
        <w:t>.</w:t>
      </w:r>
    </w:p>
    <w:p w:rsidR="002C41E5" w:rsidRPr="002C41E5" w:rsidRDefault="002C41E5" w:rsidP="002C41E5">
      <w:pPr>
        <w:pStyle w:val="NormalWeb"/>
        <w:jc w:val="both"/>
        <w:rPr>
          <w:rFonts w:ascii="Arial" w:hAnsi="Arial" w:cs="Arial"/>
          <w:sz w:val="22"/>
          <w:szCs w:val="22"/>
        </w:rPr>
      </w:pPr>
      <w:r w:rsidRPr="002C41E5">
        <w:rPr>
          <w:rFonts w:ascii="Arial" w:hAnsi="Arial" w:cs="Arial"/>
          <w:sz w:val="22"/>
          <w:szCs w:val="22"/>
        </w:rPr>
        <w:t xml:space="preserve">Strateški ciljevi usmjereni su na zaustavljanje gubitka biodiverziteta, jačanje mreže zaštićenih i drugih efektivnih područja očuvanja, integraciju biodiverziteta u razvojne politike i uspostavljanje funkcionalnog institucionalnog sistema koji omogućava dosljednu primjenu mjera zaštite. Oni su zasnovani na analizi stanja, identifikovanim ključnim pritiscima i horizontalnim izazovima upravljanja, kao i na obavezama koje proizilaze iz </w:t>
      </w:r>
      <w:r>
        <w:rPr>
          <w:rFonts w:ascii="Arial" w:hAnsi="Arial" w:cs="Arial"/>
          <w:sz w:val="22"/>
          <w:szCs w:val="22"/>
        </w:rPr>
        <w:t>KM-GBF</w:t>
      </w:r>
      <w:r w:rsidRPr="002C41E5">
        <w:rPr>
          <w:rFonts w:ascii="Arial" w:hAnsi="Arial" w:cs="Arial"/>
          <w:sz w:val="22"/>
          <w:szCs w:val="22"/>
        </w:rPr>
        <w:t xml:space="preserve"> i procesa pristupanja Evropskoj uniji.</w:t>
      </w:r>
    </w:p>
    <w:p w:rsidR="002C41E5" w:rsidRPr="002C41E5" w:rsidRDefault="002C41E5" w:rsidP="002C41E5">
      <w:pPr>
        <w:pStyle w:val="NormalWeb"/>
        <w:jc w:val="both"/>
        <w:rPr>
          <w:rFonts w:ascii="Arial" w:hAnsi="Arial" w:cs="Arial"/>
          <w:sz w:val="22"/>
          <w:szCs w:val="22"/>
        </w:rPr>
      </w:pPr>
      <w:r w:rsidRPr="002C41E5">
        <w:rPr>
          <w:rFonts w:ascii="Arial" w:hAnsi="Arial" w:cs="Arial"/>
          <w:sz w:val="22"/>
          <w:szCs w:val="22"/>
        </w:rPr>
        <w:t>Ciljevi su definisani kroz inkluzivan i participativan proces, u okviru konsultativnih radionica i dijaloga sa predstavnicima institucija, lokalnih samouprava, naučne zajednice, civilnog sektora, privatnog sektora, žena, mladih i drugih društvenih grupa, u skladu sa principom „</w:t>
      </w:r>
      <w:r w:rsidRPr="002C41E5">
        <w:rPr>
          <w:rFonts w:ascii="Arial" w:hAnsi="Arial" w:cs="Arial"/>
          <w:i/>
          <w:sz w:val="22"/>
          <w:szCs w:val="22"/>
        </w:rPr>
        <w:t>ne izostaviti nikoga iza sebe</w:t>
      </w:r>
      <w:r w:rsidRPr="002C41E5">
        <w:rPr>
          <w:rFonts w:ascii="Arial" w:hAnsi="Arial" w:cs="Arial"/>
          <w:sz w:val="22"/>
          <w:szCs w:val="22"/>
        </w:rPr>
        <w:t>“. Na taj način obezbijeđena je usklađenost između ekoloških prioriteta, razvojnih potreba i društvene odgovornosti.</w:t>
      </w:r>
    </w:p>
    <w:p w:rsidR="002C41E5" w:rsidRDefault="002C41E5" w:rsidP="002C41E5">
      <w:pPr>
        <w:pStyle w:val="NormalWeb"/>
        <w:jc w:val="both"/>
        <w:rPr>
          <w:rFonts w:ascii="Arial" w:hAnsi="Arial" w:cs="Arial"/>
          <w:sz w:val="22"/>
          <w:szCs w:val="22"/>
        </w:rPr>
      </w:pPr>
      <w:r w:rsidRPr="002C41E5">
        <w:rPr>
          <w:rFonts w:ascii="Arial" w:hAnsi="Arial" w:cs="Arial"/>
          <w:b/>
          <w:sz w:val="22"/>
          <w:szCs w:val="22"/>
        </w:rPr>
        <w:t>Strateški cilj 1</w:t>
      </w:r>
      <w:r w:rsidRPr="002C41E5">
        <w:rPr>
          <w:rFonts w:ascii="Arial" w:hAnsi="Arial" w:cs="Arial"/>
          <w:sz w:val="22"/>
          <w:szCs w:val="22"/>
        </w:rPr>
        <w:t xml:space="preserve"> usmjeren je na zaustavljanje gubitka biodiverziteta kroz smanjenje i kontrolu ključnih pritisaka, očuvanje i obnovu prioritetnih vrsta i staništa, </w:t>
      </w:r>
      <w:r w:rsidRPr="00545ABF">
        <w:rPr>
          <w:rFonts w:ascii="Arial" w:hAnsi="Arial" w:cs="Arial"/>
          <w:sz w:val="22"/>
          <w:szCs w:val="22"/>
        </w:rPr>
        <w:t>restauraciju degradiranih ekosistema i integraciju klimatskih mjera u upravljanje prirodom.</w:t>
      </w:r>
    </w:p>
    <w:p w:rsidR="002C41E5" w:rsidRDefault="002C41E5" w:rsidP="002C41E5">
      <w:pPr>
        <w:pStyle w:val="NormalWeb"/>
        <w:jc w:val="both"/>
        <w:rPr>
          <w:rFonts w:ascii="Arial" w:hAnsi="Arial" w:cs="Arial"/>
          <w:sz w:val="22"/>
          <w:szCs w:val="22"/>
        </w:rPr>
      </w:pPr>
      <w:r w:rsidRPr="002C41E5">
        <w:rPr>
          <w:rFonts w:ascii="Arial" w:hAnsi="Arial" w:cs="Arial"/>
          <w:b/>
          <w:sz w:val="22"/>
          <w:szCs w:val="22"/>
        </w:rPr>
        <w:t>Strateški cilj 2</w:t>
      </w:r>
      <w:r w:rsidRPr="002C41E5">
        <w:rPr>
          <w:rFonts w:ascii="Arial" w:hAnsi="Arial" w:cs="Arial"/>
          <w:sz w:val="22"/>
          <w:szCs w:val="22"/>
        </w:rPr>
        <w:t xml:space="preserve"> uspostavlja ambiciozan, ali neophodan okvir za ekološki reprezentativnu i efektivnu mrežu zaštite kopna i mora, uključujući područja pod strogom zaštitom i druge efektivne mjere očuvanja.</w:t>
      </w:r>
    </w:p>
    <w:p w:rsidR="002C41E5" w:rsidRDefault="002C41E5" w:rsidP="002C41E5">
      <w:pPr>
        <w:pStyle w:val="NormalWeb"/>
        <w:jc w:val="both"/>
        <w:rPr>
          <w:rFonts w:ascii="Arial" w:hAnsi="Arial" w:cs="Arial"/>
          <w:sz w:val="22"/>
          <w:szCs w:val="22"/>
        </w:rPr>
      </w:pPr>
      <w:r w:rsidRPr="002C41E5">
        <w:rPr>
          <w:rFonts w:ascii="Arial" w:hAnsi="Arial" w:cs="Arial"/>
          <w:b/>
          <w:sz w:val="22"/>
          <w:szCs w:val="22"/>
        </w:rPr>
        <w:t>Strateški cilj 3</w:t>
      </w:r>
      <w:r w:rsidRPr="002C41E5">
        <w:rPr>
          <w:rFonts w:ascii="Arial" w:hAnsi="Arial" w:cs="Arial"/>
          <w:sz w:val="22"/>
          <w:szCs w:val="22"/>
        </w:rPr>
        <w:t xml:space="preserve"> obezbjeđuje integraciju biodiverziteta i ekosistemskih usluga u sektorske politike i procese odlučivanja, čime se osigurava održivo korišćenje prirodnih resursa.</w:t>
      </w:r>
    </w:p>
    <w:p w:rsidR="002C41E5" w:rsidRPr="002C41E5" w:rsidRDefault="002C41E5" w:rsidP="002C41E5">
      <w:pPr>
        <w:pStyle w:val="NormalWeb"/>
        <w:jc w:val="both"/>
        <w:rPr>
          <w:rFonts w:ascii="Arial" w:hAnsi="Arial" w:cs="Arial"/>
          <w:sz w:val="22"/>
          <w:szCs w:val="22"/>
        </w:rPr>
      </w:pPr>
      <w:r w:rsidRPr="002C41E5">
        <w:rPr>
          <w:rFonts w:ascii="Arial" w:hAnsi="Arial" w:cs="Arial"/>
          <w:b/>
          <w:sz w:val="22"/>
          <w:szCs w:val="22"/>
        </w:rPr>
        <w:t>Horizontalni strateški cilj 4</w:t>
      </w:r>
      <w:r w:rsidRPr="002C41E5">
        <w:rPr>
          <w:rFonts w:ascii="Arial" w:hAnsi="Arial" w:cs="Arial"/>
          <w:sz w:val="22"/>
          <w:szCs w:val="22"/>
        </w:rPr>
        <w:t xml:space="preserve"> jača institucionalni okvir kroz efikasan, koordinisan i inkluzivan sistem upravljanja, zasnovan na jasnim nadležnostima, adekvatnim kapacitetima i transparentnom odlučivanju utemeljenom na stručnim podacima.</w:t>
      </w:r>
    </w:p>
    <w:p w:rsidR="002C41E5" w:rsidRDefault="002C41E5" w:rsidP="002C41E5">
      <w:pPr>
        <w:pStyle w:val="NormalWeb"/>
        <w:jc w:val="both"/>
        <w:rPr>
          <w:rFonts w:ascii="Arial" w:hAnsi="Arial" w:cs="Arial"/>
          <w:sz w:val="22"/>
          <w:szCs w:val="22"/>
        </w:rPr>
      </w:pPr>
      <w:r w:rsidRPr="002C41E5">
        <w:rPr>
          <w:rFonts w:ascii="Arial" w:hAnsi="Arial" w:cs="Arial"/>
          <w:sz w:val="22"/>
          <w:szCs w:val="22"/>
        </w:rPr>
        <w:lastRenderedPageBreak/>
        <w:t>Zajedno, ovi ciljevi predstavljaju međusobno povezan i komplementaran okvir djelovanja, kojim se Vizija</w:t>
      </w:r>
      <w:r>
        <w:rPr>
          <w:rFonts w:ascii="Arial" w:hAnsi="Arial" w:cs="Arial"/>
          <w:sz w:val="22"/>
          <w:szCs w:val="22"/>
        </w:rPr>
        <w:t xml:space="preserve"> - </w:t>
      </w:r>
      <w:r w:rsidRPr="002C41E5">
        <w:rPr>
          <w:rFonts w:ascii="Arial" w:hAnsi="Arial" w:cs="Arial"/>
          <w:i/>
          <w:sz w:val="22"/>
          <w:szCs w:val="22"/>
        </w:rPr>
        <w:t>harmonije društva i prirode</w:t>
      </w:r>
      <w:r w:rsidRPr="002C41E5">
        <w:rPr>
          <w:rFonts w:ascii="Arial" w:hAnsi="Arial" w:cs="Arial"/>
          <w:sz w:val="22"/>
          <w:szCs w:val="22"/>
        </w:rPr>
        <w:t xml:space="preserve"> </w:t>
      </w:r>
      <w:r>
        <w:rPr>
          <w:rFonts w:ascii="Arial" w:hAnsi="Arial" w:cs="Arial"/>
          <w:sz w:val="22"/>
          <w:szCs w:val="22"/>
        </w:rPr>
        <w:t xml:space="preserve">sprovođenja NSBAP 2026-2031 </w:t>
      </w:r>
      <w:r w:rsidRPr="002C41E5">
        <w:rPr>
          <w:rFonts w:ascii="Arial" w:hAnsi="Arial" w:cs="Arial"/>
          <w:sz w:val="22"/>
          <w:szCs w:val="22"/>
        </w:rPr>
        <w:t>prevodi u mjerljive i o</w:t>
      </w:r>
      <w:r>
        <w:rPr>
          <w:rFonts w:ascii="Arial" w:hAnsi="Arial" w:cs="Arial"/>
          <w:sz w:val="22"/>
          <w:szCs w:val="22"/>
        </w:rPr>
        <w:t xml:space="preserve">stvarive pravce javnih politika i nadovezuje na sprovođenje vizije CBD/KM-GBF </w:t>
      </w:r>
      <w:r w:rsidRPr="002C41E5">
        <w:rPr>
          <w:rFonts w:ascii="Arial" w:hAnsi="Arial" w:cs="Arial"/>
          <w:i/>
          <w:sz w:val="22"/>
          <w:szCs w:val="22"/>
        </w:rPr>
        <w:t>„živjeti u</w:t>
      </w:r>
      <w:r>
        <w:rPr>
          <w:rFonts w:ascii="Arial" w:hAnsi="Arial" w:cs="Arial"/>
          <w:i/>
          <w:sz w:val="22"/>
          <w:szCs w:val="22"/>
        </w:rPr>
        <w:t xml:space="preserve"> h</w:t>
      </w:r>
      <w:r w:rsidRPr="002C41E5">
        <w:rPr>
          <w:rFonts w:ascii="Arial" w:hAnsi="Arial" w:cs="Arial"/>
          <w:i/>
          <w:sz w:val="22"/>
          <w:szCs w:val="22"/>
        </w:rPr>
        <w:t>armoniji s prirodm“</w:t>
      </w:r>
      <w:r>
        <w:rPr>
          <w:rStyle w:val="FootnoteReference"/>
          <w:rFonts w:ascii="Arial" w:hAnsi="Arial"/>
          <w:sz w:val="22"/>
          <w:szCs w:val="22"/>
        </w:rPr>
        <w:footnoteReference w:id="13"/>
      </w:r>
      <w:r>
        <w:rPr>
          <w:rFonts w:ascii="Arial" w:hAnsi="Arial" w:cs="Arial"/>
          <w:sz w:val="22"/>
          <w:szCs w:val="22"/>
        </w:rPr>
        <w:t>.</w:t>
      </w:r>
    </w:p>
    <w:p w:rsidR="000B4004" w:rsidRPr="002C41E5" w:rsidRDefault="000B4004" w:rsidP="002C41E5">
      <w:pPr>
        <w:pStyle w:val="NormalWeb"/>
        <w:jc w:val="both"/>
        <w:rPr>
          <w:rFonts w:ascii="Arial" w:hAnsi="Arial" w:cs="Arial"/>
          <w:sz w:val="22"/>
          <w:szCs w:val="22"/>
        </w:rPr>
      </w:pPr>
    </w:p>
    <w:p w:rsidR="002C41E5" w:rsidRDefault="00DB7D81" w:rsidP="00DB7D81">
      <w:pPr>
        <w:pStyle w:val="Heading2"/>
        <w:rPr>
          <w:rFonts w:ascii="Arial" w:eastAsia="Arial" w:hAnsi="Arial" w:cs="Arial"/>
          <w:sz w:val="32"/>
          <w:szCs w:val="32"/>
        </w:rPr>
      </w:pPr>
      <w:bookmarkStart w:id="28" w:name="_Toc222754377"/>
      <w:r w:rsidRPr="00DB7D81">
        <w:rPr>
          <w:rFonts w:ascii="Arial" w:eastAsia="Arial" w:hAnsi="Arial" w:cs="Arial"/>
          <w:sz w:val="32"/>
          <w:szCs w:val="32"/>
        </w:rPr>
        <w:t>3.2 Strateški i operativni ciljevi NSBAP 2026-2031</w:t>
      </w:r>
      <w:bookmarkEnd w:id="28"/>
    </w:p>
    <w:p w:rsidR="00DB7D81" w:rsidRDefault="00DB7D81" w:rsidP="00DB7D81"/>
    <w:p w:rsidR="00DB7D81" w:rsidRPr="000B4004" w:rsidRDefault="00DB7D81" w:rsidP="000B4004">
      <w:pPr>
        <w:pStyle w:val="Heading3"/>
        <w:rPr>
          <w:rFonts w:ascii="Arial" w:hAnsi="Arial" w:cs="Arial"/>
          <w:sz w:val="26"/>
          <w:szCs w:val="26"/>
        </w:rPr>
      </w:pPr>
      <w:bookmarkStart w:id="29" w:name="_Toc222754378"/>
      <w:r>
        <w:rPr>
          <w:rFonts w:ascii="Arial" w:hAnsi="Arial" w:cs="Arial"/>
          <w:sz w:val="26"/>
          <w:szCs w:val="26"/>
        </w:rPr>
        <w:t xml:space="preserve">3.2.1 </w:t>
      </w:r>
      <w:r w:rsidRPr="00DB7D81">
        <w:rPr>
          <w:rFonts w:ascii="Arial" w:hAnsi="Arial" w:cs="Arial"/>
          <w:sz w:val="26"/>
          <w:szCs w:val="26"/>
        </w:rPr>
        <w:t>Strateški cilj 1 sa pripadajućim operativnim ciljevima</w:t>
      </w:r>
      <w:bookmarkEnd w:id="29"/>
    </w:p>
    <w:tbl>
      <w:tblPr>
        <w:tblStyle w:val="TableGrid"/>
        <w:tblW w:w="0" w:type="auto"/>
        <w:tblLook w:val="04A0" w:firstRow="1" w:lastRow="0" w:firstColumn="1" w:lastColumn="0" w:noHBand="0" w:noVBand="1"/>
      </w:tblPr>
      <w:tblGrid>
        <w:gridCol w:w="850"/>
        <w:gridCol w:w="2125"/>
        <w:gridCol w:w="6086"/>
      </w:tblGrid>
      <w:tr w:rsidR="00DB7D81" w:rsidRPr="000B4004" w:rsidTr="000B4004">
        <w:tc>
          <w:tcPr>
            <w:tcW w:w="2972" w:type="dxa"/>
            <w:gridSpan w:val="2"/>
            <w:shd w:val="clear" w:color="auto" w:fill="FBDBCD"/>
          </w:tcPr>
          <w:p w:rsidR="00DB7D81" w:rsidRPr="000B4004" w:rsidRDefault="00DB7D81" w:rsidP="00DB7D81">
            <w:pPr>
              <w:rPr>
                <w:rFonts w:ascii="Arial" w:hAnsi="Arial" w:cs="Arial"/>
                <w:sz w:val="20"/>
                <w:szCs w:val="20"/>
              </w:rPr>
            </w:pPr>
            <w:r w:rsidRPr="000B4004">
              <w:rPr>
                <w:rFonts w:ascii="Arial" w:hAnsi="Arial" w:cs="Arial"/>
                <w:sz w:val="20"/>
                <w:szCs w:val="20"/>
              </w:rPr>
              <w:t>Prblem 1</w:t>
            </w:r>
          </w:p>
        </w:tc>
        <w:tc>
          <w:tcPr>
            <w:tcW w:w="6089" w:type="dxa"/>
            <w:shd w:val="clear" w:color="auto" w:fill="E2EFD9" w:themeFill="accent6" w:themeFillTint="33"/>
          </w:tcPr>
          <w:p w:rsidR="00DB7D81" w:rsidRPr="000B4004" w:rsidRDefault="00DB7D81" w:rsidP="00DB7D81">
            <w:pPr>
              <w:rPr>
                <w:rFonts w:ascii="Arial" w:hAnsi="Arial" w:cs="Arial"/>
                <w:b/>
                <w:bCs/>
                <w:sz w:val="20"/>
                <w:szCs w:val="20"/>
              </w:rPr>
            </w:pPr>
            <w:r w:rsidRPr="000B4004">
              <w:rPr>
                <w:rFonts w:ascii="Arial" w:hAnsi="Arial" w:cs="Arial"/>
                <w:b/>
                <w:bCs/>
                <w:sz w:val="20"/>
                <w:szCs w:val="20"/>
              </w:rPr>
              <w:t>Stratški cilj 1</w:t>
            </w:r>
          </w:p>
        </w:tc>
      </w:tr>
      <w:tr w:rsidR="00DB7D81" w:rsidRPr="000B4004" w:rsidTr="000B4004">
        <w:tc>
          <w:tcPr>
            <w:tcW w:w="2972" w:type="dxa"/>
            <w:gridSpan w:val="2"/>
            <w:shd w:val="clear" w:color="auto" w:fill="FBDBCD"/>
          </w:tcPr>
          <w:p w:rsidR="00DB7D81" w:rsidRPr="000B4004" w:rsidRDefault="00DB7D81" w:rsidP="00DB7D81">
            <w:pPr>
              <w:rPr>
                <w:rFonts w:ascii="Arial" w:hAnsi="Arial" w:cs="Arial"/>
                <w:sz w:val="20"/>
                <w:szCs w:val="20"/>
              </w:rPr>
            </w:pPr>
            <w:r w:rsidRPr="000B4004">
              <w:rPr>
                <w:rFonts w:ascii="Arial" w:hAnsi="Arial" w:cs="Arial"/>
                <w:bCs/>
                <w:sz w:val="20"/>
                <w:szCs w:val="20"/>
              </w:rPr>
              <w:t>Kontinuirani gubitak biodiverziteta i degradacija ekosistema, vrsta i genetske raznovrsnosti</w:t>
            </w:r>
            <w:r w:rsidR="0082016D">
              <w:rPr>
                <w:rFonts w:ascii="Arial" w:hAnsi="Arial" w:cs="Arial"/>
                <w:bCs/>
                <w:sz w:val="20"/>
                <w:szCs w:val="20"/>
              </w:rPr>
              <w:t>.</w:t>
            </w:r>
          </w:p>
        </w:tc>
        <w:tc>
          <w:tcPr>
            <w:tcW w:w="6089" w:type="dxa"/>
            <w:shd w:val="clear" w:color="auto" w:fill="E2EFD9" w:themeFill="accent6" w:themeFillTint="33"/>
          </w:tcPr>
          <w:p w:rsidR="00DB7D81" w:rsidRPr="000B4004" w:rsidRDefault="00DB7D81" w:rsidP="00DB7D81">
            <w:pPr>
              <w:rPr>
                <w:rFonts w:ascii="Arial" w:hAnsi="Arial" w:cs="Arial"/>
                <w:sz w:val="20"/>
                <w:szCs w:val="20"/>
              </w:rPr>
            </w:pPr>
            <w:r w:rsidRPr="000B4004">
              <w:rPr>
                <w:rFonts w:ascii="Arial" w:hAnsi="Arial" w:cs="Arial"/>
                <w:b/>
                <w:bCs/>
                <w:sz w:val="20"/>
                <w:szCs w:val="20"/>
              </w:rPr>
              <w:t>Do 2031. godine zaustavljen je gubitak biodiverziteta kroz smanjenje i kontrolu ključnih pritisaka, čuvanje i obnovu prioritetnih staništa i vrsta, restauraciju najmanje 20% degradiranih ekosistema i primjenu mjera ublažavanja i prilagođavanja klimatskim promjenama</w:t>
            </w:r>
            <w:r w:rsidR="0082016D">
              <w:rPr>
                <w:rFonts w:ascii="Arial" w:hAnsi="Arial" w:cs="Arial"/>
                <w:b/>
                <w:bCs/>
                <w:sz w:val="20"/>
                <w:szCs w:val="20"/>
              </w:rPr>
              <w:t>.</w:t>
            </w:r>
          </w:p>
        </w:tc>
      </w:tr>
      <w:tr w:rsidR="00DB7D81" w:rsidRPr="000B4004" w:rsidTr="000B4004">
        <w:tc>
          <w:tcPr>
            <w:tcW w:w="846" w:type="dxa"/>
            <w:shd w:val="clear" w:color="auto" w:fill="F2F2F2" w:themeFill="background1" w:themeFillShade="F2"/>
          </w:tcPr>
          <w:p w:rsidR="00DB7D81" w:rsidRPr="000B4004" w:rsidRDefault="00DB7D81" w:rsidP="00DB7D81">
            <w:pPr>
              <w:rPr>
                <w:rFonts w:ascii="Arial" w:hAnsi="Arial" w:cs="Arial"/>
                <w:b/>
                <w:sz w:val="20"/>
                <w:szCs w:val="20"/>
              </w:rPr>
            </w:pPr>
            <w:r w:rsidRPr="000B4004">
              <w:rPr>
                <w:rFonts w:ascii="Arial" w:hAnsi="Arial" w:cs="Arial"/>
                <w:b/>
                <w:sz w:val="20"/>
                <w:szCs w:val="20"/>
              </w:rPr>
              <w:t>OC 1.1</w:t>
            </w:r>
          </w:p>
        </w:tc>
        <w:tc>
          <w:tcPr>
            <w:tcW w:w="8215" w:type="dxa"/>
            <w:gridSpan w:val="2"/>
            <w:shd w:val="clear" w:color="auto" w:fill="F2F2F2" w:themeFill="background1" w:themeFillShade="F2"/>
          </w:tcPr>
          <w:p w:rsidR="00DB7D81" w:rsidRPr="00647D1B" w:rsidRDefault="00DB7D81" w:rsidP="00DB7D81">
            <w:pPr>
              <w:contextualSpacing/>
              <w:rPr>
                <w:rFonts w:ascii="Arial" w:eastAsia="Times New Roman" w:hAnsi="Arial" w:cs="Arial"/>
                <w:sz w:val="20"/>
                <w:szCs w:val="20"/>
              </w:rPr>
            </w:pPr>
            <w:r w:rsidRPr="00647D1B">
              <w:rPr>
                <w:rFonts w:ascii="Arial" w:eastAsia="Times New Roman" w:hAnsi="Arial" w:cs="Arial"/>
                <w:sz w:val="20"/>
                <w:szCs w:val="20"/>
              </w:rPr>
              <w:t xml:space="preserve">Do 2030. godine uspostavljen je funkcionalan sistem </w:t>
            </w:r>
            <w:r w:rsidRPr="00647D1B">
              <w:rPr>
                <w:rFonts w:ascii="Arial" w:eastAsia="Times New Roman" w:hAnsi="Arial" w:cs="Arial"/>
                <w:i/>
                <w:sz w:val="20"/>
                <w:szCs w:val="20"/>
              </w:rPr>
              <w:t>in situ</w:t>
            </w:r>
            <w:r w:rsidRPr="00647D1B">
              <w:rPr>
                <w:rFonts w:ascii="Arial" w:eastAsia="Times New Roman" w:hAnsi="Arial" w:cs="Arial"/>
                <w:sz w:val="20"/>
                <w:szCs w:val="20"/>
              </w:rPr>
              <w:t xml:space="preserve"> i </w:t>
            </w:r>
            <w:r w:rsidRPr="00647D1B">
              <w:rPr>
                <w:rFonts w:ascii="Arial" w:eastAsia="Times New Roman" w:hAnsi="Arial" w:cs="Arial"/>
                <w:i/>
                <w:sz w:val="20"/>
                <w:szCs w:val="20"/>
              </w:rPr>
              <w:t>ex situ</w:t>
            </w:r>
            <w:r w:rsidRPr="00647D1B">
              <w:rPr>
                <w:rFonts w:ascii="Arial" w:eastAsia="Times New Roman" w:hAnsi="Arial" w:cs="Arial"/>
                <w:sz w:val="20"/>
                <w:szCs w:val="20"/>
              </w:rPr>
              <w:t xml:space="preserve"> mjera očuvanja prioritetnih vrsta i staništa kroz mjere oporavka i dugoročnog praćenje stanja populacija</w:t>
            </w:r>
            <w:r w:rsidR="00E166B0" w:rsidRPr="00647D1B">
              <w:rPr>
                <w:rFonts w:ascii="Arial" w:eastAsia="Times New Roman" w:hAnsi="Arial" w:cs="Arial"/>
                <w:sz w:val="20"/>
                <w:szCs w:val="20"/>
              </w:rPr>
              <w:t xml:space="preserve"> (GBF: T4, doprinosi T21)</w:t>
            </w:r>
            <w:r w:rsidR="00647D1B" w:rsidRPr="00647D1B">
              <w:rPr>
                <w:rFonts w:ascii="Arial" w:eastAsia="Times New Roman" w:hAnsi="Arial" w:cs="Arial"/>
                <w:sz w:val="20"/>
                <w:szCs w:val="20"/>
              </w:rPr>
              <w:t>.</w:t>
            </w:r>
          </w:p>
        </w:tc>
      </w:tr>
      <w:tr w:rsidR="00DB7D81" w:rsidRPr="000B4004" w:rsidTr="000B4004">
        <w:tc>
          <w:tcPr>
            <w:tcW w:w="846" w:type="dxa"/>
            <w:shd w:val="clear" w:color="auto" w:fill="F2F2F2" w:themeFill="background1" w:themeFillShade="F2"/>
          </w:tcPr>
          <w:p w:rsidR="00DB7D81" w:rsidRPr="000B4004" w:rsidRDefault="00DB7D81" w:rsidP="00DB7D81">
            <w:pPr>
              <w:rPr>
                <w:rFonts w:ascii="Arial" w:hAnsi="Arial" w:cs="Arial"/>
                <w:b/>
                <w:sz w:val="20"/>
                <w:szCs w:val="20"/>
              </w:rPr>
            </w:pPr>
            <w:r w:rsidRPr="000B4004">
              <w:rPr>
                <w:rFonts w:ascii="Arial" w:hAnsi="Arial" w:cs="Arial"/>
                <w:b/>
                <w:sz w:val="20"/>
                <w:szCs w:val="20"/>
              </w:rPr>
              <w:t>OC 1.2</w:t>
            </w:r>
          </w:p>
        </w:tc>
        <w:tc>
          <w:tcPr>
            <w:tcW w:w="8215" w:type="dxa"/>
            <w:gridSpan w:val="2"/>
            <w:shd w:val="clear" w:color="auto" w:fill="F2F2F2" w:themeFill="background1" w:themeFillShade="F2"/>
          </w:tcPr>
          <w:p w:rsidR="00DB7D81" w:rsidRPr="00647D1B" w:rsidRDefault="00DB7D81" w:rsidP="00DB7D81">
            <w:pPr>
              <w:contextualSpacing/>
              <w:rPr>
                <w:rFonts w:ascii="Arial" w:eastAsia="Times New Roman" w:hAnsi="Arial" w:cs="Arial"/>
                <w:sz w:val="20"/>
                <w:szCs w:val="20"/>
              </w:rPr>
            </w:pPr>
            <w:r w:rsidRPr="00647D1B">
              <w:rPr>
                <w:rFonts w:ascii="Arial" w:eastAsia="Times New Roman" w:hAnsi="Arial" w:cs="Arial"/>
                <w:sz w:val="20"/>
                <w:szCs w:val="20"/>
              </w:rPr>
              <w:t xml:space="preserve">Do 2030. godine restaurirano je najmanje 20% degradiranih ekosistema, uključujući primjenu rješenja zasnovanih na prirodi </w:t>
            </w:r>
            <w:r w:rsidR="00E166B0" w:rsidRPr="00647D1B">
              <w:rPr>
                <w:rFonts w:ascii="Arial" w:eastAsia="Times New Roman" w:hAnsi="Arial" w:cs="Arial"/>
                <w:sz w:val="20"/>
                <w:szCs w:val="20"/>
              </w:rPr>
              <w:t>(GBF: T2, T1, T8, T11, T21)</w:t>
            </w:r>
            <w:r w:rsidR="00647D1B" w:rsidRPr="00647D1B">
              <w:rPr>
                <w:rFonts w:ascii="Arial" w:eastAsia="Times New Roman" w:hAnsi="Arial" w:cs="Arial"/>
                <w:sz w:val="20"/>
                <w:szCs w:val="20"/>
              </w:rPr>
              <w:t>.</w:t>
            </w:r>
          </w:p>
        </w:tc>
      </w:tr>
      <w:tr w:rsidR="00DB7D81" w:rsidRPr="000B4004" w:rsidTr="000B4004">
        <w:tc>
          <w:tcPr>
            <w:tcW w:w="846" w:type="dxa"/>
            <w:shd w:val="clear" w:color="auto" w:fill="F2F2F2" w:themeFill="background1" w:themeFillShade="F2"/>
          </w:tcPr>
          <w:p w:rsidR="00DB7D81" w:rsidRPr="000B4004" w:rsidRDefault="00DB7D81" w:rsidP="00DB7D81">
            <w:pPr>
              <w:rPr>
                <w:rFonts w:ascii="Arial" w:hAnsi="Arial" w:cs="Arial"/>
                <w:b/>
                <w:sz w:val="20"/>
                <w:szCs w:val="20"/>
              </w:rPr>
            </w:pPr>
            <w:r w:rsidRPr="000B4004">
              <w:rPr>
                <w:rFonts w:ascii="Arial" w:hAnsi="Arial" w:cs="Arial"/>
                <w:b/>
                <w:sz w:val="20"/>
                <w:szCs w:val="20"/>
              </w:rPr>
              <w:t>O.C1.3</w:t>
            </w:r>
          </w:p>
        </w:tc>
        <w:tc>
          <w:tcPr>
            <w:tcW w:w="8215" w:type="dxa"/>
            <w:gridSpan w:val="2"/>
            <w:shd w:val="clear" w:color="auto" w:fill="F2F2F2" w:themeFill="background1" w:themeFillShade="F2"/>
          </w:tcPr>
          <w:p w:rsidR="00DB7D81" w:rsidRPr="00647D1B" w:rsidRDefault="00396EC0" w:rsidP="00DB7D81">
            <w:pPr>
              <w:contextualSpacing/>
              <w:rPr>
                <w:rFonts w:ascii="Arial" w:eastAsia="Times New Roman" w:hAnsi="Arial" w:cs="Arial"/>
                <w:sz w:val="20"/>
                <w:szCs w:val="20"/>
              </w:rPr>
            </w:pPr>
            <w:r w:rsidRPr="00647D1B">
              <w:rPr>
                <w:rFonts w:ascii="Arial" w:eastAsia="Times New Roman" w:hAnsi="Arial" w:cs="Arial"/>
                <w:sz w:val="20"/>
                <w:szCs w:val="20"/>
              </w:rPr>
              <w:t>Do 2030. godine uspostavljeni su preduslovi za očuvanje genetičke raznovrsnosti i funkcionalan sistem pristupa genetičkim resursima i pravične raspodjele koristi (ABS), uz postepenu integraciju sa sektorima poljoprivrede, istraživanja i biotehnologije (GBF: T4, T13)</w:t>
            </w:r>
            <w:r w:rsidR="00647D1B" w:rsidRPr="00647D1B">
              <w:rPr>
                <w:rFonts w:ascii="Arial" w:eastAsia="Times New Roman" w:hAnsi="Arial" w:cs="Arial"/>
                <w:sz w:val="20"/>
                <w:szCs w:val="20"/>
              </w:rPr>
              <w:t>.</w:t>
            </w:r>
          </w:p>
        </w:tc>
      </w:tr>
      <w:tr w:rsidR="00DB7D81" w:rsidRPr="000B4004" w:rsidTr="000B4004">
        <w:tc>
          <w:tcPr>
            <w:tcW w:w="846" w:type="dxa"/>
            <w:shd w:val="clear" w:color="auto" w:fill="F2F2F2" w:themeFill="background1" w:themeFillShade="F2"/>
          </w:tcPr>
          <w:p w:rsidR="00DB7D81" w:rsidRPr="000B4004" w:rsidRDefault="00DB7D81" w:rsidP="00DB7D81">
            <w:pPr>
              <w:rPr>
                <w:rFonts w:ascii="Arial" w:hAnsi="Arial" w:cs="Arial"/>
                <w:b/>
                <w:sz w:val="20"/>
                <w:szCs w:val="20"/>
              </w:rPr>
            </w:pPr>
            <w:r w:rsidRPr="000B4004">
              <w:rPr>
                <w:rFonts w:ascii="Arial" w:hAnsi="Arial" w:cs="Arial"/>
                <w:b/>
                <w:sz w:val="20"/>
                <w:szCs w:val="20"/>
              </w:rPr>
              <w:t>OC 1.4</w:t>
            </w:r>
          </w:p>
        </w:tc>
        <w:tc>
          <w:tcPr>
            <w:tcW w:w="8215" w:type="dxa"/>
            <w:gridSpan w:val="2"/>
            <w:shd w:val="clear" w:color="auto" w:fill="F2F2F2" w:themeFill="background1" w:themeFillShade="F2"/>
          </w:tcPr>
          <w:p w:rsidR="00DB7D81" w:rsidRPr="00647D1B" w:rsidRDefault="00895703" w:rsidP="00DB7D81">
            <w:pPr>
              <w:contextualSpacing/>
              <w:rPr>
                <w:rFonts w:ascii="Arial" w:eastAsia="Times New Roman" w:hAnsi="Arial" w:cs="Arial"/>
                <w:sz w:val="20"/>
                <w:szCs w:val="20"/>
              </w:rPr>
            </w:pPr>
            <w:r w:rsidRPr="00647D1B">
              <w:rPr>
                <w:rFonts w:ascii="Arial" w:eastAsia="Times New Roman" w:hAnsi="Arial" w:cs="Arial"/>
                <w:sz w:val="20"/>
                <w:szCs w:val="20"/>
              </w:rPr>
              <w:t>Do 2030. godine uspostavljen je funkcionalan sistem za upravljanje direktnim pritiscima na biodiverzitet, uključujući invazivne vrste, zagađenje i neplanski razvoj prostora (GBF: T6, T7, T1; doprinos: T8)</w:t>
            </w:r>
            <w:r w:rsidR="00647D1B" w:rsidRPr="00647D1B">
              <w:rPr>
                <w:rFonts w:ascii="Arial" w:eastAsia="Times New Roman" w:hAnsi="Arial" w:cs="Arial"/>
                <w:sz w:val="20"/>
                <w:szCs w:val="20"/>
              </w:rPr>
              <w:t>.</w:t>
            </w:r>
          </w:p>
        </w:tc>
      </w:tr>
      <w:tr w:rsidR="00DB7D81" w:rsidRPr="000B4004" w:rsidTr="000B4004">
        <w:tc>
          <w:tcPr>
            <w:tcW w:w="846" w:type="dxa"/>
            <w:shd w:val="clear" w:color="auto" w:fill="F2F2F2" w:themeFill="background1" w:themeFillShade="F2"/>
          </w:tcPr>
          <w:p w:rsidR="00DB7D81" w:rsidRPr="000B4004" w:rsidRDefault="00DB7D81" w:rsidP="00DB7D81">
            <w:pPr>
              <w:rPr>
                <w:rFonts w:ascii="Arial" w:hAnsi="Arial" w:cs="Arial"/>
                <w:b/>
                <w:sz w:val="20"/>
                <w:szCs w:val="20"/>
              </w:rPr>
            </w:pPr>
            <w:r w:rsidRPr="000B4004">
              <w:rPr>
                <w:rFonts w:ascii="Arial" w:hAnsi="Arial" w:cs="Arial"/>
                <w:b/>
                <w:sz w:val="20"/>
                <w:szCs w:val="20"/>
              </w:rPr>
              <w:t>OC 1.5</w:t>
            </w:r>
          </w:p>
        </w:tc>
        <w:tc>
          <w:tcPr>
            <w:tcW w:w="8215" w:type="dxa"/>
            <w:gridSpan w:val="2"/>
            <w:shd w:val="clear" w:color="auto" w:fill="F2F2F2" w:themeFill="background1" w:themeFillShade="F2"/>
          </w:tcPr>
          <w:p w:rsidR="00DB7D81" w:rsidRPr="00647D1B" w:rsidRDefault="00895703" w:rsidP="00DB7D81">
            <w:pPr>
              <w:rPr>
                <w:rFonts w:ascii="Arial" w:hAnsi="Arial" w:cs="Arial"/>
                <w:sz w:val="20"/>
                <w:szCs w:val="20"/>
              </w:rPr>
            </w:pPr>
            <w:r w:rsidRPr="00647D1B">
              <w:rPr>
                <w:rFonts w:ascii="Arial" w:eastAsia="Times New Roman" w:hAnsi="Arial" w:cs="Arial"/>
                <w:sz w:val="20"/>
                <w:szCs w:val="20"/>
              </w:rPr>
              <w:t>Do 2030. godine integrisati mjere ublažavanja uticaja klimatskih promjena na ekosisteme u planove upravljanja, restauracije, prostorno planiranje i sektorske politike (GBF: T8, T21; doprinosi: T11)</w:t>
            </w:r>
            <w:r w:rsidR="00647D1B" w:rsidRPr="00647D1B">
              <w:rPr>
                <w:rFonts w:ascii="Arial" w:eastAsia="Times New Roman" w:hAnsi="Arial" w:cs="Arial"/>
                <w:sz w:val="20"/>
                <w:szCs w:val="20"/>
              </w:rPr>
              <w:t>.</w:t>
            </w:r>
          </w:p>
        </w:tc>
      </w:tr>
    </w:tbl>
    <w:p w:rsidR="00DB7D81" w:rsidRPr="000B4004" w:rsidRDefault="00DB7D81" w:rsidP="00DB7D81">
      <w:pPr>
        <w:rPr>
          <w:rFonts w:ascii="Arial" w:hAnsi="Arial" w:cs="Arial"/>
          <w:sz w:val="20"/>
          <w:szCs w:val="20"/>
        </w:rPr>
      </w:pPr>
    </w:p>
    <w:p w:rsidR="00DB7D81" w:rsidRDefault="00DB7D81" w:rsidP="00AF7953">
      <w:pPr>
        <w:spacing w:after="0" w:line="240" w:lineRule="auto"/>
        <w:contextualSpacing/>
        <w:jc w:val="both"/>
        <w:rPr>
          <w:rFonts w:ascii="Arial" w:eastAsia="Times New Roman" w:hAnsi="Arial" w:cs="Arial"/>
        </w:rPr>
      </w:pPr>
      <w:r w:rsidRPr="00DB7D81">
        <w:rPr>
          <w:rFonts w:ascii="Arial" w:eastAsia="Times New Roman" w:hAnsi="Arial" w:cs="Arial"/>
        </w:rPr>
        <w:t>Ovaj strateški cilj usmjeren je na rješavanje neposrednih uzroka gubitka biodiverziteta kroz kombinaciju mjera očuvanja, restauracije i upravljanja pritiscima. Njegova realizacija podrazumijeva jačanje sistema zaštite vrsta i staništa, kontrolu invazivnih vrsta, smanjenje zagađenja i integraciju mjera</w:t>
      </w:r>
      <w:r w:rsidR="000B4004">
        <w:rPr>
          <w:rFonts w:ascii="Arial" w:eastAsia="Times New Roman" w:hAnsi="Arial" w:cs="Arial"/>
        </w:rPr>
        <w:t xml:space="preserve"> prilagođavanja i ublažavanja na klimatske promijene</w:t>
      </w:r>
      <w:r w:rsidRPr="00DB7D81">
        <w:rPr>
          <w:rFonts w:ascii="Arial" w:eastAsia="Times New Roman" w:hAnsi="Arial" w:cs="Arial"/>
        </w:rPr>
        <w:t xml:space="preserve"> u upravljanje ekosistemima. Poseban fokus stavlja se na obnovu degradiranih </w:t>
      </w:r>
      <w:r w:rsidR="000B4004">
        <w:rPr>
          <w:rFonts w:ascii="Arial" w:eastAsia="Times New Roman" w:hAnsi="Arial" w:cs="Arial"/>
        </w:rPr>
        <w:t>ekosistema.</w:t>
      </w:r>
    </w:p>
    <w:p w:rsidR="00DB7D81" w:rsidRPr="00DB7D81" w:rsidRDefault="00DB7D81" w:rsidP="00AF7953">
      <w:pPr>
        <w:spacing w:after="0" w:line="240" w:lineRule="auto"/>
        <w:ind w:left="380"/>
        <w:contextualSpacing/>
        <w:jc w:val="both"/>
        <w:rPr>
          <w:rFonts w:ascii="Arial" w:eastAsia="Times New Roman" w:hAnsi="Arial" w:cs="Arial"/>
        </w:rPr>
      </w:pPr>
    </w:p>
    <w:p w:rsidR="00DA18AE" w:rsidRDefault="000B4004" w:rsidP="00AF7953">
      <w:pPr>
        <w:spacing w:after="0" w:line="240" w:lineRule="auto"/>
        <w:jc w:val="both"/>
        <w:rPr>
          <w:rFonts w:ascii="Arial" w:eastAsia="Times New Roman" w:hAnsi="Arial" w:cs="Arial"/>
          <w:b/>
          <w:bCs/>
          <w:i/>
        </w:rPr>
      </w:pPr>
      <w:r>
        <w:rPr>
          <w:rFonts w:ascii="Arial" w:eastAsia="Times New Roman" w:hAnsi="Arial" w:cs="Arial"/>
          <w:b/>
          <w:bCs/>
        </w:rPr>
        <w:t xml:space="preserve">OC 1.1 </w:t>
      </w:r>
      <w:r w:rsidR="00DA18AE" w:rsidRPr="00DA18AE">
        <w:rPr>
          <w:rFonts w:ascii="Arial" w:eastAsia="Times New Roman" w:hAnsi="Arial" w:cs="Arial"/>
          <w:b/>
          <w:bCs/>
          <w:i/>
        </w:rPr>
        <w:t xml:space="preserve">Do 2030. godine uspostavljen je funkcionalan sistem in situ i ex situ mjera očuvanja prioritetnih vrsta i staništa kroz mjere oporavka i dugoročnog praćenje stanja populacija (GBF: T4, doprinosi T21) </w:t>
      </w:r>
    </w:p>
    <w:p w:rsidR="00AF7953" w:rsidRDefault="00AF7953" w:rsidP="00AF7953">
      <w:pPr>
        <w:spacing w:after="0" w:line="240" w:lineRule="auto"/>
        <w:jc w:val="both"/>
        <w:rPr>
          <w:rFonts w:ascii="Arial" w:eastAsia="Times New Roman" w:hAnsi="Arial" w:cs="Arial"/>
          <w:b/>
          <w:bCs/>
          <w:i/>
        </w:rPr>
      </w:pPr>
    </w:p>
    <w:p w:rsidR="000B4004" w:rsidRDefault="000B4004" w:rsidP="00AF7953">
      <w:pPr>
        <w:spacing w:after="0" w:line="240" w:lineRule="auto"/>
        <w:jc w:val="both"/>
        <w:rPr>
          <w:rFonts w:ascii="Arial" w:eastAsia="Times New Roman" w:hAnsi="Arial" w:cs="Arial"/>
        </w:rPr>
      </w:pPr>
      <w:r w:rsidRPr="000B4004">
        <w:rPr>
          <w:rFonts w:ascii="Arial" w:eastAsia="Times New Roman" w:hAnsi="Arial" w:cs="Arial"/>
        </w:rPr>
        <w:t xml:space="preserve">Ovaj operativni cilj uspostavlja integrisani sistem očuvanja biodiverziteta koji kombinuje </w:t>
      </w:r>
      <w:r w:rsidRPr="000B4004">
        <w:rPr>
          <w:rFonts w:ascii="Arial" w:eastAsia="Times New Roman" w:hAnsi="Arial" w:cs="Arial"/>
          <w:i/>
        </w:rPr>
        <w:t>in situ</w:t>
      </w:r>
      <w:r w:rsidRPr="000B4004">
        <w:rPr>
          <w:rFonts w:ascii="Arial" w:eastAsia="Times New Roman" w:hAnsi="Arial" w:cs="Arial"/>
        </w:rPr>
        <w:t xml:space="preserve"> i </w:t>
      </w:r>
      <w:r w:rsidRPr="000B4004">
        <w:rPr>
          <w:rFonts w:ascii="Arial" w:eastAsia="Times New Roman" w:hAnsi="Arial" w:cs="Arial"/>
          <w:i/>
        </w:rPr>
        <w:t>ex situ</w:t>
      </w:r>
      <w:r w:rsidRPr="000B4004">
        <w:rPr>
          <w:rFonts w:ascii="Arial" w:eastAsia="Times New Roman" w:hAnsi="Arial" w:cs="Arial"/>
        </w:rPr>
        <w:t xml:space="preserve"> pristupe, kao komplementarne mehanizme zaštite prioritetnih vrsta i staništa. Kombinovanom primjenom </w:t>
      </w:r>
      <w:r w:rsidRPr="000B4004">
        <w:rPr>
          <w:rFonts w:ascii="Arial" w:eastAsia="Times New Roman" w:hAnsi="Arial" w:cs="Arial"/>
          <w:i/>
        </w:rPr>
        <w:t>in situ</w:t>
      </w:r>
      <w:r w:rsidRPr="000B4004">
        <w:rPr>
          <w:rFonts w:ascii="Arial" w:eastAsia="Times New Roman" w:hAnsi="Arial" w:cs="Arial"/>
        </w:rPr>
        <w:t xml:space="preserve"> i </w:t>
      </w:r>
      <w:r w:rsidRPr="000B4004">
        <w:rPr>
          <w:rFonts w:ascii="Arial" w:eastAsia="Times New Roman" w:hAnsi="Arial" w:cs="Arial"/>
          <w:i/>
        </w:rPr>
        <w:t>ex situ</w:t>
      </w:r>
      <w:r w:rsidRPr="000B4004">
        <w:rPr>
          <w:rFonts w:ascii="Arial" w:eastAsia="Times New Roman" w:hAnsi="Arial" w:cs="Arial"/>
        </w:rPr>
        <w:t xml:space="preserve"> mjera</w:t>
      </w:r>
      <w:r>
        <w:rPr>
          <w:rFonts w:ascii="Arial" w:eastAsia="Times New Roman" w:hAnsi="Arial" w:cs="Arial"/>
        </w:rPr>
        <w:t xml:space="preserve"> i aktivnosti</w:t>
      </w:r>
      <w:r w:rsidRPr="000B4004">
        <w:rPr>
          <w:rFonts w:ascii="Arial" w:eastAsia="Times New Roman" w:hAnsi="Arial" w:cs="Arial"/>
        </w:rPr>
        <w:t xml:space="preserve"> uspostavlja se funkcionalan, dugoročno održiv sistem očuvanja vrsta i staništa, zasnovan na naučnim podacima i kontinuiranom praćenju, čime se smanjuje rizik od nestanka prioritetnih vrsta i osigurava stabilnost ekosistema</w:t>
      </w:r>
      <w:r w:rsidR="00647D1B">
        <w:rPr>
          <w:rFonts w:ascii="Arial" w:eastAsia="Times New Roman" w:hAnsi="Arial" w:cs="Arial"/>
        </w:rPr>
        <w:t>.</w:t>
      </w:r>
      <w:r w:rsidR="0094417E">
        <w:rPr>
          <w:rFonts w:ascii="Arial" w:eastAsia="Times New Roman" w:hAnsi="Arial" w:cs="Arial"/>
        </w:rPr>
        <w:t xml:space="preserve"> </w:t>
      </w:r>
      <w:r w:rsidR="007B3F54">
        <w:rPr>
          <w:rFonts w:ascii="Arial" w:eastAsia="Times New Roman" w:hAnsi="Arial" w:cs="Arial"/>
        </w:rPr>
        <w:t>K</w:t>
      </w:r>
      <w:r w:rsidR="0094417E">
        <w:rPr>
          <w:rFonts w:ascii="Arial" w:eastAsia="Times New Roman" w:hAnsi="Arial" w:cs="Arial"/>
        </w:rPr>
        <w:t xml:space="preserve">roz ovaj </w:t>
      </w:r>
      <w:r w:rsidR="007B3F54">
        <w:rPr>
          <w:rFonts w:ascii="Arial" w:eastAsia="Times New Roman" w:hAnsi="Arial" w:cs="Arial"/>
        </w:rPr>
        <w:t>o</w:t>
      </w:r>
      <w:r w:rsidR="0094417E">
        <w:rPr>
          <w:rFonts w:ascii="Arial" w:eastAsia="Times New Roman" w:hAnsi="Arial" w:cs="Arial"/>
        </w:rPr>
        <w:t xml:space="preserve">perativni cilj unaprijeđuje se zakonodavni okvir i reviduje </w:t>
      </w:r>
      <w:r w:rsidR="007B3F54">
        <w:rPr>
          <w:rFonts w:ascii="Arial" w:eastAsia="Times New Roman" w:hAnsi="Arial" w:cs="Arial"/>
        </w:rPr>
        <w:t xml:space="preserve">nacionalna </w:t>
      </w:r>
      <w:r w:rsidR="0094417E">
        <w:rPr>
          <w:rFonts w:ascii="Arial" w:eastAsia="Times New Roman" w:hAnsi="Arial" w:cs="Arial"/>
        </w:rPr>
        <w:t>lista zaštićenih vrsta.</w:t>
      </w:r>
    </w:p>
    <w:p w:rsidR="00AF7953" w:rsidRPr="00DB7D81" w:rsidRDefault="00AF7953" w:rsidP="00AF7953">
      <w:pPr>
        <w:spacing w:after="0" w:line="240" w:lineRule="auto"/>
        <w:jc w:val="both"/>
        <w:rPr>
          <w:rFonts w:ascii="Arial" w:eastAsia="Times New Roman" w:hAnsi="Arial" w:cs="Arial"/>
        </w:rPr>
      </w:pPr>
    </w:p>
    <w:p w:rsidR="00DB7D81" w:rsidRPr="000B4004" w:rsidRDefault="000B4004" w:rsidP="00AF7953">
      <w:pPr>
        <w:spacing w:after="0" w:line="240" w:lineRule="auto"/>
        <w:jc w:val="both"/>
        <w:rPr>
          <w:rFonts w:ascii="Arial" w:eastAsia="Times New Roman" w:hAnsi="Arial" w:cs="Arial"/>
          <w:b/>
          <w:bCs/>
          <w:i/>
        </w:rPr>
      </w:pPr>
      <w:r>
        <w:rPr>
          <w:rFonts w:ascii="Arial" w:eastAsia="Times New Roman" w:hAnsi="Arial" w:cs="Arial"/>
          <w:b/>
          <w:bCs/>
        </w:rPr>
        <w:lastRenderedPageBreak/>
        <w:t xml:space="preserve">OC 1.2 </w:t>
      </w:r>
      <w:r w:rsidR="00DB7D81" w:rsidRPr="000B4004">
        <w:rPr>
          <w:rFonts w:ascii="Arial" w:eastAsia="Times New Roman" w:hAnsi="Arial" w:cs="Arial"/>
          <w:b/>
          <w:bCs/>
          <w:i/>
        </w:rPr>
        <w:t>Do 2030. godine restaurirano je najmanje 20% degradiranih ekosistema, uključujući primjenu rješenja zasnovanih na prirodi (GBF T2, T11, T6, T4 i T21)</w:t>
      </w:r>
    </w:p>
    <w:p w:rsidR="00DB7D81" w:rsidRDefault="007B3F54" w:rsidP="00AF7953">
      <w:pPr>
        <w:spacing w:after="0" w:line="240" w:lineRule="auto"/>
        <w:contextualSpacing/>
        <w:jc w:val="both"/>
        <w:rPr>
          <w:rFonts w:ascii="Arial" w:eastAsia="Times New Roman" w:hAnsi="Arial" w:cs="Arial"/>
        </w:rPr>
      </w:pPr>
      <w:r>
        <w:rPr>
          <w:rFonts w:ascii="Arial" w:eastAsia="Times New Roman" w:hAnsi="Arial" w:cs="Arial"/>
        </w:rPr>
        <w:t>Ovaj operativni cilj o</w:t>
      </w:r>
      <w:r w:rsidR="00DB7D81" w:rsidRPr="00DB7D81">
        <w:rPr>
          <w:rFonts w:ascii="Arial" w:eastAsia="Times New Roman" w:hAnsi="Arial" w:cs="Arial"/>
        </w:rPr>
        <w:t xml:space="preserve">dnosi </w:t>
      </w:r>
      <w:r w:rsidR="000B4004">
        <w:rPr>
          <w:rFonts w:ascii="Arial" w:eastAsia="Times New Roman" w:hAnsi="Arial" w:cs="Arial"/>
        </w:rPr>
        <w:t xml:space="preserve">se </w:t>
      </w:r>
      <w:r w:rsidR="00DB7D81" w:rsidRPr="00DB7D81">
        <w:rPr>
          <w:rFonts w:ascii="Arial" w:eastAsia="Times New Roman" w:hAnsi="Arial" w:cs="Arial"/>
        </w:rPr>
        <w:t>na sistemsku identifikaciju i obnovu degradiranih šumskih, riječnih, močvarnih, obalnih i morskih ekosistema. Aktivnosti uključuju izradu nacionalnog programa restauracije, uklanjanje uzroka degradacije, primjenu rješenja zasnovanih na prirodi</w:t>
      </w:r>
      <w:r w:rsidR="000B4004">
        <w:rPr>
          <w:rFonts w:ascii="Arial" w:eastAsia="Times New Roman" w:hAnsi="Arial" w:cs="Arial"/>
        </w:rPr>
        <w:t xml:space="preserve"> (NbS)</w:t>
      </w:r>
      <w:r w:rsidR="00DB7D81" w:rsidRPr="00DB7D81">
        <w:rPr>
          <w:rFonts w:ascii="Arial" w:eastAsia="Times New Roman" w:hAnsi="Arial" w:cs="Arial"/>
        </w:rPr>
        <w:t xml:space="preserve"> i integraciju restauracije.</w:t>
      </w:r>
    </w:p>
    <w:p w:rsidR="000B4004" w:rsidRPr="00DB7D81" w:rsidRDefault="000B4004" w:rsidP="00AF7953">
      <w:pPr>
        <w:spacing w:after="0" w:line="240" w:lineRule="auto"/>
        <w:ind w:left="380"/>
        <w:contextualSpacing/>
        <w:jc w:val="both"/>
        <w:rPr>
          <w:rFonts w:ascii="Arial" w:eastAsia="Times New Roman" w:hAnsi="Arial" w:cs="Arial"/>
        </w:rPr>
      </w:pPr>
    </w:p>
    <w:p w:rsidR="00DA18AE" w:rsidRDefault="000B4004" w:rsidP="00AF7953">
      <w:pPr>
        <w:spacing w:after="0" w:line="240" w:lineRule="auto"/>
        <w:jc w:val="both"/>
        <w:rPr>
          <w:rFonts w:ascii="Arial" w:eastAsia="Times New Roman" w:hAnsi="Arial" w:cs="Arial"/>
          <w:b/>
          <w:bCs/>
          <w:i/>
        </w:rPr>
      </w:pPr>
      <w:r>
        <w:rPr>
          <w:rFonts w:ascii="Arial" w:eastAsia="Times New Roman" w:hAnsi="Arial" w:cs="Arial"/>
          <w:b/>
          <w:bCs/>
        </w:rPr>
        <w:t xml:space="preserve">OC 1.3 </w:t>
      </w:r>
      <w:r w:rsidR="00DA18AE" w:rsidRPr="00DA18AE">
        <w:rPr>
          <w:rFonts w:ascii="Arial" w:eastAsia="Times New Roman" w:hAnsi="Arial" w:cs="Arial"/>
          <w:b/>
          <w:bCs/>
          <w:i/>
        </w:rPr>
        <w:t>Do 2030. godine uspostavljeni su preduslovi za očuvanje genetičke raznovrsnosti i funkcionalan sistem pristupa genetičkim resursima i pravične raspodjele koristi (ABS), uz postepenu integraciju sa sektorima poljoprivrede, istraživanja i biotehnologije (GBF: T4, T13)</w:t>
      </w:r>
    </w:p>
    <w:p w:rsidR="00AF7953" w:rsidRDefault="00AF7953" w:rsidP="00AF7953">
      <w:pPr>
        <w:spacing w:after="0" w:line="240" w:lineRule="auto"/>
        <w:jc w:val="both"/>
        <w:rPr>
          <w:rFonts w:ascii="Arial" w:eastAsia="Times New Roman" w:hAnsi="Arial" w:cs="Arial"/>
          <w:b/>
          <w:bCs/>
          <w:i/>
        </w:rPr>
      </w:pPr>
    </w:p>
    <w:p w:rsidR="00DB7D81" w:rsidRDefault="000B4004" w:rsidP="00AF7953">
      <w:pPr>
        <w:spacing w:after="0" w:line="240" w:lineRule="auto"/>
        <w:jc w:val="both"/>
        <w:rPr>
          <w:rFonts w:ascii="Arial" w:eastAsia="Times New Roman" w:hAnsi="Arial" w:cs="Arial"/>
        </w:rPr>
      </w:pPr>
      <w:r>
        <w:rPr>
          <w:rFonts w:ascii="Arial" w:eastAsia="Times New Roman" w:hAnsi="Arial" w:cs="Arial"/>
        </w:rPr>
        <w:t>P</w:t>
      </w:r>
      <w:r w:rsidR="00DB7D81" w:rsidRPr="00DB7D81">
        <w:rPr>
          <w:rFonts w:ascii="Arial" w:eastAsia="Times New Roman" w:hAnsi="Arial" w:cs="Arial"/>
        </w:rPr>
        <w:t>odrazumijeva uspostavljanje operativnog pravnog i institucionalnog sistema za pristup genetičkim resursima i pravičnu raspodjelu koristi, kao i očuvanje genetičke raznovrsnosti divljih i domestikovanih vrsta. Aktivnosti uključuju razvoj ABS procedura, jačanje sektorske koordinacije i uspostavljanje evidencija genetičkih resursa.</w:t>
      </w:r>
    </w:p>
    <w:p w:rsidR="000B4004" w:rsidRPr="00DB7D81" w:rsidRDefault="000B4004" w:rsidP="00AF7953">
      <w:pPr>
        <w:spacing w:after="0" w:line="240" w:lineRule="auto"/>
        <w:ind w:left="380"/>
        <w:contextualSpacing/>
        <w:jc w:val="both"/>
        <w:rPr>
          <w:rFonts w:ascii="Arial" w:eastAsia="Times New Roman" w:hAnsi="Arial" w:cs="Arial"/>
        </w:rPr>
      </w:pPr>
    </w:p>
    <w:p w:rsidR="00DB7D81" w:rsidRDefault="000B4004" w:rsidP="00AF7953">
      <w:pPr>
        <w:spacing w:after="0" w:line="240" w:lineRule="auto"/>
        <w:jc w:val="both"/>
        <w:rPr>
          <w:rFonts w:ascii="Arial" w:eastAsia="Times New Roman" w:hAnsi="Arial" w:cs="Arial"/>
          <w:b/>
          <w:bCs/>
          <w:i/>
        </w:rPr>
      </w:pPr>
      <w:r>
        <w:rPr>
          <w:rFonts w:ascii="Arial" w:eastAsia="Times New Roman" w:hAnsi="Arial" w:cs="Arial"/>
          <w:b/>
          <w:bCs/>
        </w:rPr>
        <w:t xml:space="preserve">OC 1.4 </w:t>
      </w:r>
      <w:r w:rsidR="00647D1B" w:rsidRPr="00647D1B">
        <w:rPr>
          <w:rFonts w:ascii="Arial" w:eastAsia="Times New Roman" w:hAnsi="Arial" w:cs="Arial"/>
          <w:b/>
          <w:bCs/>
          <w:i/>
        </w:rPr>
        <w:t>Do 2030. godine uspostavljen je funkcionalan sistem za upravljanje direktnim pritiscima na biodiverzitet, uključujući invazivne vrste, zagađenje i neplanski razvoj prostora (GBF: T6, T7, T1; doprinos: T8)</w:t>
      </w:r>
    </w:p>
    <w:p w:rsidR="00AF7953" w:rsidRPr="000B4004" w:rsidRDefault="00AF7953" w:rsidP="00AF7953">
      <w:pPr>
        <w:spacing w:after="0" w:line="240" w:lineRule="auto"/>
        <w:jc w:val="both"/>
        <w:rPr>
          <w:rFonts w:ascii="Arial" w:eastAsia="Times New Roman" w:hAnsi="Arial" w:cs="Arial"/>
          <w:b/>
          <w:bCs/>
        </w:rPr>
      </w:pPr>
    </w:p>
    <w:p w:rsidR="00DB7D81" w:rsidRDefault="000B4004" w:rsidP="00AF7953">
      <w:pPr>
        <w:spacing w:after="0" w:line="240" w:lineRule="auto"/>
        <w:contextualSpacing/>
        <w:jc w:val="both"/>
        <w:rPr>
          <w:rFonts w:ascii="Arial" w:eastAsia="Times New Roman" w:hAnsi="Arial" w:cs="Arial"/>
        </w:rPr>
      </w:pPr>
      <w:r w:rsidRPr="000B4004">
        <w:rPr>
          <w:rFonts w:ascii="Arial" w:eastAsia="Times New Roman" w:hAnsi="Arial" w:cs="Arial"/>
          <w:bCs/>
          <w:lang w:val="nl"/>
        </w:rPr>
        <w:t>O</w:t>
      </w:r>
      <w:r w:rsidR="00DB7D81" w:rsidRPr="00DB7D81">
        <w:rPr>
          <w:rFonts w:ascii="Arial" w:eastAsia="Times New Roman" w:hAnsi="Arial" w:cs="Arial"/>
        </w:rPr>
        <w:t>dnosi</w:t>
      </w:r>
      <w:r>
        <w:rPr>
          <w:rFonts w:ascii="Arial" w:eastAsia="Times New Roman" w:hAnsi="Arial" w:cs="Arial"/>
        </w:rPr>
        <w:t xml:space="preserve"> se</w:t>
      </w:r>
      <w:r w:rsidR="00DB7D81" w:rsidRPr="00DB7D81">
        <w:rPr>
          <w:rFonts w:ascii="Arial" w:eastAsia="Times New Roman" w:hAnsi="Arial" w:cs="Arial"/>
        </w:rPr>
        <w:t xml:space="preserve"> na uspostavljanje sistema prevencije, ranog upozoravanja i kontrole invazivnih</w:t>
      </w:r>
      <w:r w:rsidR="0052366E">
        <w:rPr>
          <w:rFonts w:ascii="Arial" w:eastAsia="Times New Roman" w:hAnsi="Arial" w:cs="Arial"/>
        </w:rPr>
        <w:t xml:space="preserve"> stranih </w:t>
      </w:r>
      <w:r w:rsidR="00DB7D81" w:rsidRPr="00DB7D81">
        <w:rPr>
          <w:rFonts w:ascii="Arial" w:eastAsia="Times New Roman" w:hAnsi="Arial" w:cs="Arial"/>
        </w:rPr>
        <w:t>vrsta, kao i jačanje integracije biodiverziteta u prostorno planiranje i procese procjene uticaja</w:t>
      </w:r>
      <w:r w:rsidR="00882CF8">
        <w:rPr>
          <w:rFonts w:ascii="Arial" w:eastAsia="Times New Roman" w:hAnsi="Arial" w:cs="Arial"/>
        </w:rPr>
        <w:t xml:space="preserve"> zagađenja</w:t>
      </w:r>
      <w:r w:rsidR="00DB7D81" w:rsidRPr="00DB7D81">
        <w:rPr>
          <w:rFonts w:ascii="Arial" w:eastAsia="Times New Roman" w:hAnsi="Arial" w:cs="Arial"/>
        </w:rPr>
        <w:t>. Aktivnosti uključuju izradu nacionalne liste prioritetnih invazivnih vrsta, razvoj protokola kontrole i jačanje primjene SEA/EIA mehanizama.</w:t>
      </w:r>
    </w:p>
    <w:p w:rsidR="000B4004" w:rsidRPr="00DB7D81" w:rsidRDefault="000B4004" w:rsidP="00AF7953">
      <w:pPr>
        <w:spacing w:after="0" w:line="240" w:lineRule="auto"/>
        <w:ind w:left="380"/>
        <w:contextualSpacing/>
        <w:jc w:val="both"/>
        <w:rPr>
          <w:rFonts w:ascii="Arial" w:eastAsia="Times New Roman" w:hAnsi="Arial" w:cs="Arial"/>
        </w:rPr>
      </w:pPr>
    </w:p>
    <w:p w:rsidR="00647D1B" w:rsidRDefault="000B4004" w:rsidP="00AF7953">
      <w:pPr>
        <w:spacing w:after="0" w:line="240" w:lineRule="auto"/>
        <w:jc w:val="both"/>
        <w:rPr>
          <w:rFonts w:ascii="Arial" w:eastAsia="Times New Roman" w:hAnsi="Arial" w:cs="Arial"/>
          <w:b/>
          <w:bCs/>
          <w:i/>
        </w:rPr>
      </w:pPr>
      <w:r>
        <w:rPr>
          <w:rFonts w:ascii="Arial" w:eastAsia="Times New Roman" w:hAnsi="Arial" w:cs="Arial"/>
          <w:b/>
          <w:bCs/>
        </w:rPr>
        <w:t xml:space="preserve">OC 1.5 </w:t>
      </w:r>
      <w:r w:rsidR="00647D1B" w:rsidRPr="00647D1B">
        <w:rPr>
          <w:rFonts w:ascii="Arial" w:eastAsia="Times New Roman" w:hAnsi="Arial" w:cs="Arial"/>
          <w:b/>
          <w:bCs/>
          <w:i/>
        </w:rPr>
        <w:t>Do 2030. godine integrisati mjere ublažavanja uticaja klimatskih promjena na ekosisteme u planove upravljanja, restauracije, prostorno planiranje i sektorske politike (GBF: T8, T21; doprinosi: T11)</w:t>
      </w:r>
    </w:p>
    <w:p w:rsidR="00AF7953" w:rsidRDefault="00AF7953" w:rsidP="00AF7953">
      <w:pPr>
        <w:spacing w:after="0" w:line="240" w:lineRule="auto"/>
        <w:jc w:val="both"/>
        <w:rPr>
          <w:rFonts w:ascii="Arial" w:eastAsia="Times New Roman" w:hAnsi="Arial" w:cs="Arial"/>
          <w:b/>
          <w:bCs/>
          <w:i/>
        </w:rPr>
      </w:pPr>
    </w:p>
    <w:p w:rsidR="00F71BA6" w:rsidRDefault="00DB7D81" w:rsidP="00B86241">
      <w:pPr>
        <w:spacing w:after="0" w:line="240" w:lineRule="auto"/>
        <w:jc w:val="both"/>
        <w:rPr>
          <w:rFonts w:ascii="Arial" w:eastAsia="Times New Roman" w:hAnsi="Arial" w:cs="Arial"/>
        </w:rPr>
      </w:pPr>
      <w:r w:rsidRPr="00DB7D81">
        <w:rPr>
          <w:rFonts w:ascii="Arial" w:eastAsia="Times New Roman" w:hAnsi="Arial" w:cs="Arial"/>
        </w:rPr>
        <w:t xml:space="preserve">Ovaj cilj povezuje klimatske i biodiverzitetske politike kroz integraciju mjera </w:t>
      </w:r>
      <w:r w:rsidR="00F71BA6">
        <w:rPr>
          <w:rFonts w:ascii="Arial" w:eastAsia="Times New Roman" w:hAnsi="Arial" w:cs="Arial"/>
        </w:rPr>
        <w:t>prilagođavanja</w:t>
      </w:r>
      <w:r w:rsidRPr="00DB7D81">
        <w:rPr>
          <w:rFonts w:ascii="Arial" w:eastAsia="Times New Roman" w:hAnsi="Arial" w:cs="Arial"/>
        </w:rPr>
        <w:t xml:space="preserve"> i ublažavanja u planove upravljanja zaštićenim područjima, restauracione programe i sektorske strategije. Aktivnosti uključuju procjene ranjivosti ekosistema i razvoj klimatski otpornog upravljanja.</w:t>
      </w:r>
    </w:p>
    <w:p w:rsidR="00B86241" w:rsidRDefault="00B86241" w:rsidP="00B86241">
      <w:pPr>
        <w:spacing w:after="0" w:line="240" w:lineRule="auto"/>
        <w:jc w:val="both"/>
        <w:rPr>
          <w:rFonts w:ascii="Arial" w:eastAsia="Times New Roman" w:hAnsi="Arial" w:cs="Arial"/>
        </w:rPr>
      </w:pPr>
    </w:p>
    <w:p w:rsidR="00F71BA6" w:rsidRPr="000B4004" w:rsidRDefault="00F71BA6" w:rsidP="000B4004">
      <w:pPr>
        <w:spacing w:line="240" w:lineRule="auto"/>
        <w:jc w:val="both"/>
        <w:rPr>
          <w:rFonts w:ascii="Arial" w:eastAsia="Times New Roman" w:hAnsi="Arial" w:cs="Arial"/>
        </w:rPr>
      </w:pPr>
    </w:p>
    <w:p w:rsidR="000B4004" w:rsidRDefault="000B4004" w:rsidP="000B4004">
      <w:pPr>
        <w:pStyle w:val="Heading3"/>
        <w:rPr>
          <w:rFonts w:ascii="Arial" w:hAnsi="Arial" w:cs="Arial"/>
          <w:sz w:val="26"/>
          <w:szCs w:val="26"/>
        </w:rPr>
      </w:pPr>
      <w:bookmarkStart w:id="30" w:name="_Toc222754379"/>
      <w:r>
        <w:rPr>
          <w:rFonts w:ascii="Arial" w:hAnsi="Arial" w:cs="Arial"/>
          <w:sz w:val="26"/>
          <w:szCs w:val="26"/>
        </w:rPr>
        <w:t xml:space="preserve">3.2.2 </w:t>
      </w:r>
      <w:r w:rsidRPr="00DB7D81">
        <w:rPr>
          <w:rFonts w:ascii="Arial" w:hAnsi="Arial" w:cs="Arial"/>
          <w:sz w:val="26"/>
          <w:szCs w:val="26"/>
        </w:rPr>
        <w:t xml:space="preserve">Strateški cilj </w:t>
      </w:r>
      <w:r>
        <w:rPr>
          <w:rFonts w:ascii="Arial" w:hAnsi="Arial" w:cs="Arial"/>
          <w:sz w:val="26"/>
          <w:szCs w:val="26"/>
        </w:rPr>
        <w:t>2</w:t>
      </w:r>
      <w:r w:rsidRPr="00DB7D81">
        <w:rPr>
          <w:rFonts w:ascii="Arial" w:hAnsi="Arial" w:cs="Arial"/>
          <w:sz w:val="26"/>
          <w:szCs w:val="26"/>
        </w:rPr>
        <w:t xml:space="preserve"> sa pripadajućim operativnim ciljevima</w:t>
      </w:r>
      <w:bookmarkEnd w:id="30"/>
    </w:p>
    <w:tbl>
      <w:tblPr>
        <w:tblStyle w:val="TableGrid"/>
        <w:tblW w:w="0" w:type="auto"/>
        <w:tblLook w:val="04A0" w:firstRow="1" w:lastRow="0" w:firstColumn="1" w:lastColumn="0" w:noHBand="0" w:noVBand="1"/>
      </w:tblPr>
      <w:tblGrid>
        <w:gridCol w:w="988"/>
        <w:gridCol w:w="1987"/>
        <w:gridCol w:w="6086"/>
      </w:tblGrid>
      <w:tr w:rsidR="000B4004" w:rsidRPr="000B4004" w:rsidTr="000B4004">
        <w:tc>
          <w:tcPr>
            <w:tcW w:w="2975" w:type="dxa"/>
            <w:gridSpan w:val="2"/>
            <w:shd w:val="clear" w:color="auto" w:fill="FBDBCD"/>
          </w:tcPr>
          <w:p w:rsidR="000B4004" w:rsidRPr="000B4004" w:rsidRDefault="000B4004" w:rsidP="000B4004">
            <w:pPr>
              <w:rPr>
                <w:rFonts w:ascii="Arial" w:hAnsi="Arial" w:cs="Arial"/>
                <w:sz w:val="20"/>
                <w:szCs w:val="20"/>
              </w:rPr>
            </w:pPr>
            <w:r w:rsidRPr="000B4004">
              <w:rPr>
                <w:rFonts w:ascii="Arial" w:hAnsi="Arial" w:cs="Arial"/>
                <w:sz w:val="20"/>
                <w:szCs w:val="20"/>
              </w:rPr>
              <w:t>Prblem 2</w:t>
            </w:r>
          </w:p>
        </w:tc>
        <w:tc>
          <w:tcPr>
            <w:tcW w:w="6086" w:type="dxa"/>
            <w:shd w:val="clear" w:color="auto" w:fill="E2EFD9" w:themeFill="accent6" w:themeFillTint="33"/>
          </w:tcPr>
          <w:p w:rsidR="000B4004" w:rsidRPr="000B4004" w:rsidRDefault="000B4004" w:rsidP="000B4004">
            <w:pPr>
              <w:rPr>
                <w:rFonts w:ascii="Arial" w:hAnsi="Arial" w:cs="Arial"/>
                <w:b/>
                <w:bCs/>
                <w:sz w:val="20"/>
                <w:szCs w:val="20"/>
              </w:rPr>
            </w:pPr>
            <w:r w:rsidRPr="000B4004">
              <w:rPr>
                <w:rFonts w:ascii="Arial" w:hAnsi="Arial" w:cs="Arial"/>
                <w:b/>
                <w:bCs/>
                <w:sz w:val="20"/>
                <w:szCs w:val="20"/>
              </w:rPr>
              <w:t>Stratški cilj 2</w:t>
            </w:r>
          </w:p>
        </w:tc>
      </w:tr>
      <w:tr w:rsidR="000B4004" w:rsidRPr="000B4004" w:rsidTr="000B4004">
        <w:tc>
          <w:tcPr>
            <w:tcW w:w="2975" w:type="dxa"/>
            <w:gridSpan w:val="2"/>
            <w:shd w:val="clear" w:color="auto" w:fill="FBDBCD"/>
          </w:tcPr>
          <w:p w:rsidR="000B4004" w:rsidRPr="000B4004" w:rsidRDefault="000B4004" w:rsidP="000B4004">
            <w:pPr>
              <w:rPr>
                <w:rFonts w:ascii="Arial" w:hAnsi="Arial" w:cs="Arial"/>
                <w:sz w:val="20"/>
                <w:szCs w:val="20"/>
              </w:rPr>
            </w:pPr>
            <w:r w:rsidRPr="000B4004">
              <w:rPr>
                <w:rFonts w:ascii="Arial" w:hAnsi="Arial" w:cs="Arial"/>
                <w:bCs/>
                <w:sz w:val="20"/>
                <w:szCs w:val="20"/>
              </w:rPr>
              <w:t>Nedovoljna efektivnost sistema zaštite prirode i upravljanja zaštićenim područjima i vrstama i ekosistemima</w:t>
            </w:r>
            <w:r w:rsidR="0082016D">
              <w:rPr>
                <w:rFonts w:ascii="Arial" w:hAnsi="Arial" w:cs="Arial"/>
                <w:bCs/>
                <w:sz w:val="20"/>
                <w:szCs w:val="20"/>
              </w:rPr>
              <w:t>.</w:t>
            </w:r>
          </w:p>
        </w:tc>
        <w:tc>
          <w:tcPr>
            <w:tcW w:w="6086" w:type="dxa"/>
            <w:shd w:val="clear" w:color="auto" w:fill="E2EFD9" w:themeFill="accent6" w:themeFillTint="33"/>
          </w:tcPr>
          <w:p w:rsidR="000B4004" w:rsidRPr="000B4004" w:rsidRDefault="000B4004" w:rsidP="000B4004">
            <w:pPr>
              <w:rPr>
                <w:rFonts w:ascii="Arial" w:hAnsi="Arial" w:cs="Arial"/>
                <w:sz w:val="20"/>
                <w:szCs w:val="20"/>
              </w:rPr>
            </w:pPr>
            <w:r w:rsidRPr="000B4004">
              <w:rPr>
                <w:rFonts w:ascii="Arial" w:hAnsi="Arial" w:cs="Arial"/>
                <w:b/>
                <w:bCs/>
                <w:sz w:val="20"/>
                <w:szCs w:val="20"/>
              </w:rPr>
              <w:t>Do 2030. godine najmanje 30% kopna i mora čine ekološki reprezentativna i efektivna zaštitićena područja, područja ekološke mreža i druga područja sa efektivnim mjerama očuvanja biodiverziteta, uključujući 10% teritorije kopna i mora pod strogom zaštitom</w:t>
            </w:r>
            <w:r w:rsidR="0082016D">
              <w:rPr>
                <w:rFonts w:ascii="Arial" w:hAnsi="Arial" w:cs="Arial"/>
                <w:b/>
                <w:bCs/>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2.1</w:t>
            </w:r>
          </w:p>
        </w:tc>
        <w:tc>
          <w:tcPr>
            <w:tcW w:w="8073" w:type="dxa"/>
            <w:gridSpan w:val="2"/>
            <w:shd w:val="clear" w:color="auto" w:fill="F2F2F2" w:themeFill="background1" w:themeFillShade="F2"/>
          </w:tcPr>
          <w:p w:rsidR="000B4004" w:rsidRPr="000B4004" w:rsidRDefault="000B4004" w:rsidP="000B4004">
            <w:pPr>
              <w:contextualSpacing/>
              <w:rPr>
                <w:rFonts w:ascii="Arial" w:eastAsia="Times New Roman" w:hAnsi="Arial" w:cs="Arial"/>
                <w:sz w:val="20"/>
                <w:szCs w:val="20"/>
              </w:rPr>
            </w:pPr>
            <w:r w:rsidRPr="000B4004">
              <w:rPr>
                <w:rFonts w:ascii="Arial" w:eastAsia="Times New Roman" w:hAnsi="Arial" w:cs="Arial"/>
                <w:sz w:val="20"/>
                <w:szCs w:val="20"/>
              </w:rPr>
              <w:t>Do 2030. godine najmanje 30% kopna i 30% mora, uključujući 10% područja pod strogom zaštitom, obuhvaćeno je reprezentativnom i povezanom mrežom zaštićenih područja, područja ekološke mreže (Natura 2000) i područja sa efektivnim mjerama očuvanja (OECM) i funkcionalno integrisana u koridore i širi kopneni i morski pejzaž (GBF T3, T1)</w:t>
            </w:r>
            <w:r w:rsidR="00E76186">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2.2</w:t>
            </w:r>
          </w:p>
        </w:tc>
        <w:tc>
          <w:tcPr>
            <w:tcW w:w="8073" w:type="dxa"/>
            <w:gridSpan w:val="2"/>
            <w:shd w:val="clear" w:color="auto" w:fill="F2F2F2" w:themeFill="background1" w:themeFillShade="F2"/>
          </w:tcPr>
          <w:p w:rsidR="000B4004" w:rsidRPr="000B4004" w:rsidRDefault="000B4004" w:rsidP="000B4004">
            <w:pPr>
              <w:contextualSpacing/>
              <w:rPr>
                <w:rFonts w:ascii="Arial" w:eastAsia="Times New Roman" w:hAnsi="Arial" w:cs="Arial"/>
                <w:sz w:val="20"/>
                <w:szCs w:val="20"/>
              </w:rPr>
            </w:pPr>
            <w:r w:rsidRPr="000B4004">
              <w:rPr>
                <w:rFonts w:ascii="Arial" w:eastAsia="Times New Roman" w:hAnsi="Arial" w:cs="Arial"/>
                <w:color w:val="000000"/>
                <w:sz w:val="20"/>
                <w:szCs w:val="20"/>
              </w:rPr>
              <w:t>Do 2030. godine obezbijeđeno je efektivno, stručno, participativno i adaptivno upravljanje zaštićenim područjima, ekološkom mrežom (Natura 2000) i drugim efektivnim oblastima za očuvanje biodiverziteta (OECM), zasnovano na ciljevima očuvanja i praćenju učinaka upravljanja (GBF T1, T3)</w:t>
            </w:r>
            <w:r w:rsidR="00E76186">
              <w:rPr>
                <w:rFonts w:ascii="Arial" w:eastAsia="Times New Roman" w:hAnsi="Arial" w:cs="Arial"/>
                <w:color w:val="000000"/>
                <w:sz w:val="20"/>
                <w:szCs w:val="20"/>
              </w:rPr>
              <w:t>.</w:t>
            </w:r>
            <w:r w:rsidRPr="000B4004">
              <w:rPr>
                <w:rFonts w:ascii="Arial" w:eastAsia="Times New Roman" w:hAnsi="Arial" w:cs="Arial"/>
                <w:color w:val="000000"/>
                <w:sz w:val="20"/>
                <w:szCs w:val="20"/>
                <w:highlight w:val="yellow"/>
              </w:rPr>
              <w:t xml:space="preserve"> </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2.3</w:t>
            </w:r>
          </w:p>
        </w:tc>
        <w:tc>
          <w:tcPr>
            <w:tcW w:w="8073" w:type="dxa"/>
            <w:gridSpan w:val="2"/>
            <w:shd w:val="clear" w:color="auto" w:fill="F2F2F2" w:themeFill="background1" w:themeFillShade="F2"/>
          </w:tcPr>
          <w:p w:rsidR="000B4004" w:rsidRPr="000B4004" w:rsidRDefault="000B4004" w:rsidP="000B4004">
            <w:pPr>
              <w:rPr>
                <w:rFonts w:ascii="Arial" w:hAnsi="Arial" w:cs="Arial"/>
                <w:sz w:val="20"/>
                <w:szCs w:val="20"/>
              </w:rPr>
            </w:pPr>
            <w:r w:rsidRPr="000B4004">
              <w:rPr>
                <w:rFonts w:ascii="Arial" w:eastAsia="Times New Roman" w:hAnsi="Arial" w:cs="Arial"/>
                <w:color w:val="000000"/>
                <w:sz w:val="20"/>
                <w:szCs w:val="20"/>
              </w:rPr>
              <w:t>Do 2030. godine učenje, inovacije, saradnja i novi modeli upravljanja (poput kolaborativnog, privatnog, OECM, itd.) postali su sastavni dio sistema zaštite i očuvanja područja (GBF T3, 20, 22, 23)</w:t>
            </w:r>
            <w:r w:rsidR="00E76186">
              <w:rPr>
                <w:rFonts w:ascii="Arial" w:eastAsia="Times New Roman" w:hAnsi="Arial" w:cs="Arial"/>
                <w:color w:val="000000"/>
                <w:sz w:val="20"/>
                <w:szCs w:val="20"/>
              </w:rPr>
              <w:t>.</w:t>
            </w:r>
          </w:p>
        </w:tc>
      </w:tr>
    </w:tbl>
    <w:p w:rsidR="000B4004" w:rsidRDefault="000B4004" w:rsidP="000B4004"/>
    <w:p w:rsidR="000B4004" w:rsidRPr="000B4004" w:rsidRDefault="000B4004" w:rsidP="000B4004">
      <w:pPr>
        <w:spacing w:line="240" w:lineRule="auto"/>
        <w:contextualSpacing/>
        <w:jc w:val="both"/>
        <w:rPr>
          <w:rFonts w:ascii="Arial" w:hAnsi="Arial" w:cs="Arial"/>
        </w:rPr>
      </w:pPr>
      <w:r w:rsidRPr="000B4004">
        <w:rPr>
          <w:rFonts w:ascii="Arial" w:hAnsi="Arial" w:cs="Arial"/>
        </w:rPr>
        <w:t>Ovaj strateški cilj usmjeren je na prostorno proširenje i kvalitativno unapređenje sistema zaštite prirode u Crnoj Gori, u skladu sa globalnim ciljem 30x30. Njegova realizacija podrazumijeva ne samo povećanje površine pod zaštitom, već i osiguranje reprezentativnosti, ekološke povezanosti, adekvatnih režima zaštite i efektivnog upravljanja.</w:t>
      </w:r>
    </w:p>
    <w:p w:rsidR="000B4004" w:rsidRPr="000B4004" w:rsidRDefault="000B4004" w:rsidP="000B4004">
      <w:pPr>
        <w:spacing w:line="240" w:lineRule="auto"/>
        <w:contextualSpacing/>
        <w:jc w:val="both"/>
        <w:rPr>
          <w:rFonts w:ascii="Arial" w:eastAsia="Times New Roman" w:hAnsi="Arial" w:cs="Arial"/>
        </w:rPr>
      </w:pPr>
    </w:p>
    <w:p w:rsidR="000B4004" w:rsidRPr="000B4004" w:rsidRDefault="000B4004" w:rsidP="000B4004">
      <w:pPr>
        <w:spacing w:line="240" w:lineRule="auto"/>
        <w:contextualSpacing/>
        <w:jc w:val="both"/>
        <w:rPr>
          <w:rFonts w:ascii="Arial" w:eastAsia="Times New Roman" w:hAnsi="Arial" w:cs="Arial"/>
          <w:b/>
          <w:bCs/>
        </w:rPr>
      </w:pPr>
      <w:r w:rsidRPr="000B4004">
        <w:rPr>
          <w:rFonts w:ascii="Arial" w:eastAsia="Times New Roman" w:hAnsi="Arial" w:cs="Arial"/>
          <w:b/>
          <w:bCs/>
        </w:rPr>
        <w:t xml:space="preserve">OC 2.1. </w:t>
      </w:r>
      <w:r w:rsidRPr="000B4004">
        <w:rPr>
          <w:rFonts w:ascii="Arial" w:eastAsia="Times New Roman" w:hAnsi="Arial" w:cs="Arial"/>
          <w:b/>
          <w:bCs/>
          <w:i/>
        </w:rPr>
        <w:t xml:space="preserve">Do 2030. godine najmanje 30% kopna i 30% mora, uključujući 10% područja pod strogom zaštitom, obuhvaćeno je reprezentativnom i povezanom mrežom zaštićenih područja, područja ekološke mreže (Natura 2000) i područja sa efektivnim mjerama očuvanja (OECM) i funkcionalno integrisana u koridore i širi kopneni i morski pejzaž </w:t>
      </w:r>
      <w:r w:rsidRPr="000B4004">
        <w:rPr>
          <w:rFonts w:ascii="Arial" w:eastAsia="Times New Roman" w:hAnsi="Arial" w:cs="Arial"/>
          <w:b/>
          <w:bCs/>
        </w:rPr>
        <w:t>(GBF T3, T1)</w:t>
      </w:r>
    </w:p>
    <w:p w:rsidR="000B4004" w:rsidRPr="000B4004" w:rsidRDefault="000B4004" w:rsidP="000B4004">
      <w:pPr>
        <w:pStyle w:val="NormalWeb"/>
        <w:jc w:val="both"/>
        <w:rPr>
          <w:rFonts w:ascii="Arial" w:hAnsi="Arial" w:cs="Arial"/>
          <w:sz w:val="22"/>
          <w:szCs w:val="22"/>
        </w:rPr>
      </w:pPr>
      <w:r w:rsidRPr="000B4004">
        <w:rPr>
          <w:rFonts w:ascii="Arial" w:hAnsi="Arial" w:cs="Arial"/>
          <w:sz w:val="22"/>
          <w:szCs w:val="22"/>
        </w:rPr>
        <w:t>Ovaj operativni cilj odnosi se na prostorno širenje i funkcionalno povezivanje sistema zaštite. Aktivnosti uključuju identifikaciju prioritetnih područja za zaštitu na osnovu naučnih podataka, formalno proglašenje novih zaštićenih područja, završetak procesa uspostavljanja ekološke mreže Natura 2000, kao i prepoznavanje i uspostavljanje drugih efektivnih mjera očuvanja (OECM).</w:t>
      </w:r>
      <w:r>
        <w:rPr>
          <w:rFonts w:ascii="Arial" w:hAnsi="Arial" w:cs="Arial"/>
          <w:sz w:val="22"/>
          <w:szCs w:val="22"/>
        </w:rPr>
        <w:t xml:space="preserve"> </w:t>
      </w:r>
      <w:r w:rsidRPr="000B4004">
        <w:rPr>
          <w:rFonts w:ascii="Arial" w:hAnsi="Arial" w:cs="Arial"/>
          <w:sz w:val="22"/>
          <w:szCs w:val="22"/>
        </w:rPr>
        <w:t>Poseban fokus stavlja se na uspostavljanje ekoloških koridora koji omogućavaju povezanost populacija i ekosistema, naročito u kontekstu klimatskih promjena i fragmentacije staništa. Stroga zaštita 10% teritorije ima za cilj očuvanje najvrijednijih i najosjetljivijih prirodnih područja sa minimalnim ljudskim uticajem.</w:t>
      </w:r>
    </w:p>
    <w:p w:rsidR="000B4004" w:rsidRDefault="000B4004" w:rsidP="000B4004">
      <w:pPr>
        <w:spacing w:line="240" w:lineRule="auto"/>
        <w:contextualSpacing/>
        <w:jc w:val="both"/>
        <w:rPr>
          <w:rFonts w:ascii="Arial" w:eastAsia="Times New Roman" w:hAnsi="Arial" w:cs="Arial"/>
          <w:b/>
          <w:bCs/>
        </w:rPr>
      </w:pPr>
      <w:r w:rsidRPr="000B4004">
        <w:rPr>
          <w:rFonts w:ascii="Arial" w:eastAsia="Times New Roman" w:hAnsi="Arial" w:cs="Arial"/>
          <w:b/>
          <w:bCs/>
        </w:rPr>
        <w:t xml:space="preserve">OC 2.2. </w:t>
      </w:r>
      <w:r w:rsidRPr="000B4004">
        <w:rPr>
          <w:rFonts w:ascii="Arial" w:eastAsia="Times New Roman" w:hAnsi="Arial" w:cs="Arial"/>
          <w:b/>
          <w:bCs/>
          <w:i/>
        </w:rPr>
        <w:t xml:space="preserve">Do 2030. godine obezbijeđeno je efektivno, stručno, participativno i adaptivno upravljanje zaštićenim područjima, ekološkom mrežom (Natura 2000) i drugim efektivnim oblastima za očuvanje biodiverziteta (OECM), zasnovano na ciljevima očuvanja i praćenju učinaka upravljanja </w:t>
      </w:r>
      <w:r w:rsidR="00F665A1">
        <w:rPr>
          <w:rFonts w:ascii="Arial" w:eastAsia="Times New Roman" w:hAnsi="Arial" w:cs="Arial"/>
          <w:b/>
          <w:bCs/>
        </w:rPr>
        <w:t xml:space="preserve">(GBF T1, T3) </w:t>
      </w:r>
    </w:p>
    <w:p w:rsidR="000B4004" w:rsidRPr="000B4004" w:rsidRDefault="000B4004" w:rsidP="000B4004">
      <w:pPr>
        <w:pStyle w:val="NormalWeb"/>
        <w:jc w:val="both"/>
        <w:rPr>
          <w:rFonts w:ascii="Arial" w:hAnsi="Arial" w:cs="Arial"/>
          <w:sz w:val="22"/>
          <w:szCs w:val="22"/>
        </w:rPr>
      </w:pPr>
      <w:r w:rsidRPr="000B4004">
        <w:rPr>
          <w:rFonts w:ascii="Arial" w:hAnsi="Arial" w:cs="Arial"/>
          <w:sz w:val="22"/>
          <w:szCs w:val="22"/>
        </w:rPr>
        <w:t>Ovaj cilj se odnosi na kvalitet upravljanja, a ne samo na teritorijalni obuhvat. Aktivnosti uključuju izradu i reviziju planova upravljanja zasnovanih na ciljevima očuvanja, jačanje kapaciteta upravljača, uvođenje sistema praćenja učinaka upravljanja, kao i razvoj finansijski održivih modela upravljanja.</w:t>
      </w:r>
      <w:r>
        <w:rPr>
          <w:rFonts w:ascii="Arial" w:hAnsi="Arial" w:cs="Arial"/>
          <w:sz w:val="22"/>
          <w:szCs w:val="22"/>
        </w:rPr>
        <w:t xml:space="preserve"> </w:t>
      </w:r>
      <w:r w:rsidRPr="000B4004">
        <w:rPr>
          <w:rFonts w:ascii="Arial" w:hAnsi="Arial" w:cs="Arial"/>
          <w:sz w:val="22"/>
          <w:szCs w:val="22"/>
        </w:rPr>
        <w:t>Adaptivno upravljanje podrazumijeva kontinuirano praćenje stanja i prilagođavanje mjera na osnovu rezultata monitoringa, dok participativni pristup osigurava uključivanje lokalnih zajednica, žena, mladih i drugih relevantnih aktera.</w:t>
      </w:r>
    </w:p>
    <w:p w:rsidR="000B4004" w:rsidRPr="000B4004" w:rsidRDefault="000B4004" w:rsidP="000B4004">
      <w:pPr>
        <w:spacing w:line="240" w:lineRule="auto"/>
        <w:contextualSpacing/>
        <w:jc w:val="both"/>
        <w:rPr>
          <w:rFonts w:ascii="Arial" w:eastAsia="Times New Roman" w:hAnsi="Arial" w:cs="Arial"/>
          <w:b/>
          <w:bCs/>
        </w:rPr>
      </w:pPr>
      <w:r w:rsidRPr="000B4004">
        <w:rPr>
          <w:rFonts w:ascii="Arial" w:eastAsia="Times New Roman" w:hAnsi="Arial" w:cs="Arial"/>
          <w:b/>
          <w:bCs/>
        </w:rPr>
        <w:t xml:space="preserve">OC 2.3. </w:t>
      </w:r>
      <w:r w:rsidRPr="000B4004">
        <w:rPr>
          <w:rFonts w:ascii="Arial" w:eastAsia="Times New Roman" w:hAnsi="Arial" w:cs="Arial"/>
          <w:b/>
          <w:bCs/>
          <w:i/>
        </w:rPr>
        <w:t xml:space="preserve">Do 2030. godine učenje, inovacije, saradnja i novi modeli upravljanja (poput kolaborativnog, privatnog, OECM, itd.) postali su sastavni dio sistema zaštite i očuvanja područja </w:t>
      </w:r>
      <w:r w:rsidRPr="000B4004">
        <w:rPr>
          <w:rFonts w:ascii="Arial" w:eastAsia="Times New Roman" w:hAnsi="Arial" w:cs="Arial"/>
          <w:b/>
          <w:bCs/>
        </w:rPr>
        <w:t>(GBF T3, 20, 22, 23)</w:t>
      </w:r>
    </w:p>
    <w:p w:rsidR="000B4004" w:rsidRDefault="000B4004" w:rsidP="00F665A1">
      <w:pPr>
        <w:pStyle w:val="NormalWeb"/>
        <w:jc w:val="both"/>
        <w:rPr>
          <w:rFonts w:ascii="Arial" w:hAnsi="Arial" w:cs="Arial"/>
          <w:sz w:val="22"/>
          <w:szCs w:val="22"/>
        </w:rPr>
      </w:pPr>
      <w:r w:rsidRPr="000B4004">
        <w:rPr>
          <w:rFonts w:ascii="Arial" w:hAnsi="Arial" w:cs="Arial"/>
          <w:sz w:val="22"/>
          <w:szCs w:val="22"/>
        </w:rPr>
        <w:t>Ovaj operativni cilj usmjeren je na unapređenje sistema zaštite kroz inovativne i kolaborativne modele upravljanja. Aktivnosti uključuju razvoj partnerstava sa lokalnim zajednicama, privatnim sektorom i civilnim društvom, institucionalizaciju OECM modela, kao i razmjenu znanja i iskustava.</w:t>
      </w:r>
      <w:r>
        <w:rPr>
          <w:rFonts w:ascii="Arial" w:hAnsi="Arial" w:cs="Arial"/>
          <w:sz w:val="22"/>
          <w:szCs w:val="22"/>
        </w:rPr>
        <w:t xml:space="preserve"> </w:t>
      </w:r>
      <w:r w:rsidRPr="000B4004">
        <w:rPr>
          <w:rFonts w:ascii="Arial" w:hAnsi="Arial" w:cs="Arial"/>
          <w:sz w:val="22"/>
          <w:szCs w:val="22"/>
        </w:rPr>
        <w:t>Cilj je da sistem zaštite bude fleksibilan, inkluzivan i društveno prihvaćen, uz prepoznavanje različitih oblika upravljanja koji dop</w:t>
      </w:r>
      <w:r w:rsidR="00F665A1">
        <w:rPr>
          <w:rFonts w:ascii="Arial" w:hAnsi="Arial" w:cs="Arial"/>
          <w:sz w:val="22"/>
          <w:szCs w:val="22"/>
        </w:rPr>
        <w:t>rinose očuvanju biodiverziteta.</w:t>
      </w:r>
    </w:p>
    <w:p w:rsidR="00F665A1" w:rsidRDefault="00F665A1" w:rsidP="00F665A1">
      <w:pPr>
        <w:pStyle w:val="NormalWeb"/>
        <w:jc w:val="both"/>
        <w:rPr>
          <w:rFonts w:ascii="Arial" w:hAnsi="Arial" w:cs="Arial"/>
          <w:sz w:val="22"/>
          <w:szCs w:val="22"/>
        </w:rPr>
      </w:pPr>
    </w:p>
    <w:p w:rsidR="008D4259" w:rsidRDefault="008D4259" w:rsidP="00F665A1">
      <w:pPr>
        <w:pStyle w:val="NormalWeb"/>
        <w:jc w:val="both"/>
        <w:rPr>
          <w:rFonts w:ascii="Arial" w:hAnsi="Arial" w:cs="Arial"/>
          <w:sz w:val="22"/>
          <w:szCs w:val="22"/>
        </w:rPr>
      </w:pPr>
    </w:p>
    <w:p w:rsidR="008D4259" w:rsidRDefault="008D4259" w:rsidP="00F665A1">
      <w:pPr>
        <w:pStyle w:val="NormalWeb"/>
        <w:jc w:val="both"/>
        <w:rPr>
          <w:rFonts w:ascii="Arial" w:hAnsi="Arial" w:cs="Arial"/>
          <w:sz w:val="22"/>
          <w:szCs w:val="22"/>
        </w:rPr>
      </w:pPr>
    </w:p>
    <w:p w:rsidR="008D4259" w:rsidRDefault="008D4259" w:rsidP="00F665A1">
      <w:pPr>
        <w:pStyle w:val="NormalWeb"/>
        <w:jc w:val="both"/>
        <w:rPr>
          <w:rFonts w:ascii="Arial" w:hAnsi="Arial" w:cs="Arial"/>
          <w:sz w:val="22"/>
          <w:szCs w:val="22"/>
        </w:rPr>
      </w:pPr>
    </w:p>
    <w:p w:rsidR="008D4259" w:rsidRPr="00F665A1" w:rsidRDefault="008D4259" w:rsidP="00F665A1">
      <w:pPr>
        <w:pStyle w:val="NormalWeb"/>
        <w:jc w:val="both"/>
        <w:rPr>
          <w:rFonts w:ascii="Arial" w:hAnsi="Arial" w:cs="Arial"/>
          <w:sz w:val="22"/>
          <w:szCs w:val="22"/>
        </w:rPr>
      </w:pPr>
    </w:p>
    <w:p w:rsidR="000B4004" w:rsidRDefault="000B4004" w:rsidP="000B4004">
      <w:pPr>
        <w:pStyle w:val="Heading3"/>
        <w:rPr>
          <w:rFonts w:ascii="Arial" w:hAnsi="Arial" w:cs="Arial"/>
          <w:sz w:val="26"/>
          <w:szCs w:val="26"/>
        </w:rPr>
      </w:pPr>
      <w:bookmarkStart w:id="31" w:name="_Toc222754380"/>
      <w:r>
        <w:rPr>
          <w:rFonts w:ascii="Arial" w:hAnsi="Arial" w:cs="Arial"/>
          <w:sz w:val="26"/>
          <w:szCs w:val="26"/>
        </w:rPr>
        <w:lastRenderedPageBreak/>
        <w:t xml:space="preserve">3.2.3 </w:t>
      </w:r>
      <w:r w:rsidRPr="00DB7D81">
        <w:rPr>
          <w:rFonts w:ascii="Arial" w:hAnsi="Arial" w:cs="Arial"/>
          <w:sz w:val="26"/>
          <w:szCs w:val="26"/>
        </w:rPr>
        <w:t xml:space="preserve">Strateški cilj </w:t>
      </w:r>
      <w:r>
        <w:rPr>
          <w:rFonts w:ascii="Arial" w:hAnsi="Arial" w:cs="Arial"/>
          <w:sz w:val="26"/>
          <w:szCs w:val="26"/>
        </w:rPr>
        <w:t>3</w:t>
      </w:r>
      <w:r w:rsidRPr="00DB7D81">
        <w:rPr>
          <w:rFonts w:ascii="Arial" w:hAnsi="Arial" w:cs="Arial"/>
          <w:sz w:val="26"/>
          <w:szCs w:val="26"/>
        </w:rPr>
        <w:t xml:space="preserve"> sa pripadajućim operativnim ciljevima</w:t>
      </w:r>
      <w:bookmarkEnd w:id="31"/>
    </w:p>
    <w:tbl>
      <w:tblPr>
        <w:tblStyle w:val="TableGrid"/>
        <w:tblW w:w="0" w:type="auto"/>
        <w:tblLook w:val="04A0" w:firstRow="1" w:lastRow="0" w:firstColumn="1" w:lastColumn="0" w:noHBand="0" w:noVBand="1"/>
      </w:tblPr>
      <w:tblGrid>
        <w:gridCol w:w="988"/>
        <w:gridCol w:w="1987"/>
        <w:gridCol w:w="6086"/>
      </w:tblGrid>
      <w:tr w:rsidR="000B4004" w:rsidRPr="000B4004" w:rsidTr="000B4004">
        <w:tc>
          <w:tcPr>
            <w:tcW w:w="2975" w:type="dxa"/>
            <w:gridSpan w:val="2"/>
            <w:shd w:val="clear" w:color="auto" w:fill="FBDBCD"/>
          </w:tcPr>
          <w:p w:rsidR="000B4004" w:rsidRPr="000B4004" w:rsidRDefault="000B4004" w:rsidP="000B4004">
            <w:pPr>
              <w:rPr>
                <w:rFonts w:ascii="Arial" w:hAnsi="Arial" w:cs="Arial"/>
                <w:sz w:val="20"/>
                <w:szCs w:val="20"/>
              </w:rPr>
            </w:pPr>
            <w:r w:rsidRPr="000B4004">
              <w:rPr>
                <w:rFonts w:ascii="Arial" w:hAnsi="Arial" w:cs="Arial"/>
                <w:sz w:val="20"/>
                <w:szCs w:val="20"/>
              </w:rPr>
              <w:t>Prblem 3</w:t>
            </w:r>
          </w:p>
        </w:tc>
        <w:tc>
          <w:tcPr>
            <w:tcW w:w="6086" w:type="dxa"/>
            <w:shd w:val="clear" w:color="auto" w:fill="E2EFD9" w:themeFill="accent6" w:themeFillTint="33"/>
          </w:tcPr>
          <w:p w:rsidR="000B4004" w:rsidRPr="000B4004" w:rsidRDefault="000B4004" w:rsidP="000B4004">
            <w:pPr>
              <w:rPr>
                <w:rFonts w:ascii="Arial" w:hAnsi="Arial" w:cs="Arial"/>
                <w:b/>
                <w:bCs/>
                <w:sz w:val="20"/>
                <w:szCs w:val="20"/>
              </w:rPr>
            </w:pPr>
            <w:r w:rsidRPr="000B4004">
              <w:rPr>
                <w:rFonts w:ascii="Arial" w:hAnsi="Arial" w:cs="Arial"/>
                <w:b/>
                <w:bCs/>
                <w:sz w:val="20"/>
                <w:szCs w:val="20"/>
              </w:rPr>
              <w:t>Stratški cilj 3</w:t>
            </w:r>
          </w:p>
        </w:tc>
      </w:tr>
      <w:tr w:rsidR="000B4004" w:rsidRPr="000B4004" w:rsidTr="000B4004">
        <w:tc>
          <w:tcPr>
            <w:tcW w:w="2975" w:type="dxa"/>
            <w:gridSpan w:val="2"/>
            <w:shd w:val="clear" w:color="auto" w:fill="FBDBCD"/>
          </w:tcPr>
          <w:p w:rsidR="000B4004" w:rsidRPr="000B4004" w:rsidRDefault="000B4004" w:rsidP="000B4004">
            <w:pPr>
              <w:rPr>
                <w:rFonts w:ascii="Arial" w:hAnsi="Arial" w:cs="Arial"/>
                <w:sz w:val="20"/>
                <w:szCs w:val="20"/>
              </w:rPr>
            </w:pPr>
            <w:r w:rsidRPr="000B4004">
              <w:rPr>
                <w:rFonts w:ascii="Arial" w:hAnsi="Arial" w:cs="Arial"/>
                <w:bCs/>
                <w:sz w:val="20"/>
                <w:szCs w:val="20"/>
              </w:rPr>
              <w:t>Neodrživo korišćenje prirodnih resursa i nedovoljna integracija biodiverziteta u sektorske politike</w:t>
            </w:r>
            <w:r w:rsidR="00007B5E">
              <w:rPr>
                <w:rFonts w:ascii="Arial" w:hAnsi="Arial" w:cs="Arial"/>
                <w:bCs/>
                <w:sz w:val="20"/>
                <w:szCs w:val="20"/>
              </w:rPr>
              <w:t>.</w:t>
            </w:r>
          </w:p>
        </w:tc>
        <w:tc>
          <w:tcPr>
            <w:tcW w:w="6086" w:type="dxa"/>
            <w:shd w:val="clear" w:color="auto" w:fill="E2EFD9" w:themeFill="accent6" w:themeFillTint="33"/>
          </w:tcPr>
          <w:p w:rsidR="000B4004" w:rsidRPr="000B4004" w:rsidRDefault="000B4004" w:rsidP="000B4004">
            <w:pPr>
              <w:rPr>
                <w:rFonts w:ascii="Arial" w:hAnsi="Arial" w:cs="Arial"/>
                <w:sz w:val="20"/>
                <w:szCs w:val="20"/>
              </w:rPr>
            </w:pPr>
            <w:r w:rsidRPr="000B4004">
              <w:rPr>
                <w:rFonts w:ascii="Arial" w:hAnsi="Arial" w:cs="Arial"/>
                <w:b/>
                <w:bCs/>
                <w:sz w:val="20"/>
                <w:szCs w:val="20"/>
              </w:rPr>
              <w:t>Do 2031. godine sektorske politike i procesi odlučivanja obezbjeđuju održivo korišćenje prirodnih resursa kroz integraciju biodiverziteta i ekosistemskih usluga</w:t>
            </w:r>
            <w:r w:rsidR="00007B5E">
              <w:rPr>
                <w:rFonts w:ascii="Arial" w:hAnsi="Arial" w:cs="Arial"/>
                <w:b/>
                <w:bCs/>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3.1</w:t>
            </w:r>
          </w:p>
        </w:tc>
        <w:tc>
          <w:tcPr>
            <w:tcW w:w="8073" w:type="dxa"/>
            <w:gridSpan w:val="2"/>
            <w:shd w:val="clear" w:color="auto" w:fill="F2F2F2" w:themeFill="background1" w:themeFillShade="F2"/>
          </w:tcPr>
          <w:p w:rsidR="000B4004" w:rsidRPr="000B4004" w:rsidRDefault="00B36BAA" w:rsidP="00AA32B2">
            <w:pPr>
              <w:spacing w:after="200"/>
              <w:rPr>
                <w:rFonts w:ascii="Arial" w:eastAsia="Times New Roman" w:hAnsi="Arial" w:cs="Arial"/>
                <w:sz w:val="20"/>
                <w:szCs w:val="20"/>
              </w:rPr>
            </w:pPr>
            <w:r w:rsidRPr="00B36BAA">
              <w:rPr>
                <w:rFonts w:ascii="Arial" w:eastAsia="Times New Roman" w:hAnsi="Arial" w:cs="Arial"/>
                <w:sz w:val="20"/>
                <w:szCs w:val="20"/>
              </w:rPr>
              <w:t>Do 2031. godine biodiverzitet i ekosistemske usluge su integrisani u ključne sektorske politike i planove kroz funkcionalne međusektorske mehanizme i unaprijeđene procedure strateškog planiranja (GBF: T10, T14; doprinosi T1)</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3.2</w:t>
            </w:r>
          </w:p>
        </w:tc>
        <w:tc>
          <w:tcPr>
            <w:tcW w:w="8073" w:type="dxa"/>
            <w:gridSpan w:val="2"/>
            <w:shd w:val="clear" w:color="auto" w:fill="F2F2F2" w:themeFill="background1" w:themeFillShade="F2"/>
          </w:tcPr>
          <w:p w:rsidR="000B4004" w:rsidRPr="000B4004" w:rsidRDefault="00496363" w:rsidP="000B4004">
            <w:pPr>
              <w:spacing w:after="200"/>
              <w:rPr>
                <w:rFonts w:ascii="Arial" w:eastAsia="Times New Roman" w:hAnsi="Arial" w:cs="Arial"/>
                <w:sz w:val="20"/>
                <w:szCs w:val="20"/>
              </w:rPr>
            </w:pPr>
            <w:r w:rsidRPr="00496363">
              <w:rPr>
                <w:rFonts w:ascii="Arial" w:eastAsia="Times New Roman" w:hAnsi="Arial" w:cs="Arial"/>
                <w:sz w:val="20"/>
                <w:szCs w:val="20"/>
              </w:rPr>
              <w:t>Do 2030. godine, unaprijeđeno je znanje o vrijednostima i uslugama ekosistema koje pružaju društvu i stvoren osnov za integraciju njihove vrijednosti u procese donošenja odluka (GBF: T14, doprinosi T19)</w:t>
            </w:r>
            <w:r>
              <w:rPr>
                <w:rFonts w:ascii="Arial" w:eastAsia="Times New Roman" w:hAnsi="Arial" w:cs="Arial"/>
                <w:sz w:val="20"/>
                <w:szCs w:val="20"/>
              </w:rPr>
              <w:t>.</w:t>
            </w:r>
          </w:p>
        </w:tc>
      </w:tr>
      <w:tr w:rsidR="000B4004" w:rsidRPr="000B4004" w:rsidTr="00F665A1">
        <w:trPr>
          <w:trHeight w:val="1017"/>
        </w:trPr>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3.3</w:t>
            </w:r>
          </w:p>
        </w:tc>
        <w:tc>
          <w:tcPr>
            <w:tcW w:w="8073" w:type="dxa"/>
            <w:gridSpan w:val="2"/>
            <w:shd w:val="clear" w:color="auto" w:fill="F2F2F2" w:themeFill="background1" w:themeFillShade="F2"/>
          </w:tcPr>
          <w:p w:rsidR="000B4004" w:rsidRPr="000B4004" w:rsidRDefault="00B36BAA" w:rsidP="000B4004">
            <w:pPr>
              <w:spacing w:after="200"/>
              <w:rPr>
                <w:rFonts w:ascii="Arial" w:eastAsia="Times New Roman" w:hAnsi="Arial" w:cs="Arial"/>
                <w:sz w:val="20"/>
                <w:szCs w:val="20"/>
              </w:rPr>
            </w:pPr>
            <w:r w:rsidRPr="00B36BAA">
              <w:rPr>
                <w:rFonts w:ascii="Arial" w:eastAsia="Times New Roman" w:hAnsi="Arial" w:cs="Arial"/>
                <w:sz w:val="20"/>
                <w:szCs w:val="20"/>
              </w:rPr>
              <w:t>Do 2031. godine, rješenja zasnovanih na prirodi (NbS) i zelene/plave infrastrukture se sistemski primjenjuju u procesima donošenja odluka, kako bi se povećala otpornost zajednica na klimatske promjene i očuvali biodiverzitet i ekosistemske usluge (GBF: T8, T11, T12</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3.4</w:t>
            </w:r>
          </w:p>
        </w:tc>
        <w:tc>
          <w:tcPr>
            <w:tcW w:w="8073" w:type="dxa"/>
            <w:gridSpan w:val="2"/>
            <w:shd w:val="clear" w:color="auto" w:fill="F2F2F2" w:themeFill="background1" w:themeFillShade="F2"/>
          </w:tcPr>
          <w:p w:rsidR="000B4004" w:rsidRPr="000B4004" w:rsidRDefault="00B36BAA" w:rsidP="000B4004">
            <w:pPr>
              <w:spacing w:after="200"/>
              <w:rPr>
                <w:rFonts w:ascii="Arial" w:eastAsia="Times New Roman" w:hAnsi="Arial" w:cs="Arial"/>
                <w:sz w:val="20"/>
                <w:szCs w:val="20"/>
              </w:rPr>
            </w:pPr>
            <w:r w:rsidRPr="00B36BAA">
              <w:rPr>
                <w:rFonts w:ascii="Arial" w:eastAsia="Times New Roman" w:hAnsi="Arial" w:cs="Arial"/>
                <w:sz w:val="20"/>
                <w:szCs w:val="20"/>
              </w:rPr>
              <w:t xml:space="preserve">Do 2031. godine unaprijeđeno je sprovođenje sektorskih propisa koji utiču na biodiverzitet kroz jačanje zakonodavnog </w:t>
            </w:r>
            <w:r w:rsidR="00E64513">
              <w:rPr>
                <w:rFonts w:ascii="Arial" w:eastAsia="Times New Roman" w:hAnsi="Arial" w:cs="Arial"/>
                <w:sz w:val="20"/>
                <w:szCs w:val="20"/>
              </w:rPr>
              <w:t>okvira i njegove implementacije</w:t>
            </w:r>
            <w:r w:rsidRPr="00B36BAA">
              <w:rPr>
                <w:rFonts w:ascii="Arial" w:eastAsia="Times New Roman" w:hAnsi="Arial" w:cs="Arial"/>
                <w:sz w:val="20"/>
                <w:szCs w:val="20"/>
              </w:rPr>
              <w:t xml:space="preserve"> (GBF: T9, T14, T15, doprinosi T5)</w:t>
            </w:r>
            <w:r w:rsidR="00EE1129">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3.5</w:t>
            </w:r>
          </w:p>
        </w:tc>
        <w:tc>
          <w:tcPr>
            <w:tcW w:w="8073" w:type="dxa"/>
            <w:gridSpan w:val="2"/>
            <w:shd w:val="clear" w:color="auto" w:fill="F2F2F2" w:themeFill="background1" w:themeFillShade="F2"/>
          </w:tcPr>
          <w:p w:rsidR="000B4004" w:rsidRPr="000B4004" w:rsidRDefault="00B36BAA" w:rsidP="000B4004">
            <w:pPr>
              <w:rPr>
                <w:rFonts w:ascii="Arial" w:eastAsia="Arial" w:hAnsi="Arial" w:cs="Arial"/>
                <w:sz w:val="20"/>
                <w:szCs w:val="20"/>
              </w:rPr>
            </w:pPr>
            <w:r w:rsidRPr="00B36BAA">
              <w:rPr>
                <w:rFonts w:ascii="Arial" w:eastAsia="Times New Roman" w:hAnsi="Arial" w:cs="Arial"/>
                <w:sz w:val="20"/>
                <w:szCs w:val="20"/>
              </w:rPr>
              <w:t>Do 2031. godine unaprijeđeni su obrasci potrošnje i proizvodnje u ključnim sektorima kroz mjere koje smanjuju negativni biodiverzitetski otisak i podstiču odgovorne lance snabdijevanja (GBF: T16, doprinosi T7, T10, T15, T18, T19)</w:t>
            </w:r>
            <w:r>
              <w:rPr>
                <w:rFonts w:ascii="Arial" w:eastAsia="Times New Roman" w:hAnsi="Arial" w:cs="Arial"/>
                <w:sz w:val="20"/>
                <w:szCs w:val="20"/>
              </w:rPr>
              <w:t>.</w:t>
            </w:r>
          </w:p>
        </w:tc>
      </w:tr>
    </w:tbl>
    <w:p w:rsidR="000B4004" w:rsidRDefault="000B4004" w:rsidP="00DB7D81"/>
    <w:p w:rsidR="00F665A1" w:rsidRPr="00F665A1" w:rsidRDefault="00F665A1" w:rsidP="00F5487B">
      <w:pPr>
        <w:spacing w:after="0"/>
        <w:jc w:val="both"/>
        <w:rPr>
          <w:rFonts w:ascii="Arial" w:hAnsi="Arial" w:cs="Arial"/>
        </w:rPr>
      </w:pPr>
      <w:r w:rsidRPr="00F665A1">
        <w:rPr>
          <w:rFonts w:ascii="Arial" w:hAnsi="Arial" w:cs="Arial"/>
        </w:rPr>
        <w:t>Ovaj strateški cilj usmjeren je na sistemsku promjenu načina planiranja i donošenja odluka, kako bi biodiverzitet i ekosistemske usluge postali sastavni dio razvojnih politika. Cilj je da se spriječi dalje narušavanje prirodnog kapitala kroz integraciju biodiverziteta u</w:t>
      </w:r>
      <w:r w:rsidR="009B3514">
        <w:rPr>
          <w:rFonts w:ascii="Arial" w:hAnsi="Arial" w:cs="Arial"/>
        </w:rPr>
        <w:t xml:space="preserve"> nacionalnu Metodologiju razvijanja politika, izrade i praćenja sprovođenja strateških </w:t>
      </w:r>
      <w:r w:rsidR="000F4B01">
        <w:rPr>
          <w:rFonts w:ascii="Arial" w:hAnsi="Arial" w:cs="Arial"/>
        </w:rPr>
        <w:t>dokumenata, u</w:t>
      </w:r>
      <w:r w:rsidRPr="00F665A1">
        <w:rPr>
          <w:rFonts w:ascii="Arial" w:hAnsi="Arial" w:cs="Arial"/>
        </w:rPr>
        <w:t xml:space="preserve"> sektorske strategije, budžete i investicione odluke, te kroz jačanje međusektorske koordinacije.</w:t>
      </w:r>
    </w:p>
    <w:p w:rsidR="00F665A1" w:rsidRPr="00F665A1" w:rsidRDefault="00F665A1" w:rsidP="00F5487B">
      <w:pPr>
        <w:spacing w:after="0"/>
        <w:jc w:val="both"/>
        <w:rPr>
          <w:rFonts w:ascii="Arial" w:hAnsi="Arial" w:cs="Arial"/>
        </w:rPr>
      </w:pPr>
    </w:p>
    <w:p w:rsidR="00EE1129" w:rsidRDefault="00F665A1" w:rsidP="00F5487B">
      <w:pPr>
        <w:spacing w:after="0"/>
        <w:jc w:val="both"/>
        <w:rPr>
          <w:rFonts w:ascii="Arial" w:hAnsi="Arial" w:cs="Arial"/>
          <w:b/>
          <w:bCs/>
          <w:i/>
        </w:rPr>
      </w:pPr>
      <w:r>
        <w:rPr>
          <w:rFonts w:ascii="Arial" w:hAnsi="Arial" w:cs="Arial"/>
          <w:b/>
          <w:bCs/>
        </w:rPr>
        <w:t xml:space="preserve">OC </w:t>
      </w:r>
      <w:r w:rsidRPr="00F665A1">
        <w:rPr>
          <w:rFonts w:ascii="Arial" w:hAnsi="Arial" w:cs="Arial"/>
          <w:b/>
          <w:bCs/>
        </w:rPr>
        <w:t xml:space="preserve">3.1. </w:t>
      </w:r>
      <w:r w:rsidR="00EE1129" w:rsidRPr="00EE1129">
        <w:rPr>
          <w:rFonts w:ascii="Arial" w:hAnsi="Arial" w:cs="Arial"/>
          <w:b/>
          <w:bCs/>
          <w:i/>
        </w:rPr>
        <w:t>Do 2031. godine biodiverzitet i ekosistemske usluge su integrisani u ključne sektorske politike i planove kroz funkcionalne međusektorske mehanizme i unaprijeđene procedure strateškog planiranja (GBF: T10, T14; doprinosi T1</w:t>
      </w:r>
      <w:r w:rsidR="00EE1129">
        <w:rPr>
          <w:rFonts w:ascii="Arial" w:hAnsi="Arial" w:cs="Arial"/>
          <w:b/>
          <w:bCs/>
          <w:i/>
        </w:rPr>
        <w:t>)</w:t>
      </w:r>
    </w:p>
    <w:p w:rsidR="00F5487B" w:rsidRDefault="00F5487B" w:rsidP="00F5487B">
      <w:pPr>
        <w:spacing w:after="0"/>
        <w:jc w:val="both"/>
        <w:rPr>
          <w:rFonts w:ascii="Arial" w:hAnsi="Arial" w:cs="Arial"/>
          <w:b/>
          <w:bCs/>
          <w:i/>
        </w:rPr>
      </w:pPr>
    </w:p>
    <w:p w:rsidR="00F665A1" w:rsidRDefault="00F665A1" w:rsidP="000378E2">
      <w:pPr>
        <w:spacing w:after="0" w:line="240" w:lineRule="auto"/>
        <w:jc w:val="both"/>
        <w:rPr>
          <w:rFonts w:ascii="Arial" w:hAnsi="Arial" w:cs="Arial"/>
        </w:rPr>
      </w:pPr>
      <w:r w:rsidRPr="00F665A1">
        <w:rPr>
          <w:rFonts w:ascii="Arial" w:hAnsi="Arial" w:cs="Arial"/>
        </w:rPr>
        <w:t>Ovaj operativni cilj podrazumijeva obavezujuće mehanizme usklađiv</w:t>
      </w:r>
      <w:r w:rsidR="00AA32B2">
        <w:rPr>
          <w:rFonts w:ascii="Arial" w:hAnsi="Arial" w:cs="Arial"/>
        </w:rPr>
        <w:t>anja sektorskih strategija sa N</w:t>
      </w:r>
      <w:r w:rsidRPr="00F665A1">
        <w:rPr>
          <w:rFonts w:ascii="Arial" w:hAnsi="Arial" w:cs="Arial"/>
        </w:rPr>
        <w:t>S</w:t>
      </w:r>
      <w:r w:rsidR="00AA32B2">
        <w:rPr>
          <w:rFonts w:ascii="Arial" w:hAnsi="Arial" w:cs="Arial"/>
        </w:rPr>
        <w:t>B</w:t>
      </w:r>
      <w:r w:rsidRPr="00F665A1">
        <w:rPr>
          <w:rFonts w:ascii="Arial" w:hAnsi="Arial" w:cs="Arial"/>
        </w:rPr>
        <w:t xml:space="preserve">AP-om, unapređenje metodologije izrade strateških dokumenata i jačanje međuresorne koordinacije. Aktivnosti uključuju integraciju ciljeva očuvanja biodiverziteta u prostorno planiranje, energetiku, poljoprivredu, šumarstvo, ribarstvo, turizam i infrastrukturu, kao i primjenu pristupa </w:t>
      </w:r>
      <w:r w:rsidRPr="00526D39">
        <w:rPr>
          <w:rFonts w:ascii="Arial" w:hAnsi="Arial" w:cs="Arial"/>
          <w:i/>
        </w:rPr>
        <w:t>„biodiversity proofing“</w:t>
      </w:r>
      <w:r w:rsidRPr="00F665A1">
        <w:rPr>
          <w:rFonts w:ascii="Arial" w:hAnsi="Arial" w:cs="Arial"/>
        </w:rPr>
        <w:t xml:space="preserve"> u procesima planiranja i investicionog odlučivanja.</w:t>
      </w:r>
      <w:r w:rsidR="00526D39">
        <w:rPr>
          <w:rFonts w:ascii="Arial" w:hAnsi="Arial" w:cs="Arial"/>
        </w:rPr>
        <w:t xml:space="preserve"> Ova provjera usklađenosti sa biodiverzitetom radiće se kroz nacionalni okvir za integraciju biodiverziteta kroz sektorske politike, kao i unaprijeđenje kapaciteta.</w:t>
      </w:r>
    </w:p>
    <w:p w:rsidR="00F5487B" w:rsidRPr="00F665A1" w:rsidRDefault="00F5487B" w:rsidP="00F5487B">
      <w:pPr>
        <w:spacing w:after="0"/>
        <w:jc w:val="both"/>
        <w:rPr>
          <w:rFonts w:ascii="Arial" w:hAnsi="Arial" w:cs="Arial"/>
        </w:rPr>
      </w:pPr>
    </w:p>
    <w:p w:rsidR="00EE1129" w:rsidRDefault="00F665A1" w:rsidP="00F5487B">
      <w:pPr>
        <w:spacing w:after="0"/>
        <w:jc w:val="both"/>
        <w:rPr>
          <w:rFonts w:ascii="Arial" w:hAnsi="Arial" w:cs="Arial"/>
          <w:b/>
          <w:bCs/>
          <w:i/>
        </w:rPr>
      </w:pPr>
      <w:r>
        <w:rPr>
          <w:rFonts w:ascii="Arial" w:hAnsi="Arial" w:cs="Arial"/>
          <w:b/>
          <w:bCs/>
        </w:rPr>
        <w:t xml:space="preserve">OC </w:t>
      </w:r>
      <w:r w:rsidRPr="00F665A1">
        <w:rPr>
          <w:rFonts w:ascii="Arial" w:hAnsi="Arial" w:cs="Arial"/>
          <w:b/>
          <w:bCs/>
        </w:rPr>
        <w:t xml:space="preserve">3.2. </w:t>
      </w:r>
      <w:r w:rsidR="00EE1129" w:rsidRPr="00EE1129">
        <w:rPr>
          <w:rFonts w:ascii="Arial" w:hAnsi="Arial" w:cs="Arial"/>
          <w:b/>
          <w:bCs/>
          <w:i/>
        </w:rPr>
        <w:t>Do 2030. godine, unaprijeđeno je znanje o vrijednostima i usluga</w:t>
      </w:r>
      <w:r w:rsidR="006376B5">
        <w:rPr>
          <w:rFonts w:ascii="Arial" w:hAnsi="Arial" w:cs="Arial"/>
          <w:b/>
          <w:bCs/>
          <w:i/>
        </w:rPr>
        <w:t>ma</w:t>
      </w:r>
      <w:r w:rsidR="00EE1129" w:rsidRPr="00EE1129">
        <w:rPr>
          <w:rFonts w:ascii="Arial" w:hAnsi="Arial" w:cs="Arial"/>
          <w:b/>
          <w:bCs/>
          <w:i/>
        </w:rPr>
        <w:t xml:space="preserve"> </w:t>
      </w:r>
      <w:r w:rsidR="00496363" w:rsidRPr="00EE1129">
        <w:rPr>
          <w:rFonts w:ascii="Arial" w:hAnsi="Arial" w:cs="Arial"/>
          <w:b/>
          <w:bCs/>
          <w:i/>
        </w:rPr>
        <w:t xml:space="preserve">ekosistema </w:t>
      </w:r>
      <w:r w:rsidR="00EE1129" w:rsidRPr="00EE1129">
        <w:rPr>
          <w:rFonts w:ascii="Arial" w:hAnsi="Arial" w:cs="Arial"/>
          <w:b/>
          <w:bCs/>
          <w:i/>
        </w:rPr>
        <w:t>koje pružaju društvu i stvoren osnov za integraciju njihove vrijednosti u procese donošenja o</w:t>
      </w:r>
      <w:r w:rsidR="00EE1129">
        <w:rPr>
          <w:rFonts w:ascii="Arial" w:hAnsi="Arial" w:cs="Arial"/>
          <w:b/>
          <w:bCs/>
          <w:i/>
        </w:rPr>
        <w:t>dluka (GBF: T14, doprinosi T19)</w:t>
      </w:r>
    </w:p>
    <w:p w:rsidR="00F5487B" w:rsidRDefault="00F5487B" w:rsidP="00F5487B">
      <w:pPr>
        <w:spacing w:after="0"/>
        <w:jc w:val="both"/>
        <w:rPr>
          <w:rFonts w:ascii="Arial" w:hAnsi="Arial" w:cs="Arial"/>
          <w:b/>
          <w:bCs/>
          <w:i/>
        </w:rPr>
      </w:pPr>
    </w:p>
    <w:p w:rsidR="00F5487B" w:rsidRPr="00FB202E" w:rsidRDefault="00FB202E" w:rsidP="000378E2">
      <w:pPr>
        <w:spacing w:after="0" w:line="240" w:lineRule="auto"/>
        <w:jc w:val="both"/>
        <w:rPr>
          <w:rFonts w:ascii="Arial" w:hAnsi="Arial" w:cs="Arial"/>
        </w:rPr>
      </w:pPr>
      <w:r w:rsidRPr="00FB202E">
        <w:rPr>
          <w:rFonts w:ascii="Arial" w:hAnsi="Arial" w:cs="Arial"/>
        </w:rPr>
        <w:t xml:space="preserve">Ostvarivanje ovog cilja podrazumijeva uspostavljanje nacionalnog okvira za mapiranje, procjenu i vrednovanje ekosistemskih usluga, kao osnove za njihovu integraciju u javne politike i procese odlučivanja, kroz primjenu međunarodnih metodologija (npr. MAES, IPBES), sprovođenje nacionalnih procjena prioritetnih usluga i jačanje kapaciteta nadležnih sektora. Na osnovu dobijenih rezultata izradiće se smjernice za uključivanje vrijednosti biodiverziteta u </w:t>
      </w:r>
      <w:r w:rsidRPr="00FB202E">
        <w:rPr>
          <w:rFonts w:ascii="Arial" w:hAnsi="Arial" w:cs="Arial"/>
        </w:rPr>
        <w:lastRenderedPageBreak/>
        <w:t>strateško i prostorno planiranje, procjene uticaja i budžetske procese, uz uspostavljanje institucionalnog okvira (npr. kroz SEEA EA) za povezivanje prirodnog kapitala sa ekonomskim i razvojnim pokazateljima, čime se obezbjeđuje donošenje odluka zasnovanih na dokazima i prepoznavanje biodiverziteta kao razvojnog resursa.</w:t>
      </w:r>
    </w:p>
    <w:p w:rsidR="00FB202E" w:rsidRPr="00F665A1" w:rsidRDefault="00FB202E" w:rsidP="00F5487B">
      <w:pPr>
        <w:spacing w:after="0"/>
        <w:jc w:val="both"/>
        <w:rPr>
          <w:rFonts w:ascii="Arial" w:hAnsi="Arial" w:cs="Arial"/>
        </w:rPr>
      </w:pPr>
    </w:p>
    <w:p w:rsidR="00F665A1" w:rsidRDefault="00F665A1" w:rsidP="00F5487B">
      <w:pPr>
        <w:spacing w:after="0"/>
        <w:jc w:val="both"/>
        <w:rPr>
          <w:rFonts w:ascii="Arial" w:hAnsi="Arial" w:cs="Arial"/>
          <w:b/>
          <w:bCs/>
          <w:i/>
        </w:rPr>
      </w:pPr>
      <w:r>
        <w:rPr>
          <w:rFonts w:ascii="Arial" w:hAnsi="Arial" w:cs="Arial"/>
          <w:b/>
          <w:bCs/>
        </w:rPr>
        <w:t xml:space="preserve">OC </w:t>
      </w:r>
      <w:r w:rsidRPr="00F665A1">
        <w:rPr>
          <w:rFonts w:ascii="Arial" w:hAnsi="Arial" w:cs="Arial"/>
          <w:b/>
          <w:bCs/>
        </w:rPr>
        <w:t xml:space="preserve">3.3. </w:t>
      </w:r>
      <w:r w:rsidR="00EE1129" w:rsidRPr="00EE1129">
        <w:rPr>
          <w:rFonts w:ascii="Arial" w:hAnsi="Arial" w:cs="Arial"/>
          <w:b/>
          <w:bCs/>
          <w:i/>
        </w:rPr>
        <w:t>Do 2031. godine, rješenja zasnovanih na prirodi (NbS) i zelene/plave infrastrukture se sistemski primjenjuju u procesima donošenja odluka, kako bi se povećala otpornost zajednica na klimatske promjene i očuvali biodiverzitet i ekosiste</w:t>
      </w:r>
      <w:r w:rsidR="00EE1129">
        <w:rPr>
          <w:rFonts w:ascii="Arial" w:hAnsi="Arial" w:cs="Arial"/>
          <w:b/>
          <w:bCs/>
          <w:i/>
        </w:rPr>
        <w:t>mske usluge (GBF: T8, T11, T12)</w:t>
      </w:r>
    </w:p>
    <w:p w:rsidR="00F5487B" w:rsidRPr="00F665A1" w:rsidRDefault="00F5487B" w:rsidP="00F5487B">
      <w:pPr>
        <w:spacing w:after="0"/>
        <w:jc w:val="both"/>
        <w:rPr>
          <w:rFonts w:ascii="Arial" w:hAnsi="Arial" w:cs="Arial"/>
          <w:b/>
          <w:bCs/>
          <w:i/>
        </w:rPr>
      </w:pPr>
    </w:p>
    <w:p w:rsidR="00F5487B" w:rsidRPr="00FB202E" w:rsidRDefault="00FB202E" w:rsidP="000378E2">
      <w:pPr>
        <w:spacing w:after="0" w:line="240" w:lineRule="auto"/>
        <w:jc w:val="both"/>
        <w:rPr>
          <w:rFonts w:ascii="Arial" w:hAnsi="Arial" w:cs="Arial"/>
        </w:rPr>
      </w:pPr>
      <w:r w:rsidRPr="00FB202E">
        <w:rPr>
          <w:rFonts w:ascii="Arial" w:hAnsi="Arial" w:cs="Arial"/>
        </w:rPr>
        <w:t>Ostvarivanje ovog cilja podrazumijeva sistemsku integraciju rješenja zasnovanih na prirodi (NbS) i zelene/plave infrastrukture u sektorske politike, planiranje i investicije, uz jačanje nadzora nad sprovođenjem propisa kroz koordinisane planove inspekcija i razvoj nacionalnog okvira za praćenje efekata na biodiverzitet, sa jasnim indikatorima i transparentnim izvještavanjem. Paralelno, kroz pilot primjenu NbS u urbanim, ruralnim i obalnim područjima testiraće se modeli implementacije uz standardizovan monitoring, a na osnovu rezultata razviti preporuke za replikaciju, integraciju u planove upravljanja i investicione tokove, kao i održive modele finansiranja, čime NbS postaje operativni alat za smanjenje pritisaka na biodiverzitet i jačanje otpornosti zajednica.</w:t>
      </w:r>
    </w:p>
    <w:p w:rsidR="00FB202E" w:rsidRPr="00F665A1" w:rsidRDefault="00FB202E" w:rsidP="00F5487B">
      <w:pPr>
        <w:spacing w:after="0"/>
        <w:jc w:val="both"/>
        <w:rPr>
          <w:rFonts w:ascii="Arial" w:hAnsi="Arial" w:cs="Arial"/>
        </w:rPr>
      </w:pPr>
    </w:p>
    <w:p w:rsidR="00F5487B" w:rsidRDefault="00F665A1" w:rsidP="00F5487B">
      <w:pPr>
        <w:spacing w:after="0"/>
        <w:jc w:val="both"/>
        <w:rPr>
          <w:rFonts w:ascii="Arial" w:hAnsi="Arial" w:cs="Arial"/>
          <w:b/>
          <w:bCs/>
          <w:i/>
        </w:rPr>
      </w:pPr>
      <w:r>
        <w:rPr>
          <w:rFonts w:ascii="Arial" w:hAnsi="Arial" w:cs="Arial"/>
          <w:b/>
          <w:bCs/>
        </w:rPr>
        <w:t xml:space="preserve">OC </w:t>
      </w:r>
      <w:r w:rsidRPr="00F665A1">
        <w:rPr>
          <w:rFonts w:ascii="Arial" w:hAnsi="Arial" w:cs="Arial"/>
          <w:b/>
          <w:bCs/>
        </w:rPr>
        <w:t xml:space="preserve">3.4. </w:t>
      </w:r>
      <w:r w:rsidR="00EE1129" w:rsidRPr="00EE1129">
        <w:rPr>
          <w:rFonts w:ascii="Arial" w:hAnsi="Arial" w:cs="Arial"/>
          <w:b/>
          <w:bCs/>
          <w:i/>
        </w:rPr>
        <w:t>Do 2031. godine unaprijeđeno je sprovođenje sektorskih propisa koji utiču na biodiverzitet kroz jačanje zakonodavnog o</w:t>
      </w:r>
      <w:r w:rsidR="00B8352A">
        <w:rPr>
          <w:rFonts w:ascii="Arial" w:hAnsi="Arial" w:cs="Arial"/>
          <w:b/>
          <w:bCs/>
          <w:i/>
        </w:rPr>
        <w:t xml:space="preserve">kvira i njegove implementacije </w:t>
      </w:r>
      <w:r w:rsidR="00EE1129" w:rsidRPr="00EE1129">
        <w:rPr>
          <w:rFonts w:ascii="Arial" w:hAnsi="Arial" w:cs="Arial"/>
          <w:b/>
          <w:bCs/>
          <w:i/>
        </w:rPr>
        <w:t>(GBF: T9, T14, T15, doprinosi T5)</w:t>
      </w:r>
    </w:p>
    <w:p w:rsidR="00F5487B" w:rsidRDefault="00F5487B" w:rsidP="00F5487B">
      <w:pPr>
        <w:spacing w:after="0"/>
        <w:jc w:val="both"/>
        <w:rPr>
          <w:rFonts w:ascii="Arial" w:hAnsi="Arial" w:cs="Arial"/>
          <w:b/>
          <w:bCs/>
          <w:i/>
        </w:rPr>
      </w:pPr>
    </w:p>
    <w:p w:rsidR="00F5487B" w:rsidRPr="000378E2" w:rsidRDefault="000378E2" w:rsidP="000378E2">
      <w:pPr>
        <w:spacing w:after="0" w:line="240" w:lineRule="auto"/>
        <w:jc w:val="both"/>
        <w:rPr>
          <w:rFonts w:ascii="Arial" w:hAnsi="Arial" w:cs="Arial"/>
        </w:rPr>
      </w:pPr>
      <w:r w:rsidRPr="000378E2">
        <w:rPr>
          <w:rFonts w:ascii="Arial" w:hAnsi="Arial" w:cs="Arial"/>
        </w:rPr>
        <w:t>Ovaj operativni cilj usmjeren je na unapređenje sprovođenja sektorskih propisa koji utiču na biodiverzitet kroz jačanje zakonodavnog okvira, njegovu međusobnu usklađenost i dosljednu primjenu u praksi. To podrazumijeva analizu usklađenosti propisa između sektora i sa ciljevima Strategije, Globalnog okvira za biodiverzitet i EU pravnom tekovinom, izradu plana zakonodavnih izmjena i jačanje kaznene politike za eko-kriminal. Istovremeno, uspostaviće se koordinisan sistem nadzora i praćenja efekata primjene propisa, sa jasnim indikatorima i obavezom javnog izvještavanja, uz jačanje kapaciteta inspekcija, policije, pravosuđa i sektorskih organa kroz obuke, opremu i formalizovanu saradnju u suzbijanju ilegalnih aktivnosti, čime se obezbjeđuje prelazak sa formalnog postojanja propisa na njihovu efektivnu primjenu i smanjenje pritisaka na biodiverzitet.</w:t>
      </w:r>
    </w:p>
    <w:p w:rsidR="000378E2" w:rsidRPr="00F665A1" w:rsidRDefault="000378E2" w:rsidP="00F5487B">
      <w:pPr>
        <w:spacing w:after="0"/>
        <w:jc w:val="both"/>
        <w:rPr>
          <w:rFonts w:ascii="Arial" w:hAnsi="Arial" w:cs="Arial"/>
        </w:rPr>
      </w:pPr>
    </w:p>
    <w:p w:rsidR="00F665A1" w:rsidRDefault="00F665A1" w:rsidP="00F5487B">
      <w:pPr>
        <w:spacing w:after="0"/>
        <w:jc w:val="both"/>
        <w:rPr>
          <w:rFonts w:ascii="Arial" w:hAnsi="Arial" w:cs="Arial"/>
          <w:b/>
          <w:bCs/>
          <w:i/>
        </w:rPr>
      </w:pPr>
      <w:r>
        <w:rPr>
          <w:rFonts w:ascii="Arial" w:hAnsi="Arial" w:cs="Arial"/>
          <w:b/>
          <w:bCs/>
        </w:rPr>
        <w:t xml:space="preserve">OC </w:t>
      </w:r>
      <w:r w:rsidRPr="00F665A1">
        <w:rPr>
          <w:rFonts w:ascii="Arial" w:hAnsi="Arial" w:cs="Arial"/>
          <w:b/>
          <w:bCs/>
        </w:rPr>
        <w:t xml:space="preserve">3.5. </w:t>
      </w:r>
      <w:r w:rsidR="00F5487B" w:rsidRPr="00F5487B">
        <w:rPr>
          <w:rFonts w:ascii="Arial" w:hAnsi="Arial" w:cs="Arial"/>
          <w:b/>
          <w:bCs/>
          <w:i/>
        </w:rPr>
        <w:t>Do 2031. godine unaprijeđeni su obrasci potrošnje i proizvodnje u ključnim sektorima kroz mjere koje smanjuju negativni biodiverzitetski otisak i podstiču odgovorne lance snabdijevanja (GBF: T16, do</w:t>
      </w:r>
      <w:r w:rsidR="00F5487B">
        <w:rPr>
          <w:rFonts w:ascii="Arial" w:hAnsi="Arial" w:cs="Arial"/>
          <w:b/>
          <w:bCs/>
          <w:i/>
        </w:rPr>
        <w:t>prinosi T7, T10, T15, T18, T19)</w:t>
      </w:r>
    </w:p>
    <w:p w:rsidR="00F5487B" w:rsidRPr="00F665A1" w:rsidRDefault="00F5487B" w:rsidP="00F5487B">
      <w:pPr>
        <w:spacing w:after="0"/>
        <w:jc w:val="both"/>
        <w:rPr>
          <w:rFonts w:ascii="Arial" w:hAnsi="Arial" w:cs="Arial"/>
          <w:b/>
          <w:bCs/>
          <w:i/>
        </w:rPr>
      </w:pPr>
    </w:p>
    <w:p w:rsidR="00F665A1" w:rsidRPr="000B46FD" w:rsidRDefault="000B46FD" w:rsidP="000B46FD">
      <w:pPr>
        <w:spacing w:line="240" w:lineRule="auto"/>
        <w:jc w:val="both"/>
        <w:rPr>
          <w:rFonts w:ascii="Arial" w:hAnsi="Arial" w:cs="Arial"/>
        </w:rPr>
      </w:pPr>
      <w:r>
        <w:rPr>
          <w:rFonts w:ascii="Arial" w:hAnsi="Arial" w:cs="Arial"/>
        </w:rPr>
        <w:t>U</w:t>
      </w:r>
      <w:r w:rsidR="00DC4669" w:rsidRPr="000B46FD">
        <w:rPr>
          <w:rFonts w:ascii="Arial" w:hAnsi="Arial" w:cs="Arial"/>
        </w:rPr>
        <w:t>smjeren je na sistemsku promjenu obrazaca proizvodnje i potrošnje kroz smanjenje negativnih uticaja ključnih sektora na biodiverzitet i podsticanje odgovornijih lanaca snabdijevanja. U tom cilju razviće se nacionalni okvir za identifikaciju i praćenje biodiverzitetskog otiska sektora, sa pilot primjenom u prioritetnim oblastima, uz uvođenje principa odgovornog snabdijevanja kroz javne nabavke i dobrovoljne smjernice za privredu, posebno u turizmu. Poseban fokus biće na integraciji principa cirkularne ekonomije, uključujući identifikaciju zona sa najvećim pritiscima otpada i definisanje minimalnih standarda za lokalne samouprave, čime se usmjerava razvoj ka modelima koji sistematski uvažavaju biodiverzitetski otisak i jačaju održivost investicija i lanaca vrijednosti.</w:t>
      </w:r>
    </w:p>
    <w:p w:rsidR="00721DEF" w:rsidRDefault="00721DEF" w:rsidP="00DB7D81"/>
    <w:p w:rsidR="008D4259" w:rsidRDefault="008D4259" w:rsidP="00DB7D81"/>
    <w:p w:rsidR="008D4259" w:rsidRPr="00DB7D81" w:rsidRDefault="008D4259" w:rsidP="00DB7D81"/>
    <w:p w:rsidR="000B4004" w:rsidRPr="00F665A1" w:rsidRDefault="000B4004" w:rsidP="00F665A1">
      <w:pPr>
        <w:pStyle w:val="Heading3"/>
        <w:rPr>
          <w:rFonts w:ascii="Arial" w:hAnsi="Arial" w:cs="Arial"/>
          <w:sz w:val="26"/>
          <w:szCs w:val="26"/>
        </w:rPr>
      </w:pPr>
      <w:bookmarkStart w:id="32" w:name="_Toc222754381"/>
      <w:r>
        <w:rPr>
          <w:rFonts w:ascii="Arial" w:hAnsi="Arial" w:cs="Arial"/>
          <w:sz w:val="26"/>
          <w:szCs w:val="26"/>
        </w:rPr>
        <w:lastRenderedPageBreak/>
        <w:t>3.2.4 Horizontalni s</w:t>
      </w:r>
      <w:r w:rsidRPr="00DB7D81">
        <w:rPr>
          <w:rFonts w:ascii="Arial" w:hAnsi="Arial" w:cs="Arial"/>
          <w:sz w:val="26"/>
          <w:szCs w:val="26"/>
        </w:rPr>
        <w:t xml:space="preserve">trateški cilj </w:t>
      </w:r>
      <w:r>
        <w:rPr>
          <w:rFonts w:ascii="Arial" w:hAnsi="Arial" w:cs="Arial"/>
          <w:sz w:val="26"/>
          <w:szCs w:val="26"/>
        </w:rPr>
        <w:t>4</w:t>
      </w:r>
      <w:r w:rsidRPr="00DB7D81">
        <w:rPr>
          <w:rFonts w:ascii="Arial" w:hAnsi="Arial" w:cs="Arial"/>
          <w:sz w:val="26"/>
          <w:szCs w:val="26"/>
        </w:rPr>
        <w:t xml:space="preserve"> sa pripadajućim operativnim ciljevima</w:t>
      </w:r>
      <w:bookmarkEnd w:id="32"/>
    </w:p>
    <w:tbl>
      <w:tblPr>
        <w:tblStyle w:val="TableGrid"/>
        <w:tblW w:w="0" w:type="auto"/>
        <w:tblLook w:val="04A0" w:firstRow="1" w:lastRow="0" w:firstColumn="1" w:lastColumn="0" w:noHBand="0" w:noVBand="1"/>
      </w:tblPr>
      <w:tblGrid>
        <w:gridCol w:w="988"/>
        <w:gridCol w:w="1987"/>
        <w:gridCol w:w="6086"/>
      </w:tblGrid>
      <w:tr w:rsidR="000B4004" w:rsidRPr="000B4004" w:rsidTr="000B4004">
        <w:tc>
          <w:tcPr>
            <w:tcW w:w="2975" w:type="dxa"/>
            <w:gridSpan w:val="2"/>
            <w:shd w:val="clear" w:color="auto" w:fill="FBDBCD"/>
          </w:tcPr>
          <w:p w:rsidR="000B4004" w:rsidRPr="000B4004" w:rsidRDefault="000B4004" w:rsidP="000B4004">
            <w:pPr>
              <w:rPr>
                <w:rFonts w:ascii="Arial" w:hAnsi="Arial" w:cs="Arial"/>
                <w:sz w:val="20"/>
                <w:szCs w:val="20"/>
              </w:rPr>
            </w:pPr>
            <w:r w:rsidRPr="000B4004">
              <w:rPr>
                <w:rFonts w:ascii="Arial" w:hAnsi="Arial" w:cs="Arial"/>
                <w:sz w:val="20"/>
                <w:szCs w:val="20"/>
              </w:rPr>
              <w:t>Prblem 4</w:t>
            </w:r>
          </w:p>
        </w:tc>
        <w:tc>
          <w:tcPr>
            <w:tcW w:w="6086" w:type="dxa"/>
            <w:shd w:val="clear" w:color="auto" w:fill="D9E2F3" w:themeFill="accent5" w:themeFillTint="33"/>
          </w:tcPr>
          <w:p w:rsidR="000B4004" w:rsidRPr="000B4004" w:rsidRDefault="000B4004" w:rsidP="000B4004">
            <w:pPr>
              <w:rPr>
                <w:rFonts w:ascii="Arial" w:hAnsi="Arial" w:cs="Arial"/>
                <w:b/>
                <w:bCs/>
                <w:sz w:val="20"/>
                <w:szCs w:val="20"/>
              </w:rPr>
            </w:pPr>
            <w:r w:rsidRPr="000B4004">
              <w:rPr>
                <w:rFonts w:ascii="Arial" w:hAnsi="Arial" w:cs="Arial"/>
                <w:b/>
                <w:bCs/>
                <w:sz w:val="20"/>
                <w:szCs w:val="20"/>
              </w:rPr>
              <w:t>Horizontalni stratški cilj 4</w:t>
            </w:r>
          </w:p>
        </w:tc>
      </w:tr>
      <w:tr w:rsidR="000B4004" w:rsidRPr="000B4004" w:rsidTr="000B4004">
        <w:tc>
          <w:tcPr>
            <w:tcW w:w="2975" w:type="dxa"/>
            <w:gridSpan w:val="2"/>
            <w:shd w:val="clear" w:color="auto" w:fill="FBDBCD"/>
          </w:tcPr>
          <w:p w:rsidR="000B4004" w:rsidRPr="00F665A1" w:rsidRDefault="00F665A1" w:rsidP="000B4004">
            <w:pPr>
              <w:rPr>
                <w:rFonts w:ascii="Arial" w:hAnsi="Arial" w:cs="Arial"/>
                <w:sz w:val="20"/>
                <w:szCs w:val="20"/>
              </w:rPr>
            </w:pPr>
            <w:r w:rsidRPr="00F665A1">
              <w:rPr>
                <w:rFonts w:ascii="Arial" w:hAnsi="Arial" w:cs="Arial"/>
                <w:bCs/>
                <w:sz w:val="20"/>
                <w:szCs w:val="20"/>
              </w:rPr>
              <w:t>Sistemski nedostatak kapaciteta, koordinacije i inkluzivnih mehanizama za efektivno upravljanje biodiverzitetom</w:t>
            </w:r>
            <w:r w:rsidR="00E64513">
              <w:rPr>
                <w:rFonts w:ascii="Arial" w:hAnsi="Arial" w:cs="Arial"/>
                <w:bCs/>
                <w:sz w:val="20"/>
                <w:szCs w:val="20"/>
              </w:rPr>
              <w:t>.</w:t>
            </w:r>
          </w:p>
        </w:tc>
        <w:tc>
          <w:tcPr>
            <w:tcW w:w="6086" w:type="dxa"/>
            <w:shd w:val="clear" w:color="auto" w:fill="D9E2F3" w:themeFill="accent5" w:themeFillTint="33"/>
          </w:tcPr>
          <w:p w:rsidR="000B4004" w:rsidRPr="000B4004" w:rsidRDefault="007B1FA3" w:rsidP="000B4004">
            <w:pPr>
              <w:rPr>
                <w:rFonts w:ascii="Arial" w:hAnsi="Arial" w:cs="Arial"/>
                <w:sz w:val="20"/>
                <w:szCs w:val="20"/>
              </w:rPr>
            </w:pPr>
            <w:r w:rsidRPr="007B1FA3">
              <w:rPr>
                <w:rFonts w:ascii="Arial" w:hAnsi="Arial" w:cs="Arial"/>
                <w:b/>
                <w:bCs/>
                <w:color w:val="000000"/>
                <w:sz w:val="20"/>
                <w:szCs w:val="20"/>
              </w:rPr>
              <w:t>Do 2031. godine funkcioniše, efikasan, koordinisan i inkluzivan institucionalni sistem za zaštitu, obnovu i očuvanje biodiverziteta, sa jasnim nadležnostima, obezbijeđenim finansijskim i ljudskim kapacitetima, sa transparentnim, inkluzivnim i rodno odgovornim odlučivanjem zasnovanim na stručnim podacima</w:t>
            </w:r>
            <w:r w:rsidR="00E64513">
              <w:rPr>
                <w:rFonts w:ascii="Arial" w:hAnsi="Arial" w:cs="Arial"/>
                <w:b/>
                <w:bCs/>
                <w:color w:val="000000"/>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4.1</w:t>
            </w:r>
          </w:p>
        </w:tc>
        <w:tc>
          <w:tcPr>
            <w:tcW w:w="8073" w:type="dxa"/>
            <w:gridSpan w:val="2"/>
            <w:shd w:val="clear" w:color="auto" w:fill="F2F2F2" w:themeFill="background1" w:themeFillShade="F2"/>
          </w:tcPr>
          <w:p w:rsidR="000B4004" w:rsidRPr="000B4004" w:rsidRDefault="007B1FA3" w:rsidP="000B4004">
            <w:pPr>
              <w:rPr>
                <w:rFonts w:ascii="Arial" w:eastAsia="Times New Roman" w:hAnsi="Arial" w:cs="Arial"/>
                <w:sz w:val="20"/>
                <w:szCs w:val="20"/>
              </w:rPr>
            </w:pPr>
            <w:r w:rsidRPr="007B1FA3">
              <w:rPr>
                <w:rFonts w:ascii="Arial" w:eastAsia="Times New Roman" w:hAnsi="Arial" w:cs="Arial"/>
                <w:sz w:val="20"/>
                <w:szCs w:val="20"/>
              </w:rPr>
              <w:t>Do 2031. godine ojačani su ljudski i institucionalni kapaciteti za zaštitu i održivo korišćenje biodiverziteta (GBF: T20, T21, T19; doprinos skoro svim ostalim ciljevima i zadacima)</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4.2</w:t>
            </w:r>
          </w:p>
        </w:tc>
        <w:tc>
          <w:tcPr>
            <w:tcW w:w="8073" w:type="dxa"/>
            <w:gridSpan w:val="2"/>
            <w:shd w:val="clear" w:color="auto" w:fill="F2F2F2" w:themeFill="background1" w:themeFillShade="F2"/>
          </w:tcPr>
          <w:p w:rsidR="000B4004" w:rsidRPr="000B4004" w:rsidRDefault="007B1FA3" w:rsidP="000B4004">
            <w:pPr>
              <w:rPr>
                <w:rFonts w:ascii="Arial" w:eastAsia="Times New Roman" w:hAnsi="Arial" w:cs="Arial"/>
                <w:sz w:val="20"/>
                <w:szCs w:val="20"/>
              </w:rPr>
            </w:pPr>
            <w:r w:rsidRPr="007B1FA3">
              <w:rPr>
                <w:rFonts w:ascii="Arial" w:eastAsia="Times New Roman" w:hAnsi="Arial" w:cs="Arial"/>
                <w:sz w:val="20"/>
                <w:szCs w:val="20"/>
              </w:rPr>
              <w:t>Do 2031. godine uspostavljen je i dosljedno se primjenjuje okvir koji obezbjeđuje za rodno odgovorno, inkluzivno i participativno učešće građana/ki, lokalnih zajednica i  ranjivih grupa u planiranju, donošenju i sprovođenju odluka koje utiču na biodiverzitet (GBF: T22, T23, doprinosi T21; prozima se kroz sve ostale ciljeve i zadatke)</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4.3</w:t>
            </w:r>
          </w:p>
        </w:tc>
        <w:tc>
          <w:tcPr>
            <w:tcW w:w="8073" w:type="dxa"/>
            <w:gridSpan w:val="2"/>
            <w:shd w:val="clear" w:color="auto" w:fill="F2F2F2" w:themeFill="background1" w:themeFillShade="F2"/>
          </w:tcPr>
          <w:p w:rsidR="000B4004" w:rsidRPr="000B4004" w:rsidRDefault="00F33FBE" w:rsidP="000B4004">
            <w:pPr>
              <w:rPr>
                <w:rFonts w:ascii="Arial" w:eastAsia="Times New Roman" w:hAnsi="Arial" w:cs="Arial"/>
                <w:sz w:val="20"/>
                <w:szCs w:val="20"/>
              </w:rPr>
            </w:pPr>
            <w:r w:rsidRPr="00F33FBE">
              <w:rPr>
                <w:rFonts w:ascii="Arial" w:eastAsia="Times New Roman" w:hAnsi="Arial" w:cs="Arial"/>
                <w:sz w:val="20"/>
                <w:szCs w:val="20"/>
              </w:rPr>
              <w:t>Do 2031. godine, izdvajanja javnog sektora za očuvanje biodiverziteta su uvećana najmanje dva puta, osigurani su stabilni izvori finansiranja za sva zaštićena područja i povećana izdvajanja privatnog sektora (GBF</w:t>
            </w:r>
            <w:r w:rsidR="004208DB">
              <w:rPr>
                <w:rFonts w:ascii="Arial" w:eastAsia="Times New Roman" w:hAnsi="Arial" w:cs="Arial"/>
                <w:sz w:val="20"/>
                <w:szCs w:val="20"/>
              </w:rPr>
              <w:t>:</w:t>
            </w:r>
            <w:r w:rsidRPr="00F33FBE">
              <w:rPr>
                <w:rFonts w:ascii="Arial" w:eastAsia="Times New Roman" w:hAnsi="Arial" w:cs="Arial"/>
                <w:sz w:val="20"/>
                <w:szCs w:val="20"/>
              </w:rPr>
              <w:t xml:space="preserve"> T19; doprinos T14, T15, T18)</w:t>
            </w:r>
            <w:r w:rsidR="00E64513">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4.4</w:t>
            </w:r>
          </w:p>
        </w:tc>
        <w:tc>
          <w:tcPr>
            <w:tcW w:w="8073" w:type="dxa"/>
            <w:gridSpan w:val="2"/>
            <w:shd w:val="clear" w:color="auto" w:fill="F2F2F2" w:themeFill="background1" w:themeFillShade="F2"/>
          </w:tcPr>
          <w:p w:rsidR="006C58FD" w:rsidRPr="000B4004" w:rsidRDefault="006C58FD" w:rsidP="006C58FD">
            <w:pPr>
              <w:rPr>
                <w:rFonts w:ascii="Arial" w:eastAsia="Times New Roman" w:hAnsi="Arial" w:cs="Arial"/>
                <w:sz w:val="20"/>
                <w:szCs w:val="20"/>
              </w:rPr>
            </w:pPr>
            <w:r w:rsidRPr="006C58FD">
              <w:rPr>
                <w:rFonts w:ascii="Arial" w:eastAsia="Times New Roman" w:hAnsi="Arial" w:cs="Arial"/>
                <w:sz w:val="20"/>
                <w:szCs w:val="20"/>
              </w:rPr>
              <w:t>Do 2031. godine, reformisani su postojeći podsticaji u cilju očuvanja i održivog korišćenja biodiverziteta (GBF</w:t>
            </w:r>
            <w:r w:rsidR="004208DB">
              <w:rPr>
                <w:rFonts w:ascii="Arial" w:eastAsia="Times New Roman" w:hAnsi="Arial" w:cs="Arial"/>
                <w:sz w:val="20"/>
                <w:szCs w:val="20"/>
              </w:rPr>
              <w:t>:</w:t>
            </w:r>
            <w:r w:rsidRPr="006C58FD">
              <w:rPr>
                <w:rFonts w:ascii="Arial" w:eastAsia="Times New Roman" w:hAnsi="Arial" w:cs="Arial"/>
                <w:sz w:val="20"/>
                <w:szCs w:val="20"/>
              </w:rPr>
              <w:t xml:space="preserve"> T18; T15; T10)</w:t>
            </w:r>
            <w:r w:rsidR="00E64513">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4.5</w:t>
            </w:r>
          </w:p>
        </w:tc>
        <w:tc>
          <w:tcPr>
            <w:tcW w:w="8073" w:type="dxa"/>
            <w:gridSpan w:val="2"/>
            <w:shd w:val="clear" w:color="auto" w:fill="F2F2F2" w:themeFill="background1" w:themeFillShade="F2"/>
          </w:tcPr>
          <w:p w:rsidR="000B4004" w:rsidRPr="000B4004" w:rsidRDefault="006C58FD" w:rsidP="000B4004">
            <w:pPr>
              <w:rPr>
                <w:rFonts w:ascii="Arial" w:eastAsia="Times New Roman" w:hAnsi="Arial" w:cs="Arial"/>
                <w:sz w:val="20"/>
                <w:szCs w:val="20"/>
              </w:rPr>
            </w:pPr>
            <w:r w:rsidRPr="006C58FD">
              <w:rPr>
                <w:rFonts w:ascii="Arial" w:eastAsia="Times New Roman" w:hAnsi="Arial" w:cs="Arial"/>
                <w:sz w:val="20"/>
                <w:szCs w:val="20"/>
              </w:rPr>
              <w:t xml:space="preserve">Do 2031. godine povećan je nivo javne informisanosti i razumijevanja biodiverziteta, usluga ekosistema i njihovog doprinosa blagostanju, kao i društvene </w:t>
            </w:r>
            <w:r w:rsidR="0082016D">
              <w:rPr>
                <w:rFonts w:ascii="Arial" w:eastAsia="Times New Roman" w:hAnsi="Arial" w:cs="Arial"/>
                <w:sz w:val="20"/>
                <w:szCs w:val="20"/>
              </w:rPr>
              <w:t>podrške očuvanju biodiverziteta</w:t>
            </w:r>
            <w:r w:rsidRPr="006C58FD">
              <w:rPr>
                <w:rFonts w:ascii="Arial" w:eastAsia="Times New Roman" w:hAnsi="Arial" w:cs="Arial"/>
                <w:sz w:val="20"/>
                <w:szCs w:val="20"/>
              </w:rPr>
              <w:t xml:space="preserve"> (GBF: T21, T22; doprinos ostalim ciljevima i zadacima)</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4.6</w:t>
            </w:r>
          </w:p>
        </w:tc>
        <w:tc>
          <w:tcPr>
            <w:tcW w:w="8073" w:type="dxa"/>
            <w:gridSpan w:val="2"/>
            <w:shd w:val="clear" w:color="auto" w:fill="F2F2F2" w:themeFill="background1" w:themeFillShade="F2"/>
          </w:tcPr>
          <w:p w:rsidR="000B4004" w:rsidRPr="000B4004" w:rsidRDefault="00171B37" w:rsidP="00171B37">
            <w:pPr>
              <w:rPr>
                <w:rFonts w:ascii="Arial" w:eastAsia="Times New Roman" w:hAnsi="Arial" w:cs="Arial"/>
                <w:sz w:val="20"/>
                <w:szCs w:val="20"/>
              </w:rPr>
            </w:pPr>
            <w:r w:rsidRPr="00171B37">
              <w:rPr>
                <w:rFonts w:ascii="Arial" w:eastAsia="Times New Roman" w:hAnsi="Arial" w:cs="Arial"/>
                <w:sz w:val="20"/>
                <w:szCs w:val="20"/>
              </w:rPr>
              <w:t>Do 2030. godine uspostavljen je funkcionalan, standardizovan i održiv nacionalni sistem monitoringa, upravljanja podacima i znanjem o biodiverzitetu za informisano odlučivanje, adaptivno upravljanje i transparentno izvještavanje (GBF: T21, doprinosi T20, T14)</w:t>
            </w:r>
            <w:r>
              <w:rPr>
                <w:rFonts w:ascii="Arial" w:eastAsia="Times New Roman" w:hAnsi="Arial" w:cs="Arial"/>
                <w:sz w:val="20"/>
                <w:szCs w:val="20"/>
              </w:rPr>
              <w:t>.</w:t>
            </w:r>
          </w:p>
        </w:tc>
      </w:tr>
      <w:tr w:rsidR="000B4004" w:rsidRPr="000B4004" w:rsidTr="000B4004">
        <w:tc>
          <w:tcPr>
            <w:tcW w:w="988" w:type="dxa"/>
            <w:shd w:val="clear" w:color="auto" w:fill="F2F2F2" w:themeFill="background1" w:themeFillShade="F2"/>
          </w:tcPr>
          <w:p w:rsidR="000B4004" w:rsidRPr="000B4004" w:rsidRDefault="000B4004" w:rsidP="000B4004">
            <w:pPr>
              <w:rPr>
                <w:rFonts w:ascii="Arial" w:hAnsi="Arial" w:cs="Arial"/>
                <w:b/>
                <w:sz w:val="20"/>
                <w:szCs w:val="20"/>
              </w:rPr>
            </w:pPr>
            <w:r w:rsidRPr="000B4004">
              <w:rPr>
                <w:rFonts w:ascii="Arial" w:hAnsi="Arial" w:cs="Arial"/>
                <w:b/>
                <w:sz w:val="20"/>
                <w:szCs w:val="20"/>
              </w:rPr>
              <w:t>O.C 4.7</w:t>
            </w:r>
          </w:p>
        </w:tc>
        <w:tc>
          <w:tcPr>
            <w:tcW w:w="8073" w:type="dxa"/>
            <w:gridSpan w:val="2"/>
            <w:shd w:val="clear" w:color="auto" w:fill="F2F2F2" w:themeFill="background1" w:themeFillShade="F2"/>
          </w:tcPr>
          <w:p w:rsidR="000B4004" w:rsidRPr="000B4004" w:rsidRDefault="00171B37" w:rsidP="000B4004">
            <w:pPr>
              <w:rPr>
                <w:rFonts w:ascii="Arial" w:eastAsia="Arial" w:hAnsi="Arial" w:cs="Arial"/>
                <w:sz w:val="20"/>
                <w:szCs w:val="20"/>
              </w:rPr>
            </w:pPr>
            <w:r w:rsidRPr="00171B37">
              <w:rPr>
                <w:rFonts w:ascii="Arial" w:eastAsia="Times New Roman" w:hAnsi="Arial" w:cs="Arial"/>
                <w:sz w:val="20"/>
                <w:szCs w:val="20"/>
              </w:rPr>
              <w:t>Do 2030. godine uspostavljen je funkcionalan sistem prepoznavanja, dokumentovanja, zaštite i primjene tradicionalnih znanja, inovacija i praksi lokalnih zajednica relevantnih za očuvanje i održivo korišćenje biodiverziteta, uz poštovanje prava nosilaca znanja i principa pravedne raspodjele koristi (GBF: T13, 22, doprinosi T21, T23)</w:t>
            </w:r>
            <w:r>
              <w:rPr>
                <w:rFonts w:ascii="Arial" w:eastAsia="Times New Roman" w:hAnsi="Arial" w:cs="Arial"/>
                <w:sz w:val="20"/>
                <w:szCs w:val="20"/>
              </w:rPr>
              <w:t>.</w:t>
            </w:r>
          </w:p>
        </w:tc>
      </w:tr>
    </w:tbl>
    <w:p w:rsidR="00F33FBE" w:rsidRDefault="00F33FBE" w:rsidP="00F33FBE">
      <w:pPr>
        <w:spacing w:after="0" w:line="240" w:lineRule="auto"/>
        <w:jc w:val="both"/>
        <w:rPr>
          <w:rFonts w:ascii="Arial" w:eastAsia="Arial" w:hAnsi="Arial" w:cs="Arial"/>
        </w:rPr>
      </w:pPr>
    </w:p>
    <w:p w:rsidR="00D571A6" w:rsidRDefault="00D571A6" w:rsidP="00F33FBE">
      <w:pPr>
        <w:spacing w:after="0" w:line="240" w:lineRule="auto"/>
        <w:jc w:val="both"/>
        <w:rPr>
          <w:rFonts w:ascii="Arial" w:eastAsia="Arial" w:hAnsi="Arial" w:cs="Arial"/>
        </w:rPr>
      </w:pPr>
    </w:p>
    <w:p w:rsidR="00721DEF" w:rsidRDefault="00721DEF" w:rsidP="00F33FBE">
      <w:pPr>
        <w:spacing w:after="0" w:line="240" w:lineRule="auto"/>
        <w:jc w:val="both"/>
        <w:rPr>
          <w:rFonts w:ascii="Arial" w:eastAsia="Arial" w:hAnsi="Arial" w:cs="Arial"/>
        </w:rPr>
      </w:pPr>
      <w:r w:rsidRPr="00721DEF">
        <w:rPr>
          <w:rFonts w:ascii="Arial" w:eastAsia="Arial" w:hAnsi="Arial" w:cs="Arial"/>
        </w:rPr>
        <w:t xml:space="preserve">Ovaj strateški cilj predstavlja horizontalnu osnovu za sprovođenje </w:t>
      </w:r>
      <w:r w:rsidR="0073617E">
        <w:rPr>
          <w:rFonts w:ascii="Arial" w:eastAsia="Arial" w:hAnsi="Arial" w:cs="Arial"/>
        </w:rPr>
        <w:t>NSBAP</w:t>
      </w:r>
      <w:r w:rsidRPr="00721DEF">
        <w:rPr>
          <w:rFonts w:ascii="Arial" w:eastAsia="Arial" w:hAnsi="Arial" w:cs="Arial"/>
        </w:rPr>
        <w:t>-a i ključni preduslov za ostvarivanje svih ostalih ciljeva. Njegova realizacija podrazumijeva jačanje kapaciteta institucija, osiguranje stabilnih finansijskih mehanizama, unapređenje participacije i rodne ravnopravnosti, razvoj sistema monitoringa i valorizaciju tradicionalnog znanja. Cilj je uspostavljanje funkcionalnog sistema koji omogućava donošenje odluka zasnovanih na podacima, koordinisano djelovanje i dugoročnu održivost mjera očuvanja biodiverziteta.</w:t>
      </w:r>
    </w:p>
    <w:p w:rsidR="00F33FBE" w:rsidRPr="00721DEF" w:rsidRDefault="00F33FBE" w:rsidP="00F33FBE">
      <w:pPr>
        <w:spacing w:after="0" w:line="240" w:lineRule="auto"/>
        <w:jc w:val="both"/>
        <w:rPr>
          <w:rFonts w:ascii="Arial" w:eastAsia="Arial" w:hAnsi="Arial" w:cs="Arial"/>
        </w:rPr>
      </w:pPr>
    </w:p>
    <w:p w:rsidR="007B1FA3" w:rsidRDefault="007B1FA3" w:rsidP="00F33FBE">
      <w:pPr>
        <w:spacing w:after="0" w:line="240" w:lineRule="auto"/>
        <w:jc w:val="both"/>
        <w:rPr>
          <w:rFonts w:ascii="Arial" w:eastAsia="Arial" w:hAnsi="Arial" w:cs="Arial"/>
          <w:b/>
          <w:bCs/>
          <w:i/>
        </w:rPr>
      </w:pPr>
      <w:r w:rsidRPr="007B1FA3">
        <w:rPr>
          <w:rFonts w:ascii="Arial" w:eastAsia="Arial" w:hAnsi="Arial" w:cs="Arial"/>
          <w:b/>
          <w:bCs/>
          <w:i/>
        </w:rPr>
        <w:t>OC 4.1. Do 2031. godine ojačani su ljudski i institucionalni kapaciteti za zaštitu i održivo korišćenje biodiverziteta (GBF: T20, T21, T19; doprinos skoro svim ostalim ciljevima i zadacima)</w:t>
      </w:r>
    </w:p>
    <w:p w:rsidR="00F33FBE" w:rsidRDefault="00F33FBE" w:rsidP="00F33FBE">
      <w:pPr>
        <w:spacing w:after="0" w:line="240" w:lineRule="auto"/>
        <w:jc w:val="both"/>
        <w:rPr>
          <w:rFonts w:ascii="Arial" w:eastAsia="Arial" w:hAnsi="Arial" w:cs="Arial"/>
          <w:b/>
          <w:bCs/>
          <w:i/>
        </w:rPr>
      </w:pPr>
    </w:p>
    <w:p w:rsidR="002E41CB" w:rsidRDefault="00721DEF" w:rsidP="00790E60">
      <w:pPr>
        <w:spacing w:after="0" w:line="240" w:lineRule="auto"/>
        <w:jc w:val="both"/>
        <w:rPr>
          <w:rFonts w:ascii="Arial" w:hAnsi="Arial" w:cs="Arial"/>
        </w:rPr>
      </w:pPr>
      <w:r w:rsidRPr="00790E60">
        <w:rPr>
          <w:rFonts w:ascii="Arial" w:eastAsia="Arial" w:hAnsi="Arial" w:cs="Arial"/>
        </w:rPr>
        <w:t xml:space="preserve">Ovaj operativni cilj usmjeren je na sistemsko jačanje administrativnih, stručnih i tehničkih kapaciteta na nacionalnom i lokalnom nivou. Podrazumijeva </w:t>
      </w:r>
      <w:r w:rsidR="002E41CB" w:rsidRPr="00790E60">
        <w:rPr>
          <w:rFonts w:ascii="Arial" w:hAnsi="Arial" w:cs="Arial"/>
        </w:rPr>
        <w:t>sistemsk</w:t>
      </w:r>
      <w:r w:rsidR="007163DB" w:rsidRPr="00790E60">
        <w:rPr>
          <w:rFonts w:ascii="Arial" w:hAnsi="Arial" w:cs="Arial"/>
        </w:rPr>
        <w:t>u</w:t>
      </w:r>
      <w:r w:rsidR="002E41CB" w:rsidRPr="00790E60">
        <w:rPr>
          <w:rFonts w:ascii="Arial" w:hAnsi="Arial" w:cs="Arial"/>
        </w:rPr>
        <w:t xml:space="preserve"> procjen</w:t>
      </w:r>
      <w:r w:rsidR="0045792E" w:rsidRPr="00790E60">
        <w:rPr>
          <w:rFonts w:ascii="Arial" w:hAnsi="Arial" w:cs="Arial"/>
        </w:rPr>
        <w:t>u</w:t>
      </w:r>
      <w:r w:rsidR="002E41CB" w:rsidRPr="00790E60">
        <w:rPr>
          <w:rFonts w:ascii="Arial" w:hAnsi="Arial" w:cs="Arial"/>
        </w:rPr>
        <w:t xml:space="preserve"> kadrovskih i organizacionih potreba, definiš</w:t>
      </w:r>
      <w:r w:rsidR="00790E60" w:rsidRPr="00790E60">
        <w:rPr>
          <w:rFonts w:ascii="Arial" w:hAnsi="Arial" w:cs="Arial"/>
        </w:rPr>
        <w:t>u se</w:t>
      </w:r>
      <w:r w:rsidR="002E41CB" w:rsidRPr="00790E60">
        <w:rPr>
          <w:rFonts w:ascii="Arial" w:hAnsi="Arial" w:cs="Arial"/>
        </w:rPr>
        <w:t xml:space="preserve"> minimalni standardi kompetencija i razvijaju specijalizovani programi obuka za institucije nadležne za zaštitu prirode. Jača se stručnost u monitoringu, upravljanju, komunikaciji, participaciji i primjeni rodne analize, uz integraciju obuka u sistem javne uprave. Time se obezbjeđuje stabilna institucionalna osnova za sprovođenje svih ciljeva Strategije.</w:t>
      </w:r>
    </w:p>
    <w:p w:rsidR="00885D93" w:rsidRDefault="00885D93" w:rsidP="00790E60">
      <w:pPr>
        <w:spacing w:after="0" w:line="240" w:lineRule="auto"/>
        <w:jc w:val="both"/>
        <w:rPr>
          <w:rFonts w:ascii="Arial" w:hAnsi="Arial" w:cs="Arial"/>
        </w:rPr>
      </w:pPr>
    </w:p>
    <w:p w:rsidR="00885D93" w:rsidRDefault="00885D93" w:rsidP="00790E60">
      <w:pPr>
        <w:spacing w:after="0" w:line="240" w:lineRule="auto"/>
        <w:jc w:val="both"/>
        <w:rPr>
          <w:rFonts w:ascii="Arial" w:hAnsi="Arial" w:cs="Arial"/>
        </w:rPr>
      </w:pPr>
    </w:p>
    <w:p w:rsidR="00885D93" w:rsidRDefault="00885D93" w:rsidP="00790E60">
      <w:pPr>
        <w:spacing w:after="0" w:line="240" w:lineRule="auto"/>
        <w:jc w:val="both"/>
        <w:rPr>
          <w:rFonts w:ascii="Arial" w:hAnsi="Arial" w:cs="Arial"/>
        </w:rPr>
      </w:pPr>
    </w:p>
    <w:p w:rsidR="00885D93" w:rsidRPr="00790E60" w:rsidRDefault="00885D93" w:rsidP="00790E60">
      <w:pPr>
        <w:spacing w:after="0" w:line="240" w:lineRule="auto"/>
        <w:jc w:val="both"/>
        <w:rPr>
          <w:rFonts w:ascii="Arial" w:hAnsi="Arial" w:cs="Arial"/>
        </w:rPr>
      </w:pPr>
    </w:p>
    <w:p w:rsidR="00F33FBE" w:rsidRPr="00721DEF" w:rsidRDefault="00F33FBE" w:rsidP="00790E60">
      <w:pPr>
        <w:spacing w:after="0" w:line="240" w:lineRule="auto"/>
        <w:jc w:val="both"/>
        <w:rPr>
          <w:rFonts w:ascii="Arial" w:eastAsia="Arial" w:hAnsi="Arial" w:cs="Arial"/>
        </w:rPr>
      </w:pPr>
    </w:p>
    <w:p w:rsidR="00924359" w:rsidRDefault="00721DEF" w:rsidP="00F33FBE">
      <w:pPr>
        <w:spacing w:after="0" w:line="240" w:lineRule="auto"/>
        <w:jc w:val="both"/>
        <w:rPr>
          <w:rFonts w:ascii="Arial" w:eastAsia="Arial" w:hAnsi="Arial" w:cs="Arial"/>
          <w:b/>
          <w:bCs/>
          <w:i/>
        </w:rPr>
      </w:pPr>
      <w:r w:rsidRPr="00721DEF">
        <w:rPr>
          <w:rFonts w:ascii="Arial" w:eastAsia="Arial" w:hAnsi="Arial" w:cs="Arial"/>
          <w:b/>
          <w:bCs/>
        </w:rPr>
        <w:lastRenderedPageBreak/>
        <w:t>OC 4.2</w:t>
      </w:r>
      <w:r>
        <w:rPr>
          <w:rFonts w:ascii="Arial" w:eastAsia="Arial" w:hAnsi="Arial" w:cs="Arial"/>
          <w:b/>
          <w:bCs/>
        </w:rPr>
        <w:t xml:space="preserve"> </w:t>
      </w:r>
      <w:r w:rsidR="007B1FA3" w:rsidRPr="007B1FA3">
        <w:rPr>
          <w:rFonts w:ascii="Arial" w:eastAsia="Arial" w:hAnsi="Arial" w:cs="Arial"/>
          <w:b/>
          <w:bCs/>
          <w:i/>
        </w:rPr>
        <w:t>Do 2031. godine uspostavljen je i dosljedno se primjenjuje okvir koji obezbjeđuje za rodno odgovorno, inkluzivno i participativno učešće građana/ki, lokalnih zajednica i  ranjivih grupa u planiranju, donošenju i sprovođenju odluka koje utiču na biodiverzitet (GBF: T22, T23, doprinosi T21; prozima se kroz sve ostale ciljeve i zadatke)</w:t>
      </w:r>
    </w:p>
    <w:p w:rsidR="00F33FBE" w:rsidRDefault="00F33FBE" w:rsidP="00F33FBE">
      <w:pPr>
        <w:spacing w:after="0" w:line="240" w:lineRule="auto"/>
        <w:jc w:val="both"/>
        <w:rPr>
          <w:rFonts w:ascii="Arial" w:eastAsia="Arial" w:hAnsi="Arial" w:cs="Arial"/>
          <w:b/>
          <w:bCs/>
          <w:i/>
        </w:rPr>
      </w:pPr>
    </w:p>
    <w:p w:rsidR="00513D53" w:rsidRPr="003E7ABA" w:rsidRDefault="00721DEF" w:rsidP="00F33FBE">
      <w:pPr>
        <w:spacing w:after="0" w:line="240" w:lineRule="auto"/>
        <w:jc w:val="both"/>
        <w:rPr>
          <w:rFonts w:ascii="Arial" w:eastAsia="Arial" w:hAnsi="Arial" w:cs="Arial"/>
        </w:rPr>
      </w:pPr>
      <w:r w:rsidRPr="003E7ABA">
        <w:rPr>
          <w:rFonts w:ascii="Arial" w:eastAsia="Arial" w:hAnsi="Arial" w:cs="Arial"/>
        </w:rPr>
        <w:t xml:space="preserve">Ovaj cilj osigurava institucionalizaciju participativnog i rodno odgovornog pristupa u upravljanju biodiverzitetom. </w:t>
      </w:r>
      <w:r w:rsidR="00513D53" w:rsidRPr="003E7ABA">
        <w:rPr>
          <w:rFonts w:ascii="Arial" w:eastAsia="Arial" w:hAnsi="Arial" w:cs="Arial"/>
        </w:rPr>
        <w:t>Kroz ovaj cilj u</w:t>
      </w:r>
      <w:r w:rsidR="00513D53" w:rsidRPr="003E7ABA">
        <w:rPr>
          <w:rFonts w:ascii="Arial" w:hAnsi="Arial" w:cs="Arial"/>
        </w:rPr>
        <w:t>spostavljaju se nacionalne smjernice i obavezujući protokoli za transparentno učešće javnosti, uključujući obavezne konsultacije, rodnu analizu i dokumentovanje procesa. Jačaju se lokalni savjetodavni forumi i kapaciteti zajednica, uz formalno uključivanje njihovih preporuka u planiranje. Participacija postaje sistemski mehanizam upravljanja, a ne formalna procedura.</w:t>
      </w:r>
      <w:r w:rsidR="003E7ABA" w:rsidRPr="003E7ABA">
        <w:rPr>
          <w:rFonts w:ascii="Arial" w:hAnsi="Arial" w:cs="Arial"/>
        </w:rPr>
        <w:t xml:space="preserve"> </w:t>
      </w:r>
    </w:p>
    <w:p w:rsidR="00F33FBE" w:rsidRPr="00721DEF" w:rsidRDefault="00F33FBE" w:rsidP="00F33FBE">
      <w:pPr>
        <w:spacing w:after="0" w:line="240" w:lineRule="auto"/>
        <w:jc w:val="both"/>
        <w:rPr>
          <w:rFonts w:ascii="Arial" w:eastAsia="Arial" w:hAnsi="Arial" w:cs="Arial"/>
        </w:rPr>
      </w:pPr>
    </w:p>
    <w:p w:rsidR="00F4645F" w:rsidRDefault="00721DEF" w:rsidP="00F33FBE">
      <w:pPr>
        <w:spacing w:after="0" w:line="240" w:lineRule="auto"/>
        <w:jc w:val="both"/>
        <w:rPr>
          <w:rFonts w:ascii="Arial" w:eastAsia="Arial" w:hAnsi="Arial" w:cs="Arial"/>
          <w:b/>
          <w:bCs/>
          <w:i/>
        </w:rPr>
      </w:pPr>
      <w:r w:rsidRPr="00721DEF">
        <w:rPr>
          <w:rFonts w:ascii="Arial" w:eastAsia="Arial" w:hAnsi="Arial" w:cs="Arial"/>
          <w:b/>
          <w:bCs/>
        </w:rPr>
        <w:t>O.C 4.3</w:t>
      </w:r>
      <w:r>
        <w:rPr>
          <w:rFonts w:ascii="Arial" w:eastAsia="Arial" w:hAnsi="Arial" w:cs="Arial"/>
          <w:b/>
          <w:bCs/>
        </w:rPr>
        <w:t xml:space="preserve"> </w:t>
      </w:r>
      <w:r w:rsidR="00924359" w:rsidRPr="00924359">
        <w:rPr>
          <w:rFonts w:ascii="Arial" w:eastAsia="Arial" w:hAnsi="Arial" w:cs="Arial"/>
          <w:b/>
          <w:bCs/>
          <w:i/>
        </w:rPr>
        <w:t>Do 2031. godine, izdvajanja javnog sektora za očuvanje biodiverziteta su uvećana najmanje dva puta, osigurani su stabilni izvori finansiranja za sva zaštićena područja i povećana izdvajanja privatnog sektora (GBF</w:t>
      </w:r>
      <w:r w:rsidR="004208DB">
        <w:rPr>
          <w:rFonts w:ascii="Arial" w:eastAsia="Arial" w:hAnsi="Arial" w:cs="Arial"/>
          <w:b/>
          <w:bCs/>
          <w:i/>
        </w:rPr>
        <w:t>:</w:t>
      </w:r>
      <w:r w:rsidR="00924359" w:rsidRPr="00924359">
        <w:rPr>
          <w:rFonts w:ascii="Arial" w:eastAsia="Arial" w:hAnsi="Arial" w:cs="Arial"/>
          <w:b/>
          <w:bCs/>
          <w:i/>
        </w:rPr>
        <w:t xml:space="preserve"> T19; doprinos T14, T15, T18)</w:t>
      </w:r>
    </w:p>
    <w:p w:rsidR="00F33FBE" w:rsidRDefault="00F33FBE" w:rsidP="00F33FBE">
      <w:pPr>
        <w:spacing w:after="0" w:line="240" w:lineRule="auto"/>
        <w:jc w:val="both"/>
        <w:rPr>
          <w:rFonts w:ascii="Arial" w:eastAsia="Arial" w:hAnsi="Arial" w:cs="Arial"/>
          <w:b/>
          <w:bCs/>
          <w:i/>
        </w:rPr>
      </w:pPr>
    </w:p>
    <w:p w:rsidR="004208DB" w:rsidRPr="0047545B" w:rsidRDefault="00721DEF" w:rsidP="00F33FBE">
      <w:pPr>
        <w:spacing w:after="0" w:line="240" w:lineRule="auto"/>
        <w:jc w:val="both"/>
        <w:rPr>
          <w:rFonts w:ascii="Arial" w:hAnsi="Arial" w:cs="Arial"/>
        </w:rPr>
      </w:pPr>
      <w:r w:rsidRPr="0047545B">
        <w:rPr>
          <w:rFonts w:ascii="Arial" w:eastAsia="Arial" w:hAnsi="Arial" w:cs="Arial"/>
        </w:rPr>
        <w:t>Ovaj operativni cilj usmjeren je na jačanje finansijske održivosti sistema zaštite biodiverziteta. Podrazumijeva povećanje budžetskih izdvajanja, razvoj višegodišnjeg finansijskog planiranja, stabilizaciju finansiranja</w:t>
      </w:r>
      <w:r w:rsidR="00D00174" w:rsidRPr="0047545B">
        <w:rPr>
          <w:rFonts w:ascii="Arial" w:eastAsia="Arial" w:hAnsi="Arial" w:cs="Arial"/>
        </w:rPr>
        <w:t xml:space="preserve"> upravljača zaštićenih područj, kroz usvajanje</w:t>
      </w:r>
      <w:r w:rsidR="00E81108" w:rsidRPr="0047545B">
        <w:rPr>
          <w:rFonts w:ascii="Arial" w:hAnsi="Arial" w:cs="Arial"/>
        </w:rPr>
        <w:t xml:space="preserve"> Plan</w:t>
      </w:r>
      <w:r w:rsidR="00D00174" w:rsidRPr="0047545B">
        <w:rPr>
          <w:rFonts w:ascii="Arial" w:hAnsi="Arial" w:cs="Arial"/>
        </w:rPr>
        <w:t>a</w:t>
      </w:r>
      <w:r w:rsidR="00E81108" w:rsidRPr="0047545B">
        <w:rPr>
          <w:rFonts w:ascii="Arial" w:hAnsi="Arial" w:cs="Arial"/>
        </w:rPr>
        <w:t xml:space="preserve"> finansiranja biodiverziteta i uspostavlja sistem praćenja budžetskih izdvajanja. Reformišu se fiskalni tokovi </w:t>
      </w:r>
      <w:r w:rsidR="00D00174" w:rsidRPr="0047545B">
        <w:rPr>
          <w:rFonts w:ascii="Arial" w:eastAsia="Arial" w:hAnsi="Arial" w:cs="Arial"/>
        </w:rPr>
        <w:t>unapređenje planiranja rashoda za biodiverzitet, razvoj inovativnih finansijskih instrumenata i smanjenje zavisnosti od kratk</w:t>
      </w:r>
      <w:r w:rsidR="0047545B" w:rsidRPr="0047545B">
        <w:rPr>
          <w:rFonts w:ascii="Arial" w:eastAsia="Arial" w:hAnsi="Arial" w:cs="Arial"/>
        </w:rPr>
        <w:t>oročnog projektnog finansiranja</w:t>
      </w:r>
      <w:r w:rsidR="00E81108" w:rsidRPr="0047545B">
        <w:rPr>
          <w:rFonts w:ascii="Arial" w:hAnsi="Arial" w:cs="Arial"/>
        </w:rPr>
        <w:t xml:space="preserve"> (npr. plaćanja za ekosistemske usluge, kompenzacije za biodiverzitet), jača se uloga Eko-fonda i uključuju finansijske institucije kroz ESG standarde. Poseban fokus je na dugoročnoj finansijskoj stabilnosti zaštićenih područja.</w:t>
      </w:r>
    </w:p>
    <w:p w:rsidR="0047545B" w:rsidRPr="00721DEF" w:rsidRDefault="0047545B" w:rsidP="00F33FBE">
      <w:pPr>
        <w:spacing w:after="0" w:line="240" w:lineRule="auto"/>
        <w:jc w:val="both"/>
        <w:rPr>
          <w:rFonts w:ascii="Arial" w:eastAsia="Arial" w:hAnsi="Arial" w:cs="Arial"/>
        </w:rPr>
      </w:pPr>
    </w:p>
    <w:p w:rsidR="00F4645F" w:rsidRDefault="00721DEF" w:rsidP="00F33FBE">
      <w:pPr>
        <w:spacing w:after="0" w:line="240" w:lineRule="auto"/>
        <w:jc w:val="both"/>
        <w:rPr>
          <w:rFonts w:ascii="Arial" w:eastAsia="Arial" w:hAnsi="Arial" w:cs="Arial"/>
          <w:b/>
          <w:bCs/>
          <w:i/>
        </w:rPr>
      </w:pPr>
      <w:r w:rsidRPr="00721DEF">
        <w:rPr>
          <w:rFonts w:ascii="Arial" w:eastAsia="Arial" w:hAnsi="Arial" w:cs="Arial"/>
          <w:b/>
          <w:bCs/>
        </w:rPr>
        <w:t>O.C 4.4</w:t>
      </w:r>
      <w:r>
        <w:rPr>
          <w:rFonts w:ascii="Arial" w:eastAsia="Arial" w:hAnsi="Arial" w:cs="Arial"/>
          <w:b/>
          <w:bCs/>
        </w:rPr>
        <w:t xml:space="preserve"> </w:t>
      </w:r>
      <w:r w:rsidR="00F4645F" w:rsidRPr="00F4645F">
        <w:rPr>
          <w:rFonts w:ascii="Arial" w:eastAsia="Arial" w:hAnsi="Arial" w:cs="Arial"/>
          <w:b/>
          <w:bCs/>
          <w:i/>
        </w:rPr>
        <w:t>Do 2031. godine, reformisani su postojeći podsticaji u cilju očuvanja i održivog korišćenja biodiverziteta (GBF</w:t>
      </w:r>
      <w:r w:rsidR="004208DB">
        <w:rPr>
          <w:rFonts w:ascii="Arial" w:eastAsia="Arial" w:hAnsi="Arial" w:cs="Arial"/>
          <w:b/>
          <w:bCs/>
          <w:i/>
        </w:rPr>
        <w:t>:</w:t>
      </w:r>
      <w:r w:rsidR="00F4645F" w:rsidRPr="00F4645F">
        <w:rPr>
          <w:rFonts w:ascii="Arial" w:eastAsia="Arial" w:hAnsi="Arial" w:cs="Arial"/>
          <w:b/>
          <w:bCs/>
          <w:i/>
        </w:rPr>
        <w:t xml:space="preserve"> T18; T15; T10)</w:t>
      </w:r>
    </w:p>
    <w:p w:rsidR="004208DB" w:rsidRDefault="004208DB" w:rsidP="00F33FBE">
      <w:pPr>
        <w:spacing w:after="0" w:line="240" w:lineRule="auto"/>
        <w:jc w:val="both"/>
        <w:rPr>
          <w:rFonts w:ascii="Arial" w:eastAsia="Arial" w:hAnsi="Arial" w:cs="Arial"/>
          <w:b/>
          <w:bCs/>
          <w:i/>
        </w:rPr>
      </w:pPr>
    </w:p>
    <w:p w:rsidR="00721DEF" w:rsidRPr="00105C6C" w:rsidRDefault="00721DEF" w:rsidP="00F33FBE">
      <w:pPr>
        <w:spacing w:after="0" w:line="240" w:lineRule="auto"/>
        <w:jc w:val="both"/>
        <w:rPr>
          <w:rFonts w:ascii="Arial" w:eastAsia="Arial" w:hAnsi="Arial" w:cs="Arial"/>
        </w:rPr>
      </w:pPr>
      <w:r w:rsidRPr="00105C6C">
        <w:rPr>
          <w:rFonts w:ascii="Arial" w:eastAsia="Arial" w:hAnsi="Arial" w:cs="Arial"/>
        </w:rPr>
        <w:t>Ovaj cilj podrazumijeva identifikaciju i reformu postojećih podsticaja i subvencija koji imaju negativan ili potencijalno štetan uticaj na biodiverzitet</w:t>
      </w:r>
      <w:r w:rsidR="0069406B" w:rsidRPr="00105C6C">
        <w:rPr>
          <w:rFonts w:ascii="Arial" w:eastAsia="Arial" w:hAnsi="Arial" w:cs="Arial"/>
        </w:rPr>
        <w:t xml:space="preserve"> kroz </w:t>
      </w:r>
      <w:r w:rsidR="0069406B" w:rsidRPr="00105C6C">
        <w:rPr>
          <w:rFonts w:ascii="Arial" w:hAnsi="Arial" w:cs="Arial"/>
        </w:rPr>
        <w:t>plan njihove postepene eliminacije ili transformacije</w:t>
      </w:r>
      <w:r w:rsidR="008106A0">
        <w:rPr>
          <w:rFonts w:ascii="Arial" w:eastAsia="Arial" w:hAnsi="Arial" w:cs="Arial"/>
        </w:rPr>
        <w:t>, ko i</w:t>
      </w:r>
      <w:r w:rsidRPr="00105C6C">
        <w:rPr>
          <w:rFonts w:ascii="Arial" w:eastAsia="Arial" w:hAnsi="Arial" w:cs="Arial"/>
        </w:rPr>
        <w:t xml:space="preserve"> razvoj pozitivnih </w:t>
      </w:r>
      <w:r w:rsidR="00105C6C" w:rsidRPr="00105C6C">
        <w:rPr>
          <w:rFonts w:ascii="Arial" w:hAnsi="Arial" w:cs="Arial"/>
        </w:rPr>
        <w:t>podsticaja i ekonomski instrumenti koji podstiču održive prakse</w:t>
      </w:r>
      <w:r w:rsidRPr="00105C6C">
        <w:rPr>
          <w:rFonts w:ascii="Arial" w:eastAsia="Arial" w:hAnsi="Arial" w:cs="Arial"/>
        </w:rPr>
        <w:t>. Aktivnosti uključuju uspostavljanje ekonomskih instrumenata koji podstiču održivo korišćenje resursa i integraciju principa „zagađivač plaća“ i „korisnik plaća“ u finansijske politike.</w:t>
      </w:r>
      <w:r w:rsidR="0047545B" w:rsidRPr="00105C6C">
        <w:rPr>
          <w:rFonts w:ascii="Arial" w:hAnsi="Arial" w:cs="Arial"/>
        </w:rPr>
        <w:t xml:space="preserve"> Fiskalni okvir se usklađuje sa ciljevima očuvanja prirode.</w:t>
      </w:r>
    </w:p>
    <w:p w:rsidR="0047545B" w:rsidRPr="00721DEF" w:rsidRDefault="0047545B" w:rsidP="00F33FBE">
      <w:pPr>
        <w:spacing w:after="0" w:line="240" w:lineRule="auto"/>
        <w:jc w:val="both"/>
        <w:rPr>
          <w:rFonts w:ascii="Arial" w:eastAsia="Arial" w:hAnsi="Arial" w:cs="Arial"/>
        </w:rPr>
      </w:pPr>
    </w:p>
    <w:p w:rsidR="00171B37" w:rsidRDefault="00721DEF" w:rsidP="00F33FBE">
      <w:pPr>
        <w:spacing w:after="0" w:line="240" w:lineRule="auto"/>
        <w:jc w:val="both"/>
        <w:rPr>
          <w:rFonts w:ascii="Arial" w:eastAsia="Arial" w:hAnsi="Arial" w:cs="Arial"/>
          <w:b/>
          <w:bCs/>
          <w:i/>
        </w:rPr>
      </w:pPr>
      <w:r w:rsidRPr="00721DEF">
        <w:rPr>
          <w:rFonts w:ascii="Arial" w:eastAsia="Arial" w:hAnsi="Arial" w:cs="Arial"/>
          <w:b/>
          <w:bCs/>
        </w:rPr>
        <w:t>O.C 4.5</w:t>
      </w:r>
      <w:r>
        <w:rPr>
          <w:rFonts w:ascii="Arial" w:eastAsia="Arial" w:hAnsi="Arial" w:cs="Arial"/>
          <w:b/>
          <w:bCs/>
        </w:rPr>
        <w:t xml:space="preserve"> </w:t>
      </w:r>
      <w:r w:rsidR="00171B37" w:rsidRPr="00171B37">
        <w:rPr>
          <w:rFonts w:ascii="Arial" w:eastAsia="Arial" w:hAnsi="Arial" w:cs="Arial"/>
          <w:b/>
          <w:bCs/>
          <w:i/>
        </w:rPr>
        <w:t xml:space="preserve">Do 2031. godine povećan je nivo javne informisanosti i razumijevanja biodiverziteta, usluga ekosistema i njihovog doprinosa blagostanju, kao i društvene </w:t>
      </w:r>
      <w:r w:rsidR="008106A0">
        <w:rPr>
          <w:rFonts w:ascii="Arial" w:eastAsia="Arial" w:hAnsi="Arial" w:cs="Arial"/>
          <w:b/>
          <w:bCs/>
          <w:i/>
        </w:rPr>
        <w:t>podrške očuvanju biodiverziteta</w:t>
      </w:r>
      <w:r w:rsidR="00171B37" w:rsidRPr="00171B37">
        <w:rPr>
          <w:rFonts w:ascii="Arial" w:eastAsia="Arial" w:hAnsi="Arial" w:cs="Arial"/>
          <w:b/>
          <w:bCs/>
          <w:i/>
        </w:rPr>
        <w:t xml:space="preserve"> (GBF: T21, T22; doprinos ostalim ciljevima i zadacima)</w:t>
      </w:r>
    </w:p>
    <w:p w:rsidR="004208DB" w:rsidRDefault="004208DB" w:rsidP="00F33FBE">
      <w:pPr>
        <w:spacing w:after="0" w:line="240" w:lineRule="auto"/>
        <w:jc w:val="both"/>
        <w:rPr>
          <w:rFonts w:ascii="Arial" w:eastAsia="Arial" w:hAnsi="Arial" w:cs="Arial"/>
          <w:b/>
          <w:bCs/>
          <w:i/>
        </w:rPr>
      </w:pPr>
    </w:p>
    <w:p w:rsidR="00721DEF" w:rsidRPr="00F10E11" w:rsidRDefault="00721DEF" w:rsidP="00F33FBE">
      <w:pPr>
        <w:spacing w:after="0" w:line="240" w:lineRule="auto"/>
        <w:jc w:val="both"/>
        <w:rPr>
          <w:rFonts w:ascii="Arial" w:eastAsia="Arial" w:hAnsi="Arial" w:cs="Arial"/>
        </w:rPr>
      </w:pPr>
      <w:r w:rsidRPr="00F10E11">
        <w:rPr>
          <w:rFonts w:ascii="Arial" w:eastAsia="Arial" w:hAnsi="Arial" w:cs="Arial"/>
        </w:rPr>
        <w:t xml:space="preserve">Ovaj cilj usmjeren je na razvoj dugoročne kulture očuvanja prirode kroz obrazovanje, informisanje i javne kampanje. Podrazumijeva integraciju tema biodiverziteta u </w:t>
      </w:r>
      <w:r w:rsidR="0040764B" w:rsidRPr="00F10E11">
        <w:rPr>
          <w:rFonts w:ascii="Arial" w:hAnsi="Arial" w:cs="Arial"/>
        </w:rPr>
        <w:t xml:space="preserve">formalni obrazovni sistem, razvijaju se nastavne i stručne obuke, jača saradnja sa zaštićenim područjima i naučnim institucijama. </w:t>
      </w:r>
      <w:r w:rsidR="00F10E11" w:rsidRPr="00F10E11">
        <w:rPr>
          <w:rFonts w:ascii="Arial" w:hAnsi="Arial" w:cs="Arial"/>
        </w:rPr>
        <w:t>Uspostavlja se Nacionalna komunikaciona strategija, sprovode se kampanje i istraživanja javnog mnjenja, te jačaju kapaciteti medija i civilnog društva za kvalitetno informisanje.</w:t>
      </w:r>
      <w:r w:rsidR="00F10E11" w:rsidRPr="00F10E11">
        <w:rPr>
          <w:rFonts w:ascii="Arial" w:eastAsia="Arial" w:hAnsi="Arial" w:cs="Arial"/>
        </w:rPr>
        <w:t xml:space="preserve"> </w:t>
      </w:r>
      <w:r w:rsidRPr="00F10E11">
        <w:rPr>
          <w:rFonts w:ascii="Arial" w:eastAsia="Arial" w:hAnsi="Arial" w:cs="Arial"/>
        </w:rPr>
        <w:t>Cilj doprinosi stvaranju društvene podrške reformama i mjerama očuvanja.</w:t>
      </w:r>
    </w:p>
    <w:p w:rsidR="004208DB" w:rsidRPr="00721DEF" w:rsidRDefault="004208DB" w:rsidP="00F33FBE">
      <w:pPr>
        <w:spacing w:after="0" w:line="240" w:lineRule="auto"/>
        <w:jc w:val="both"/>
        <w:rPr>
          <w:rFonts w:ascii="Arial" w:eastAsia="Arial" w:hAnsi="Arial" w:cs="Arial"/>
        </w:rPr>
      </w:pPr>
    </w:p>
    <w:p w:rsidR="00171B37" w:rsidRDefault="00721DEF" w:rsidP="00F33FBE">
      <w:pPr>
        <w:spacing w:after="0" w:line="240" w:lineRule="auto"/>
        <w:jc w:val="both"/>
        <w:rPr>
          <w:rFonts w:ascii="Arial" w:eastAsia="Arial" w:hAnsi="Arial" w:cs="Arial"/>
          <w:b/>
          <w:bCs/>
          <w:i/>
        </w:rPr>
      </w:pPr>
      <w:r w:rsidRPr="00721DEF">
        <w:rPr>
          <w:rFonts w:ascii="Arial" w:eastAsia="Arial" w:hAnsi="Arial" w:cs="Arial"/>
          <w:b/>
          <w:bCs/>
        </w:rPr>
        <w:t>O.C 4.6</w:t>
      </w:r>
      <w:r>
        <w:rPr>
          <w:rFonts w:ascii="Arial" w:eastAsia="Arial" w:hAnsi="Arial" w:cs="Arial"/>
          <w:b/>
          <w:bCs/>
        </w:rPr>
        <w:t xml:space="preserve"> </w:t>
      </w:r>
      <w:r w:rsidR="00171B37" w:rsidRPr="00171B37">
        <w:rPr>
          <w:rFonts w:ascii="Arial" w:eastAsia="Arial" w:hAnsi="Arial" w:cs="Arial"/>
          <w:b/>
          <w:bCs/>
          <w:i/>
        </w:rPr>
        <w:t>Do 2030. godine uspostavljen je funkcionalan, standardizovan i održiv nacionalni sistem monitoringa, upravljanja podacima i znanjem o biodiverzitetu za informisano odlučivanje, adaptivno upravljanje i transparentno izvještavanje (GBF: T21, doprinosi T20, T14)</w:t>
      </w:r>
    </w:p>
    <w:p w:rsidR="004208DB" w:rsidRDefault="004208DB" w:rsidP="00F33FBE">
      <w:pPr>
        <w:spacing w:after="0" w:line="240" w:lineRule="auto"/>
        <w:jc w:val="both"/>
        <w:rPr>
          <w:rFonts w:ascii="Arial" w:eastAsia="Arial" w:hAnsi="Arial" w:cs="Arial"/>
          <w:b/>
          <w:bCs/>
          <w:i/>
        </w:rPr>
      </w:pPr>
    </w:p>
    <w:p w:rsidR="00721DEF" w:rsidRPr="00862F80" w:rsidRDefault="00721DEF" w:rsidP="00F33FBE">
      <w:pPr>
        <w:spacing w:after="0" w:line="240" w:lineRule="auto"/>
        <w:jc w:val="both"/>
        <w:rPr>
          <w:rFonts w:ascii="Arial" w:eastAsia="Arial" w:hAnsi="Arial" w:cs="Arial"/>
        </w:rPr>
      </w:pPr>
      <w:r w:rsidRPr="00862F80">
        <w:rPr>
          <w:rFonts w:ascii="Arial" w:eastAsia="Arial" w:hAnsi="Arial" w:cs="Arial"/>
        </w:rPr>
        <w:t xml:space="preserve">Ovaj operativni cilj podrazumijeva razvoj integrisanog nacionalnog sistema monitoringa sa standardizovanim metodologijama, interoperabilnim bazama podataka i jasno definisanim </w:t>
      </w:r>
      <w:r w:rsidR="00A31C03" w:rsidRPr="00862F80">
        <w:rPr>
          <w:rFonts w:ascii="Arial" w:hAnsi="Arial" w:cs="Arial"/>
        </w:rPr>
        <w:lastRenderedPageBreak/>
        <w:t>indikatorima usklađenim sa GBF-om</w:t>
      </w:r>
      <w:r w:rsidR="00A31C03" w:rsidRPr="00862F80">
        <w:rPr>
          <w:rFonts w:ascii="Arial" w:eastAsia="Arial" w:hAnsi="Arial" w:cs="Arial"/>
        </w:rPr>
        <w:t xml:space="preserve"> i </w:t>
      </w:r>
      <w:r w:rsidRPr="00862F80">
        <w:rPr>
          <w:rFonts w:ascii="Arial" w:eastAsia="Arial" w:hAnsi="Arial" w:cs="Arial"/>
        </w:rPr>
        <w:t xml:space="preserve">nadležnostima. Sistem treba da omogući kontinuirano praćenje stanja vrsta, staništa i pritisaka, obradu i analizu podataka, njihovu dostupnost javnosti i usklađenost sa EU i CBD zahtjevima. </w:t>
      </w:r>
      <w:r w:rsidR="00862F80" w:rsidRPr="00862F80">
        <w:rPr>
          <w:rFonts w:ascii="Arial" w:hAnsi="Arial" w:cs="Arial"/>
        </w:rPr>
        <w:t>Jačaju se kadrovski i finansijski kapaciteti, a uvodi se i sistem građanskog monitoringa kao dopuna nacionalnom okviru.</w:t>
      </w:r>
      <w:r w:rsidR="00862F80" w:rsidRPr="00862F80">
        <w:rPr>
          <w:rFonts w:ascii="Arial" w:eastAsia="Arial" w:hAnsi="Arial" w:cs="Arial"/>
        </w:rPr>
        <w:t xml:space="preserve"> </w:t>
      </w:r>
      <w:r w:rsidRPr="00862F80">
        <w:rPr>
          <w:rFonts w:ascii="Arial" w:eastAsia="Arial" w:hAnsi="Arial" w:cs="Arial"/>
        </w:rPr>
        <w:t>Time se osigurava donošenje odluka zasnovano na podacima i adaptivno upravljanje.</w:t>
      </w:r>
    </w:p>
    <w:p w:rsidR="004208DB" w:rsidRPr="00721DEF" w:rsidRDefault="004208DB" w:rsidP="00F33FBE">
      <w:pPr>
        <w:spacing w:after="0" w:line="240" w:lineRule="auto"/>
        <w:jc w:val="both"/>
        <w:rPr>
          <w:rFonts w:ascii="Arial" w:eastAsia="Arial" w:hAnsi="Arial" w:cs="Arial"/>
        </w:rPr>
      </w:pPr>
    </w:p>
    <w:p w:rsidR="00171B37" w:rsidRDefault="00721DEF" w:rsidP="00F33FBE">
      <w:pPr>
        <w:spacing w:after="0" w:line="240" w:lineRule="auto"/>
        <w:jc w:val="both"/>
        <w:rPr>
          <w:rFonts w:ascii="Arial" w:eastAsia="Arial" w:hAnsi="Arial" w:cs="Arial"/>
          <w:b/>
          <w:bCs/>
          <w:i/>
        </w:rPr>
      </w:pPr>
      <w:r w:rsidRPr="00721DEF">
        <w:rPr>
          <w:rFonts w:ascii="Arial" w:eastAsia="Arial" w:hAnsi="Arial" w:cs="Arial"/>
          <w:b/>
          <w:bCs/>
        </w:rPr>
        <w:t>O.C 4.7</w:t>
      </w:r>
      <w:r>
        <w:rPr>
          <w:rFonts w:ascii="Arial" w:eastAsia="Arial" w:hAnsi="Arial" w:cs="Arial"/>
          <w:b/>
          <w:bCs/>
        </w:rPr>
        <w:t xml:space="preserve"> </w:t>
      </w:r>
      <w:r w:rsidR="00171B37" w:rsidRPr="00171B37">
        <w:rPr>
          <w:rFonts w:ascii="Arial" w:eastAsia="Arial" w:hAnsi="Arial" w:cs="Arial"/>
          <w:b/>
          <w:bCs/>
          <w:i/>
        </w:rPr>
        <w:t>Do 2030. godine uspostavljen je funkcionalan sistem prepoznavanja, dokumentovanja, zaštite i primjene tradicionalnih znanja, inovacija i praksi lokalnih zajednica relevantnih za očuvanje i održivo korišćenje biodiverziteta, uz poštovanje prava nosilaca znanja i principa pravedne raspodjele koristi (GBF: T13, 22, doprinosi T21, T23)</w:t>
      </w:r>
    </w:p>
    <w:p w:rsidR="004208DB" w:rsidRDefault="004208DB" w:rsidP="00F33FBE">
      <w:pPr>
        <w:spacing w:after="0" w:line="240" w:lineRule="auto"/>
        <w:jc w:val="both"/>
        <w:rPr>
          <w:rFonts w:ascii="Arial" w:eastAsia="Arial" w:hAnsi="Arial" w:cs="Arial"/>
          <w:b/>
          <w:bCs/>
          <w:i/>
        </w:rPr>
      </w:pPr>
    </w:p>
    <w:p w:rsidR="000B4004" w:rsidRPr="00721DEF" w:rsidRDefault="00721DEF" w:rsidP="00F33FBE">
      <w:pPr>
        <w:spacing w:after="0" w:line="240" w:lineRule="auto"/>
        <w:jc w:val="both"/>
        <w:rPr>
          <w:rFonts w:ascii="Arial" w:eastAsia="Arial" w:hAnsi="Arial" w:cs="Arial"/>
        </w:rPr>
      </w:pPr>
      <w:r w:rsidRPr="00721DEF">
        <w:rPr>
          <w:rFonts w:ascii="Arial" w:eastAsia="Arial" w:hAnsi="Arial" w:cs="Arial"/>
        </w:rPr>
        <w:t>Ovaj cilj podrazumijeva valorizaciju tradicionalnih znanja lokalnih zajednica kao važnog doprinosa očuvanju biodiverziteta. Uključuje razvoj mehanizama za dokumentovanje i zaštitu znanja, poštovanje prava nosilaca znanja i usklađivanje sa principima pravične raspodjele koristi.</w:t>
      </w:r>
      <w:r>
        <w:rPr>
          <w:rFonts w:ascii="Arial" w:eastAsia="Arial" w:hAnsi="Arial" w:cs="Arial"/>
        </w:rPr>
        <w:t xml:space="preserve"> </w:t>
      </w:r>
      <w:r w:rsidRPr="00721DEF">
        <w:rPr>
          <w:rFonts w:ascii="Arial" w:eastAsia="Arial" w:hAnsi="Arial" w:cs="Arial"/>
        </w:rPr>
        <w:t>Cilj doprinosi očuvanju kulturne dimenzije biodiverziteta i jačanju saradnje između institucija i l</w:t>
      </w:r>
      <w:r w:rsidR="00CA5523">
        <w:rPr>
          <w:rFonts w:ascii="Arial" w:eastAsia="Arial" w:hAnsi="Arial" w:cs="Arial"/>
        </w:rPr>
        <w:t>okalnih zajednica.</w:t>
      </w:r>
    </w:p>
    <w:p w:rsidR="000B4004" w:rsidRPr="00721DEF" w:rsidRDefault="000B4004" w:rsidP="00721DEF">
      <w:pPr>
        <w:spacing w:before="280" w:after="280" w:line="240" w:lineRule="auto"/>
        <w:jc w:val="both"/>
        <w:rPr>
          <w:rFonts w:ascii="Arial" w:eastAsia="Arial" w:hAnsi="Arial" w:cs="Arial"/>
        </w:rPr>
      </w:pPr>
    </w:p>
    <w:p w:rsidR="00F665A1" w:rsidRPr="00721DEF" w:rsidRDefault="00F665A1" w:rsidP="00721DEF">
      <w:pPr>
        <w:pStyle w:val="Heading3"/>
        <w:rPr>
          <w:rFonts w:ascii="Arial" w:eastAsia="Arial" w:hAnsi="Arial" w:cs="Arial"/>
          <w:sz w:val="26"/>
          <w:szCs w:val="26"/>
        </w:rPr>
      </w:pPr>
      <w:bookmarkStart w:id="33" w:name="_Toc222754382"/>
      <w:r w:rsidRPr="00F665A1">
        <w:rPr>
          <w:rFonts w:ascii="Arial" w:eastAsia="Arial" w:hAnsi="Arial" w:cs="Arial"/>
          <w:sz w:val="26"/>
          <w:szCs w:val="26"/>
        </w:rPr>
        <w:t xml:space="preserve">3.2.5 </w:t>
      </w:r>
      <w:r w:rsidR="00E47E1B" w:rsidRPr="00F665A1">
        <w:rPr>
          <w:rFonts w:ascii="Arial" w:eastAsia="Arial" w:hAnsi="Arial" w:cs="Arial"/>
          <w:sz w:val="26"/>
          <w:szCs w:val="26"/>
        </w:rPr>
        <w:t>Us</w:t>
      </w:r>
      <w:r w:rsidR="002C41E5" w:rsidRPr="00F665A1">
        <w:rPr>
          <w:rFonts w:ascii="Arial" w:eastAsia="Arial" w:hAnsi="Arial" w:cs="Arial"/>
          <w:sz w:val="26"/>
          <w:szCs w:val="26"/>
        </w:rPr>
        <w:t>klađenost rješenja koje daje N</w:t>
      </w:r>
      <w:r w:rsidR="00E47E1B" w:rsidRPr="00F665A1">
        <w:rPr>
          <w:rFonts w:ascii="Arial" w:eastAsia="Arial" w:hAnsi="Arial" w:cs="Arial"/>
          <w:sz w:val="26"/>
          <w:szCs w:val="26"/>
        </w:rPr>
        <w:t>S</w:t>
      </w:r>
      <w:r w:rsidR="002C41E5" w:rsidRPr="00F665A1">
        <w:rPr>
          <w:rFonts w:ascii="Arial" w:eastAsia="Arial" w:hAnsi="Arial" w:cs="Arial"/>
          <w:sz w:val="26"/>
          <w:szCs w:val="26"/>
        </w:rPr>
        <w:t>BAP sa KM-</w:t>
      </w:r>
      <w:r w:rsidR="00E47E1B" w:rsidRPr="00F665A1">
        <w:rPr>
          <w:rFonts w:ascii="Arial" w:eastAsia="Arial" w:hAnsi="Arial" w:cs="Arial"/>
          <w:sz w:val="26"/>
          <w:szCs w:val="26"/>
        </w:rPr>
        <w:t>GBF</w:t>
      </w:r>
      <w:bookmarkEnd w:id="33"/>
    </w:p>
    <w:p w:rsidR="00D14804" w:rsidRPr="00F665A1" w:rsidRDefault="00E47E1B">
      <w:pPr>
        <w:spacing w:before="280" w:after="280" w:line="240" w:lineRule="auto"/>
        <w:jc w:val="both"/>
        <w:rPr>
          <w:rFonts w:ascii="Arial" w:eastAsia="Arial" w:hAnsi="Arial" w:cs="Arial"/>
        </w:rPr>
      </w:pPr>
      <w:r w:rsidRPr="00F665A1">
        <w:rPr>
          <w:rFonts w:ascii="Arial" w:eastAsia="Arial" w:hAnsi="Arial" w:cs="Arial"/>
        </w:rPr>
        <w:t>Stepen usklađenosti NSBAP-a sa Kunming–Montreal globalnim okvirom za biodiverzitet</w:t>
      </w:r>
      <w:r w:rsidR="00F665A1">
        <w:rPr>
          <w:rFonts w:ascii="Arial" w:eastAsia="Arial" w:hAnsi="Arial" w:cs="Arial"/>
        </w:rPr>
        <w:t xml:space="preserve"> (KM-GBF)</w:t>
      </w:r>
      <w:r w:rsidRPr="00F665A1">
        <w:rPr>
          <w:rFonts w:ascii="Arial" w:eastAsia="Arial" w:hAnsi="Arial" w:cs="Arial"/>
        </w:rPr>
        <w:t xml:space="preserve"> je visok i strukturno integrisan kroz viziju, strateške ciljeve, operativne ciljeve i mjerljive aktivnosti. Strateški cilj 1 adresira ključne obaveze u vezi sa restauracijom degradiranih ekosistema (zadatak 2), smanjenjem zagađenja (zadatak 7), upravljanjem invazivnim stranim vrstama (zadatak 6), očuvanjem genetičke raznovrsnosti i sistemom pristupa i raspodjele koristi (zadaci 4 i 13), kao i jačanjem znanja i monitoringa (zadatak 21). Strateški cilj 2 operacionalizuje zadatak 3 kroz uspostavljanje ekološki reprezentativne, povezane i efektivno upravljane mreže zaštićenih područja i OECM na kopnu i moru, uključujući 30% teritorije pod zaštitom i 10% pod strogom zaštitom.</w:t>
      </w:r>
    </w:p>
    <w:p w:rsidR="00D14804" w:rsidRPr="00F665A1" w:rsidRDefault="00E47E1B">
      <w:pPr>
        <w:spacing w:before="280" w:after="280" w:line="240" w:lineRule="auto"/>
        <w:jc w:val="both"/>
        <w:rPr>
          <w:rFonts w:ascii="Arial" w:eastAsia="Arial" w:hAnsi="Arial" w:cs="Arial"/>
        </w:rPr>
      </w:pPr>
      <w:r w:rsidRPr="00F665A1">
        <w:rPr>
          <w:rFonts w:ascii="Arial" w:eastAsia="Arial" w:hAnsi="Arial" w:cs="Arial"/>
        </w:rPr>
        <w:t>Strateški cilj 3 direktno odgovara na zadacima 10, 14, 15 i 16 kroz integraciju biodiverziteta i ekosistemskih usluga u sektorske politike, uvođenje sistemskog vrednovanja prirodnog kapitala, primjenu rješenja zasnovanih na prirodi (zadaci 8 i 11), unapređenje sprovođenja propisa (zadatak 5) i smanjenje biodiverzitetskog otiska kroz održive obrasce proizvodnje i potrošnje (zadatak 16). Horizontalni strateški cilj 4 obuhvata ključne elemente implementacionog paketa Globalnog okvira (zadaci 18, 19, 20, 21, 22 i 23), uključujući reformu štetnih podsticaja, povećanje finansiranja biodiverziteta, jačanje kapaciteta, transparentnost, participaciju, rodnu ravnopravnost i uspostavljanje funkcionalnog sistema monitoringa i izvještavanja.</w:t>
      </w:r>
    </w:p>
    <w:p w:rsidR="00D14804" w:rsidRPr="00F665A1" w:rsidRDefault="00E47E1B">
      <w:pPr>
        <w:spacing w:before="280" w:after="280" w:line="240" w:lineRule="auto"/>
        <w:jc w:val="both"/>
        <w:rPr>
          <w:rFonts w:ascii="Arial" w:eastAsia="Arial" w:hAnsi="Arial" w:cs="Arial"/>
        </w:rPr>
      </w:pPr>
      <w:r w:rsidRPr="00F665A1">
        <w:rPr>
          <w:rFonts w:ascii="Arial" w:eastAsia="Arial" w:hAnsi="Arial" w:cs="Arial"/>
        </w:rPr>
        <w:t>Ovakva struktura omogućava da se globalni ciljevi prevedu u nacionalno mjerljive rezultate, uz jasne institucionalne odgovornosti i mehanizme praćenja.</w:t>
      </w:r>
    </w:p>
    <w:p w:rsidR="00D14804" w:rsidRPr="002C3E9E" w:rsidRDefault="00E47E1B">
      <w:pPr>
        <w:spacing w:before="280" w:after="280" w:line="240" w:lineRule="auto"/>
        <w:jc w:val="both"/>
        <w:rPr>
          <w:rFonts w:ascii="Arial" w:eastAsia="Arial" w:hAnsi="Arial" w:cs="Arial"/>
        </w:rPr>
      </w:pPr>
      <w:r w:rsidRPr="00F665A1">
        <w:rPr>
          <w:rFonts w:ascii="Arial" w:eastAsia="Arial" w:hAnsi="Arial" w:cs="Arial"/>
        </w:rPr>
        <w:t xml:space="preserve">Istovremeno, puni efekti usklađenosti sa Globalnim okvirom zavisiće od dosljedne implementacije mjera i aktivnosti iz Akcionog plana, prije svega reformi u oblasti finansiranja, eliminacije štetnih subvencija, jačanja nadzora nad nelegalnim korišćenjem resursa, te stvarne integracije biodiverziteta u fiskalne i razvojne odluke. Posebnu pažnju u narednom periodu zahtijeva operacionalizacija ekonomskog vrednovanja ekosistemskih usluga u budžetskom planiranju, kao i sistemsko praćenje doprinosa privatnog sektora ciljevima očuvanja biodiverziteta. </w:t>
      </w:r>
      <w:r w:rsidR="006548FB">
        <w:rPr>
          <w:rFonts w:ascii="Arial" w:hAnsi="Arial" w:cs="Arial"/>
        </w:rPr>
        <w:t xml:space="preserve">Detaljna analiza data je u zasebnom </w:t>
      </w:r>
      <w:r w:rsidRPr="002C3E9E">
        <w:rPr>
          <w:rFonts w:ascii="Arial" w:eastAsia="Arial" w:hAnsi="Arial" w:cs="Arial"/>
        </w:rPr>
        <w:t>Prilog</w:t>
      </w:r>
      <w:r w:rsidR="006548FB" w:rsidRPr="002C3E9E">
        <w:rPr>
          <w:rFonts w:ascii="Arial" w:eastAsia="Arial" w:hAnsi="Arial" w:cs="Arial"/>
        </w:rPr>
        <w:t>u VI</w:t>
      </w:r>
      <w:r w:rsidR="0053626F" w:rsidRPr="002C3E9E">
        <w:rPr>
          <w:rFonts w:ascii="Arial" w:eastAsia="Arial" w:hAnsi="Arial" w:cs="Arial"/>
        </w:rPr>
        <w:t>I</w:t>
      </w:r>
      <w:r w:rsidR="006548FB" w:rsidRPr="002C3E9E">
        <w:rPr>
          <w:rFonts w:ascii="Arial" w:eastAsia="Arial" w:hAnsi="Arial" w:cs="Arial"/>
        </w:rPr>
        <w:t xml:space="preserve"> koj je sastavni element ove Strategije.</w:t>
      </w:r>
    </w:p>
    <w:p w:rsidR="00D14804" w:rsidRDefault="00D14804">
      <w:pPr>
        <w:spacing w:after="0" w:line="240" w:lineRule="auto"/>
        <w:rPr>
          <w:rFonts w:ascii="Arial" w:eastAsia="Arial" w:hAnsi="Arial" w:cs="Arial"/>
          <w:sz w:val="24"/>
          <w:szCs w:val="24"/>
        </w:rPr>
      </w:pPr>
    </w:p>
    <w:p w:rsidR="00D14804" w:rsidRDefault="00D14804">
      <w:pPr>
        <w:pBdr>
          <w:top w:val="nil"/>
          <w:left w:val="nil"/>
          <w:bottom w:val="nil"/>
          <w:right w:val="nil"/>
          <w:between w:val="nil"/>
        </w:pBdr>
        <w:spacing w:after="0"/>
        <w:rPr>
          <w:rFonts w:ascii="Arial" w:eastAsia="Arial" w:hAnsi="Arial" w:cs="Arial"/>
          <w:color w:val="000000"/>
        </w:rPr>
      </w:pPr>
    </w:p>
    <w:p w:rsidR="00D14804" w:rsidRDefault="00721DEF" w:rsidP="006548FB">
      <w:pPr>
        <w:pStyle w:val="Heading1"/>
        <w:jc w:val="both"/>
        <w:rPr>
          <w:rFonts w:ascii="Arial" w:eastAsia="Arial" w:hAnsi="Arial" w:cs="Arial"/>
          <w:sz w:val="40"/>
          <w:szCs w:val="40"/>
        </w:rPr>
      </w:pPr>
      <w:bookmarkStart w:id="34" w:name="_Toc222754383"/>
      <w:r w:rsidRPr="00721DEF">
        <w:rPr>
          <w:rFonts w:ascii="Arial" w:eastAsia="Arial" w:hAnsi="Arial" w:cs="Arial"/>
          <w:sz w:val="40"/>
          <w:szCs w:val="40"/>
        </w:rPr>
        <w:t xml:space="preserve">IV </w:t>
      </w:r>
      <w:r w:rsidR="00E47E1B" w:rsidRPr="00721DEF">
        <w:rPr>
          <w:rFonts w:ascii="Arial" w:eastAsia="Arial" w:hAnsi="Arial" w:cs="Arial"/>
          <w:sz w:val="40"/>
          <w:szCs w:val="40"/>
        </w:rPr>
        <w:t>Akcioni plan</w:t>
      </w:r>
      <w:r w:rsidRPr="00721DEF">
        <w:rPr>
          <w:rFonts w:ascii="Arial" w:eastAsia="Arial" w:hAnsi="Arial" w:cs="Arial"/>
          <w:sz w:val="40"/>
          <w:szCs w:val="40"/>
        </w:rPr>
        <w:t xml:space="preserve"> za period 2026-2028. godine</w:t>
      </w:r>
      <w:r w:rsidR="00E47E1B" w:rsidRPr="00721DEF">
        <w:rPr>
          <w:rFonts w:ascii="Arial" w:eastAsia="Arial" w:hAnsi="Arial" w:cs="Arial"/>
          <w:sz w:val="40"/>
          <w:szCs w:val="40"/>
        </w:rPr>
        <w:t xml:space="preserve"> </w:t>
      </w:r>
      <w:r w:rsidRPr="00721DEF">
        <w:rPr>
          <w:rFonts w:ascii="Arial" w:eastAsia="Arial" w:hAnsi="Arial" w:cs="Arial"/>
          <w:sz w:val="40"/>
          <w:szCs w:val="40"/>
        </w:rPr>
        <w:t>NSBAP 2026-2031</w:t>
      </w:r>
      <w:bookmarkEnd w:id="34"/>
    </w:p>
    <w:p w:rsidR="00E7520F" w:rsidRDefault="00E7520F" w:rsidP="00E7520F"/>
    <w:p w:rsidR="00B73D23" w:rsidRPr="00B73D23" w:rsidRDefault="00B73D23" w:rsidP="00B73D23">
      <w:pPr>
        <w:pBdr>
          <w:top w:val="nil"/>
          <w:left w:val="nil"/>
          <w:bottom w:val="nil"/>
          <w:right w:val="nil"/>
          <w:between w:val="nil"/>
        </w:pBdr>
        <w:spacing w:after="0"/>
        <w:jc w:val="both"/>
        <w:rPr>
          <w:rFonts w:ascii="Arial" w:hAnsi="Arial" w:cs="Arial"/>
        </w:rPr>
      </w:pPr>
      <w:r w:rsidRPr="00B73D23">
        <w:rPr>
          <w:rFonts w:ascii="Arial" w:hAnsi="Arial" w:cs="Arial"/>
        </w:rPr>
        <w:t>Akcioni plan predstavlja operativni okvir za period 2026–2028. godine za sprovođenje Nacionalne strategije biodiverzitet</w:t>
      </w:r>
      <w:r w:rsidR="00E300F1">
        <w:rPr>
          <w:rFonts w:ascii="Arial" w:hAnsi="Arial" w:cs="Arial"/>
        </w:rPr>
        <w:t>a</w:t>
      </w:r>
      <w:r w:rsidRPr="00B73D23">
        <w:rPr>
          <w:rFonts w:ascii="Arial" w:hAnsi="Arial" w:cs="Arial"/>
        </w:rPr>
        <w:t xml:space="preserve"> (NSBAP) za period 2026–2031. godine. Sadrži pregled strateških i operativnih ciljeva, mjera sa pripadajućim aktivnostima, definisane indikatore, nosioce i partnere u sprovođenju, precizne kvartalne rokove, procjenu potrebnih finansijskih sredstava i izvore finansiranja, uključujući Budžet Crne Gore, donatorska i projektna sredstva.</w:t>
      </w:r>
    </w:p>
    <w:p w:rsidR="00B73D23" w:rsidRPr="00B73D23" w:rsidRDefault="00B73D23" w:rsidP="00B73D23">
      <w:pPr>
        <w:pBdr>
          <w:top w:val="nil"/>
          <w:left w:val="nil"/>
          <w:bottom w:val="nil"/>
          <w:right w:val="nil"/>
          <w:between w:val="nil"/>
        </w:pBdr>
        <w:spacing w:after="0"/>
        <w:ind w:left="720"/>
        <w:jc w:val="both"/>
        <w:rPr>
          <w:rFonts w:ascii="Arial" w:hAnsi="Arial" w:cs="Arial"/>
        </w:rPr>
      </w:pPr>
    </w:p>
    <w:p w:rsidR="00D14804" w:rsidRDefault="00B73D23" w:rsidP="00B73D23">
      <w:pPr>
        <w:pBdr>
          <w:top w:val="nil"/>
          <w:left w:val="nil"/>
          <w:bottom w:val="nil"/>
          <w:right w:val="nil"/>
          <w:between w:val="nil"/>
        </w:pBdr>
        <w:spacing w:after="0"/>
        <w:jc w:val="both"/>
        <w:rPr>
          <w:rFonts w:ascii="Arial" w:hAnsi="Arial" w:cs="Arial"/>
        </w:rPr>
      </w:pPr>
      <w:r w:rsidRPr="00B73D23">
        <w:rPr>
          <w:rFonts w:ascii="Arial" w:hAnsi="Arial" w:cs="Arial"/>
        </w:rPr>
        <w:t>Struktura Akcionog plana omogućava sistematsko praćenje realizacije i transparentno izvještavanje o napretku, dok j</w:t>
      </w:r>
      <w:r w:rsidR="00E300F1">
        <w:rPr>
          <w:rFonts w:ascii="Arial" w:hAnsi="Arial" w:cs="Arial"/>
        </w:rPr>
        <w:t>e detaljan pregled mjera</w:t>
      </w:r>
      <w:r w:rsidR="008C434E">
        <w:rPr>
          <w:rFonts w:ascii="Arial" w:hAnsi="Arial" w:cs="Arial"/>
        </w:rPr>
        <w:t xml:space="preserve"> i aktivnosti</w:t>
      </w:r>
      <w:r w:rsidR="00E300F1">
        <w:rPr>
          <w:rFonts w:ascii="Arial" w:hAnsi="Arial" w:cs="Arial"/>
        </w:rPr>
        <w:t xml:space="preserve"> </w:t>
      </w:r>
      <w:r w:rsidR="00E300F1" w:rsidRPr="002C3E9E">
        <w:rPr>
          <w:rFonts w:ascii="Arial" w:hAnsi="Arial" w:cs="Arial"/>
        </w:rPr>
        <w:t>dat u</w:t>
      </w:r>
      <w:r w:rsidR="002C3E9E" w:rsidRPr="002C3E9E">
        <w:rPr>
          <w:rFonts w:ascii="Arial" w:hAnsi="Arial" w:cs="Arial"/>
        </w:rPr>
        <w:t xml:space="preserve"> zasebnom</w:t>
      </w:r>
      <w:r w:rsidR="00E300F1" w:rsidRPr="002C3E9E">
        <w:rPr>
          <w:rFonts w:ascii="Arial" w:hAnsi="Arial" w:cs="Arial"/>
        </w:rPr>
        <w:t xml:space="preserve"> P</w:t>
      </w:r>
      <w:r w:rsidRPr="002C3E9E">
        <w:rPr>
          <w:rFonts w:ascii="Arial" w:hAnsi="Arial" w:cs="Arial"/>
        </w:rPr>
        <w:t>rilogu</w:t>
      </w:r>
      <w:r w:rsidR="00C50CF7" w:rsidRPr="002C3E9E">
        <w:rPr>
          <w:rFonts w:ascii="Arial" w:hAnsi="Arial" w:cs="Arial"/>
        </w:rPr>
        <w:t xml:space="preserve"> VII</w:t>
      </w:r>
      <w:r w:rsidR="006D4B36" w:rsidRPr="002C3E9E">
        <w:rPr>
          <w:rFonts w:ascii="Arial" w:hAnsi="Arial" w:cs="Arial"/>
        </w:rPr>
        <w:t>I</w:t>
      </w:r>
      <w:r w:rsidRPr="002C3E9E">
        <w:rPr>
          <w:rFonts w:ascii="Arial" w:hAnsi="Arial" w:cs="Arial"/>
        </w:rPr>
        <w:t>, u formi Excel tabele</w:t>
      </w:r>
      <w:r w:rsidR="002C3E9E" w:rsidRPr="002C3E9E">
        <w:rPr>
          <w:rFonts w:ascii="Arial" w:hAnsi="Arial" w:cs="Arial"/>
        </w:rPr>
        <w:t xml:space="preserve"> koji je sastavni dio ove Strategije.</w:t>
      </w:r>
      <w:r w:rsidRPr="002C3E9E">
        <w:rPr>
          <w:rFonts w:ascii="Arial" w:hAnsi="Arial" w:cs="Arial"/>
        </w:rPr>
        <w:t>.</w:t>
      </w:r>
    </w:p>
    <w:p w:rsidR="00B73D23" w:rsidRDefault="00B73D23" w:rsidP="00B73D23">
      <w:pPr>
        <w:pBdr>
          <w:top w:val="nil"/>
          <w:left w:val="nil"/>
          <w:bottom w:val="nil"/>
          <w:right w:val="nil"/>
          <w:between w:val="nil"/>
        </w:pBdr>
        <w:spacing w:after="0"/>
        <w:rPr>
          <w:rFonts w:ascii="Arial" w:eastAsia="Arial" w:hAnsi="Arial" w:cs="Arial"/>
          <w:b/>
          <w:bCs/>
          <w:color w:val="000000"/>
        </w:rPr>
      </w:pPr>
    </w:p>
    <w:p w:rsidR="00D14804" w:rsidRPr="00C06B5B" w:rsidRDefault="00E300F1" w:rsidP="006548FB">
      <w:pPr>
        <w:pStyle w:val="Heading1"/>
        <w:jc w:val="both"/>
        <w:rPr>
          <w:rFonts w:ascii="Arial" w:eastAsia="Arial" w:hAnsi="Arial" w:cs="Arial"/>
          <w:sz w:val="40"/>
          <w:szCs w:val="40"/>
        </w:rPr>
      </w:pPr>
      <w:bookmarkStart w:id="35" w:name="_Toc222754384"/>
      <w:r w:rsidRPr="00C06B5B">
        <w:rPr>
          <w:rFonts w:ascii="Arial" w:eastAsia="Arial" w:hAnsi="Arial" w:cs="Arial"/>
          <w:sz w:val="40"/>
          <w:szCs w:val="40"/>
        </w:rPr>
        <w:t xml:space="preserve">V </w:t>
      </w:r>
      <w:r w:rsidR="00E47E1B" w:rsidRPr="00C06B5B">
        <w:rPr>
          <w:rFonts w:ascii="Arial" w:eastAsia="Arial" w:hAnsi="Arial" w:cs="Arial"/>
          <w:sz w:val="40"/>
          <w:szCs w:val="40"/>
        </w:rPr>
        <w:t xml:space="preserve">Smjernice za sprovodjenje strategije </w:t>
      </w:r>
      <w:r w:rsidR="00C06B5B" w:rsidRPr="00C06B5B">
        <w:rPr>
          <w:rFonts w:ascii="Arial" w:eastAsia="Arial" w:hAnsi="Arial" w:cs="Arial"/>
          <w:sz w:val="40"/>
          <w:szCs w:val="40"/>
        </w:rPr>
        <w:t>NSBAP 2026-2031</w:t>
      </w:r>
      <w:bookmarkEnd w:id="35"/>
    </w:p>
    <w:p w:rsidR="00D14804" w:rsidRDefault="00D14804">
      <w:pPr>
        <w:pBdr>
          <w:top w:val="nil"/>
          <w:left w:val="nil"/>
          <w:bottom w:val="nil"/>
          <w:right w:val="nil"/>
          <w:between w:val="nil"/>
        </w:pBdr>
        <w:spacing w:after="0"/>
        <w:rPr>
          <w:rFonts w:ascii="Arial" w:eastAsia="Arial" w:hAnsi="Arial" w:cs="Arial"/>
          <w:color w:val="000000"/>
        </w:rPr>
      </w:pPr>
    </w:p>
    <w:p w:rsidR="006942D7" w:rsidRPr="006942D7" w:rsidRDefault="006942D7" w:rsidP="006436B9">
      <w:pPr>
        <w:spacing w:after="0" w:line="240" w:lineRule="auto"/>
        <w:jc w:val="both"/>
        <w:rPr>
          <w:rFonts w:ascii="Arial" w:eastAsia="Times New Roman" w:hAnsi="Arial" w:cs="Arial"/>
        </w:rPr>
      </w:pPr>
      <w:r w:rsidRPr="006942D7">
        <w:rPr>
          <w:rFonts w:ascii="Arial" w:eastAsia="Times New Roman" w:hAnsi="Arial" w:cs="Arial"/>
        </w:rPr>
        <w:t xml:space="preserve">U skladu sa </w:t>
      </w:r>
      <w:r w:rsidRPr="006942D7">
        <w:rPr>
          <w:rFonts w:ascii="Arial" w:eastAsia="Times New Roman" w:hAnsi="Arial" w:cs="Arial"/>
          <w:bCs/>
        </w:rPr>
        <w:t xml:space="preserve">Zakonom o zaštiti </w:t>
      </w:r>
      <w:r w:rsidRPr="006436B9">
        <w:rPr>
          <w:rFonts w:ascii="Arial" w:eastAsia="Times New Roman" w:hAnsi="Arial" w:cs="Arial"/>
          <w:bCs/>
        </w:rPr>
        <w:t>prirode</w:t>
      </w:r>
      <w:r w:rsidRPr="006436B9">
        <w:rPr>
          <w:rFonts w:ascii="Arial" w:eastAsia="Times New Roman" w:hAnsi="Arial" w:cs="Arial"/>
          <w:b/>
          <w:bCs/>
        </w:rPr>
        <w:t xml:space="preserve"> </w:t>
      </w:r>
      <w:r w:rsidRPr="006436B9">
        <w:rPr>
          <w:rFonts w:ascii="Arial" w:eastAsia="Times New Roman" w:hAnsi="Arial" w:cs="Arial"/>
          <w:bCs/>
        </w:rPr>
        <w:t xml:space="preserve">(„Službeni list Crne Gore”, br. 054/16, </w:t>
      </w:r>
      <w:r w:rsidR="006436B9" w:rsidRPr="006436B9">
        <w:rPr>
          <w:rFonts w:ascii="Arial" w:eastAsia="Times New Roman" w:hAnsi="Arial" w:cs="Arial"/>
          <w:bCs/>
        </w:rPr>
        <w:t>018/19</w:t>
      </w:r>
      <w:r w:rsidRPr="006436B9">
        <w:rPr>
          <w:rFonts w:ascii="Arial" w:eastAsia="Times New Roman" w:hAnsi="Arial" w:cs="Arial"/>
          <w:bCs/>
        </w:rPr>
        <w:t>)</w:t>
      </w:r>
      <w:r w:rsidRPr="006436B9">
        <w:rPr>
          <w:rFonts w:ascii="Arial" w:eastAsia="Times New Roman" w:hAnsi="Arial" w:cs="Arial"/>
        </w:rPr>
        <w:t>,</w:t>
      </w:r>
      <w:r w:rsidRPr="006942D7">
        <w:rPr>
          <w:rFonts w:ascii="Arial" w:eastAsia="Times New Roman" w:hAnsi="Arial" w:cs="Arial"/>
        </w:rPr>
        <w:t xml:space="preserve"> kojim se uređuju uslovi i način zaštite i očuvanja prirode i biodiverziteta (čl. 1 i 2), </w:t>
      </w:r>
      <w:r>
        <w:rPr>
          <w:rFonts w:ascii="Arial" w:eastAsia="Times New Roman" w:hAnsi="Arial" w:cs="Arial"/>
        </w:rPr>
        <w:t>NSBAP-om</w:t>
      </w:r>
      <w:r w:rsidRPr="006942D7">
        <w:rPr>
          <w:rFonts w:ascii="Arial" w:eastAsia="Times New Roman" w:hAnsi="Arial" w:cs="Arial"/>
        </w:rPr>
        <w:t xml:space="preserve"> utvrđuju se sljedeće smjernice kao okvir za dosljednu primjenu zakonskih obaveza i strateških opredjeljenja:</w:t>
      </w:r>
      <w:r w:rsidR="00B86241" w:rsidRPr="00B86241">
        <w:t xml:space="preserve"> </w:t>
      </w:r>
    </w:p>
    <w:p w:rsidR="006942D7" w:rsidRPr="002C3E9E" w:rsidRDefault="006942D7" w:rsidP="008166A6">
      <w:pPr>
        <w:pStyle w:val="ListParagraph"/>
        <w:numPr>
          <w:ilvl w:val="0"/>
          <w:numId w:val="47"/>
        </w:numPr>
        <w:spacing w:after="0" w:line="240" w:lineRule="auto"/>
        <w:ind w:left="714" w:hanging="357"/>
        <w:jc w:val="both"/>
        <w:rPr>
          <w:rFonts w:ascii="Arial" w:eastAsia="Times New Roman" w:hAnsi="Arial" w:cs="Arial"/>
        </w:rPr>
      </w:pPr>
      <w:r w:rsidRPr="002927FA">
        <w:rPr>
          <w:rFonts w:ascii="Arial" w:eastAsia="Times New Roman" w:hAnsi="Arial" w:cs="Arial"/>
        </w:rPr>
        <w:t xml:space="preserve">smjernice za očuvanje i unapređenje upravljanja zaštićenim prirodnim </w:t>
      </w:r>
      <w:r w:rsidRPr="002C3E9E">
        <w:rPr>
          <w:rFonts w:ascii="Arial" w:eastAsia="Times New Roman" w:hAnsi="Arial" w:cs="Arial"/>
        </w:rPr>
        <w:t>dobrima</w:t>
      </w:r>
      <w:r w:rsidR="006D4B36" w:rsidRPr="002C3E9E">
        <w:rPr>
          <w:rFonts w:ascii="Arial" w:eastAsia="Times New Roman" w:hAnsi="Arial" w:cs="Arial"/>
        </w:rPr>
        <w:t xml:space="preserve"> (u </w:t>
      </w:r>
      <w:r w:rsidR="002C3E9E" w:rsidRPr="002C3E9E">
        <w:rPr>
          <w:rFonts w:ascii="Arial" w:eastAsia="Times New Roman" w:hAnsi="Arial" w:cs="Arial"/>
        </w:rPr>
        <w:t>za</w:t>
      </w:r>
      <w:r w:rsidR="006D4B36" w:rsidRPr="002C3E9E">
        <w:rPr>
          <w:rFonts w:ascii="Arial" w:eastAsia="Times New Roman" w:hAnsi="Arial" w:cs="Arial"/>
        </w:rPr>
        <w:t>sebnom Prilogu IX ove Strategije, te o</w:t>
      </w:r>
      <w:r w:rsidR="002927FA" w:rsidRPr="002C3E9E">
        <w:rPr>
          <w:rFonts w:ascii="Arial" w:eastAsia="Times New Roman" w:hAnsi="Arial" w:cs="Arial"/>
        </w:rPr>
        <w:t>ne čine njen sastavni di</w:t>
      </w:r>
      <w:r w:rsidR="002C3E9E" w:rsidRPr="002C3E9E">
        <w:rPr>
          <w:rFonts w:ascii="Arial" w:eastAsia="Times New Roman" w:hAnsi="Arial" w:cs="Arial"/>
        </w:rPr>
        <w:t>o</w:t>
      </w:r>
      <w:r w:rsidR="006D4B36" w:rsidRPr="002C3E9E">
        <w:rPr>
          <w:rFonts w:ascii="Arial" w:eastAsia="Times New Roman" w:hAnsi="Arial" w:cs="Arial"/>
        </w:rPr>
        <w:t>)</w:t>
      </w:r>
      <w:r w:rsidRPr="002C3E9E">
        <w:rPr>
          <w:rFonts w:ascii="Arial" w:eastAsia="Times New Roman" w:hAnsi="Arial" w:cs="Arial"/>
        </w:rPr>
        <w:t>;</w:t>
      </w:r>
    </w:p>
    <w:p w:rsidR="006942D7" w:rsidRPr="006942D7" w:rsidRDefault="006942D7" w:rsidP="008166A6">
      <w:pPr>
        <w:numPr>
          <w:ilvl w:val="0"/>
          <w:numId w:val="18"/>
        </w:numPr>
        <w:spacing w:after="0" w:line="240" w:lineRule="auto"/>
        <w:ind w:left="714" w:hanging="357"/>
        <w:jc w:val="both"/>
        <w:rPr>
          <w:rFonts w:ascii="Arial" w:eastAsia="Times New Roman" w:hAnsi="Arial" w:cs="Arial"/>
        </w:rPr>
      </w:pPr>
      <w:r w:rsidRPr="006942D7">
        <w:rPr>
          <w:rFonts w:ascii="Arial" w:eastAsia="Times New Roman" w:hAnsi="Arial" w:cs="Arial"/>
        </w:rPr>
        <w:t>smjernice za zaštitu ekosistema, stanišnih tipova i divljih vrsta životinja, biljaka, algi i gljiva;</w:t>
      </w:r>
    </w:p>
    <w:p w:rsidR="006942D7" w:rsidRPr="006942D7" w:rsidRDefault="006942D7" w:rsidP="008166A6">
      <w:pPr>
        <w:numPr>
          <w:ilvl w:val="0"/>
          <w:numId w:val="18"/>
        </w:numPr>
        <w:spacing w:after="0" w:line="240" w:lineRule="auto"/>
        <w:ind w:left="714" w:hanging="357"/>
        <w:jc w:val="both"/>
        <w:rPr>
          <w:rFonts w:ascii="Arial" w:eastAsia="Times New Roman" w:hAnsi="Arial" w:cs="Arial"/>
        </w:rPr>
      </w:pPr>
      <w:r w:rsidRPr="006942D7">
        <w:rPr>
          <w:rFonts w:ascii="Arial" w:eastAsia="Times New Roman" w:hAnsi="Arial" w:cs="Arial"/>
        </w:rPr>
        <w:t>smjernice za istraživanje, monitoring i sistematsko praćenje stanja prirode;</w:t>
      </w:r>
    </w:p>
    <w:p w:rsidR="006942D7" w:rsidRPr="006942D7" w:rsidRDefault="006942D7" w:rsidP="008166A6">
      <w:pPr>
        <w:numPr>
          <w:ilvl w:val="0"/>
          <w:numId w:val="18"/>
        </w:numPr>
        <w:spacing w:after="0" w:line="240" w:lineRule="auto"/>
        <w:ind w:left="714" w:hanging="357"/>
        <w:jc w:val="both"/>
        <w:rPr>
          <w:rFonts w:ascii="Arial" w:eastAsia="Times New Roman" w:hAnsi="Arial" w:cs="Arial"/>
        </w:rPr>
      </w:pPr>
      <w:r w:rsidRPr="006942D7">
        <w:rPr>
          <w:rFonts w:ascii="Arial" w:eastAsia="Times New Roman" w:hAnsi="Arial" w:cs="Arial"/>
        </w:rPr>
        <w:t>smjernice za integraciju zaštite prirode u sektorske politike i planove razvoja;</w:t>
      </w:r>
    </w:p>
    <w:p w:rsidR="006942D7" w:rsidRPr="006942D7" w:rsidRDefault="006942D7" w:rsidP="008166A6">
      <w:pPr>
        <w:numPr>
          <w:ilvl w:val="0"/>
          <w:numId w:val="18"/>
        </w:numPr>
        <w:spacing w:after="0" w:line="240" w:lineRule="auto"/>
        <w:ind w:left="714" w:hanging="357"/>
        <w:jc w:val="both"/>
        <w:rPr>
          <w:rFonts w:ascii="Arial" w:eastAsia="Times New Roman" w:hAnsi="Arial" w:cs="Arial"/>
        </w:rPr>
      </w:pPr>
      <w:r w:rsidRPr="006942D7">
        <w:rPr>
          <w:rFonts w:ascii="Arial" w:eastAsia="Times New Roman" w:hAnsi="Arial" w:cs="Arial"/>
        </w:rPr>
        <w:t>smjernice za informisanje javnosti i obezbjeđivanje učešća javnosti u odlučivanju;</w:t>
      </w:r>
    </w:p>
    <w:p w:rsidR="006942D7" w:rsidRPr="006942D7" w:rsidRDefault="006942D7" w:rsidP="008166A6">
      <w:pPr>
        <w:numPr>
          <w:ilvl w:val="0"/>
          <w:numId w:val="18"/>
        </w:numPr>
        <w:spacing w:after="0" w:line="240" w:lineRule="auto"/>
        <w:ind w:left="714" w:hanging="357"/>
        <w:jc w:val="both"/>
        <w:rPr>
          <w:rFonts w:ascii="Arial" w:eastAsia="Times New Roman" w:hAnsi="Arial" w:cs="Arial"/>
        </w:rPr>
      </w:pPr>
      <w:r w:rsidRPr="006942D7">
        <w:rPr>
          <w:rFonts w:ascii="Arial" w:eastAsia="Times New Roman" w:hAnsi="Arial" w:cs="Arial"/>
        </w:rPr>
        <w:t>smjernice za ispunjavanje međunarodnih obaveza u oblasti zaštite prirode.</w:t>
      </w:r>
    </w:p>
    <w:p w:rsidR="002927FA" w:rsidRDefault="006942D7" w:rsidP="008C434E">
      <w:pPr>
        <w:spacing w:before="100" w:beforeAutospacing="1" w:after="100" w:afterAutospacing="1" w:line="240" w:lineRule="auto"/>
        <w:jc w:val="both"/>
        <w:rPr>
          <w:rFonts w:ascii="Arial" w:eastAsia="Times New Roman" w:hAnsi="Arial" w:cs="Arial"/>
        </w:rPr>
      </w:pPr>
      <w:r w:rsidRPr="006942D7">
        <w:rPr>
          <w:rFonts w:ascii="Arial" w:eastAsia="Times New Roman" w:hAnsi="Arial" w:cs="Arial"/>
        </w:rPr>
        <w:t>Navedene smjernice predstavljaju operativnu ra</w:t>
      </w:r>
      <w:r w:rsidR="00E85AE3">
        <w:rPr>
          <w:rFonts w:ascii="Arial" w:eastAsia="Times New Roman" w:hAnsi="Arial" w:cs="Arial"/>
        </w:rPr>
        <w:t>z</w:t>
      </w:r>
      <w:r w:rsidR="002927FA">
        <w:rPr>
          <w:rFonts w:ascii="Arial" w:eastAsia="Times New Roman" w:hAnsi="Arial" w:cs="Arial"/>
        </w:rPr>
        <w:t xml:space="preserve">radu djelova strateških ciljeva. </w:t>
      </w:r>
    </w:p>
    <w:p w:rsidR="00D14804" w:rsidRPr="00E85AE3" w:rsidRDefault="002927FA" w:rsidP="008C434E">
      <w:pPr>
        <w:spacing w:before="100" w:beforeAutospacing="1" w:after="100" w:afterAutospacing="1" w:line="240" w:lineRule="auto"/>
        <w:jc w:val="both"/>
        <w:rPr>
          <w:rFonts w:ascii="Arial" w:eastAsia="Times New Roman" w:hAnsi="Arial" w:cs="Arial"/>
        </w:rPr>
      </w:pPr>
      <w:r w:rsidRPr="002927FA">
        <w:rPr>
          <w:rFonts w:ascii="Arial" w:eastAsia="Times New Roman" w:hAnsi="Arial" w:cs="Arial"/>
          <w:b/>
        </w:rPr>
        <w:t>Napomena</w:t>
      </w:r>
      <w:r>
        <w:rPr>
          <w:rFonts w:ascii="Arial" w:eastAsia="Times New Roman" w:hAnsi="Arial" w:cs="Arial"/>
        </w:rPr>
        <w:t>: ostale smjernice biće finalizovane do izrade Predloga NSBAP.</w:t>
      </w:r>
    </w:p>
    <w:p w:rsidR="00D14804" w:rsidRDefault="00D14804">
      <w:pPr>
        <w:pBdr>
          <w:top w:val="nil"/>
          <w:left w:val="nil"/>
          <w:bottom w:val="nil"/>
          <w:right w:val="nil"/>
          <w:between w:val="nil"/>
        </w:pBdr>
        <w:spacing w:after="0"/>
        <w:rPr>
          <w:rFonts w:ascii="Arial" w:eastAsia="Arial" w:hAnsi="Arial" w:cs="Arial"/>
          <w:color w:val="000000"/>
        </w:rPr>
      </w:pPr>
    </w:p>
    <w:p w:rsidR="006436B9" w:rsidRDefault="006436B9">
      <w:pPr>
        <w:pBdr>
          <w:top w:val="nil"/>
          <w:left w:val="nil"/>
          <w:bottom w:val="nil"/>
          <w:right w:val="nil"/>
          <w:between w:val="nil"/>
        </w:pBdr>
        <w:spacing w:after="0"/>
        <w:rPr>
          <w:rFonts w:ascii="Arial" w:eastAsia="Arial" w:hAnsi="Arial" w:cs="Arial"/>
          <w:color w:val="000000"/>
        </w:rPr>
      </w:pPr>
    </w:p>
    <w:p w:rsidR="00D14804" w:rsidRPr="00952631" w:rsidRDefault="00E85AE3" w:rsidP="00E85AE3">
      <w:pPr>
        <w:pStyle w:val="Heading1"/>
        <w:rPr>
          <w:rFonts w:ascii="Arial" w:eastAsia="Arial" w:hAnsi="Arial" w:cs="Arial"/>
          <w:sz w:val="40"/>
          <w:szCs w:val="40"/>
        </w:rPr>
      </w:pPr>
      <w:bookmarkStart w:id="36" w:name="_Toc222754385"/>
      <w:r w:rsidRPr="00952631">
        <w:rPr>
          <w:rFonts w:ascii="Arial" w:hAnsi="Arial" w:cs="Arial"/>
          <w:sz w:val="40"/>
          <w:szCs w:val="40"/>
        </w:rPr>
        <w:t xml:space="preserve">VI </w:t>
      </w:r>
      <w:r w:rsidR="006436B9">
        <w:rPr>
          <w:rFonts w:ascii="Arial" w:hAnsi="Arial" w:cs="Arial"/>
          <w:sz w:val="40"/>
          <w:szCs w:val="40"/>
        </w:rPr>
        <w:t>Okvir za f</w:t>
      </w:r>
      <w:r w:rsidR="00952631" w:rsidRPr="00952631">
        <w:rPr>
          <w:rFonts w:ascii="Arial" w:eastAsia="Arial" w:hAnsi="Arial" w:cs="Arial"/>
          <w:sz w:val="40"/>
          <w:szCs w:val="40"/>
        </w:rPr>
        <w:t>inansiranje</w:t>
      </w:r>
      <w:r w:rsidR="006436B9">
        <w:rPr>
          <w:rFonts w:ascii="Arial" w:eastAsia="Arial" w:hAnsi="Arial" w:cs="Arial"/>
          <w:sz w:val="40"/>
          <w:szCs w:val="40"/>
        </w:rPr>
        <w:t xml:space="preserve"> AP</w:t>
      </w:r>
      <w:r w:rsidR="00952631" w:rsidRPr="00952631">
        <w:rPr>
          <w:rFonts w:ascii="Arial" w:eastAsia="Arial" w:hAnsi="Arial" w:cs="Arial"/>
          <w:sz w:val="40"/>
          <w:szCs w:val="40"/>
        </w:rPr>
        <w:t xml:space="preserve"> N</w:t>
      </w:r>
      <w:r w:rsidRPr="00952631">
        <w:rPr>
          <w:rFonts w:ascii="Arial" w:eastAsia="Arial" w:hAnsi="Arial" w:cs="Arial"/>
          <w:sz w:val="40"/>
          <w:szCs w:val="40"/>
        </w:rPr>
        <w:t>S</w:t>
      </w:r>
      <w:r w:rsidR="00952631" w:rsidRPr="00952631">
        <w:rPr>
          <w:rFonts w:ascii="Arial" w:eastAsia="Arial" w:hAnsi="Arial" w:cs="Arial"/>
          <w:sz w:val="40"/>
          <w:szCs w:val="40"/>
        </w:rPr>
        <w:t>B</w:t>
      </w:r>
      <w:r w:rsidRPr="00952631">
        <w:rPr>
          <w:rFonts w:ascii="Arial" w:eastAsia="Arial" w:hAnsi="Arial" w:cs="Arial"/>
          <w:sz w:val="40"/>
          <w:szCs w:val="40"/>
        </w:rPr>
        <w:t>AP 2026-2031</w:t>
      </w:r>
      <w:bookmarkEnd w:id="36"/>
    </w:p>
    <w:p w:rsidR="00D14804" w:rsidRDefault="00E47E1B" w:rsidP="00502D97">
      <w:pPr>
        <w:pBdr>
          <w:top w:val="nil"/>
          <w:left w:val="nil"/>
          <w:bottom w:val="nil"/>
          <w:right w:val="nil"/>
          <w:between w:val="nil"/>
        </w:pBdr>
        <w:spacing w:after="0"/>
        <w:jc w:val="both"/>
        <w:rPr>
          <w:rFonts w:ascii="Arial" w:eastAsia="Arial" w:hAnsi="Arial" w:cs="Arial"/>
          <w:color w:val="000000"/>
        </w:rPr>
      </w:pPr>
      <w:r>
        <w:rPr>
          <w:rFonts w:ascii="Arial" w:eastAsia="Arial" w:hAnsi="Arial" w:cs="Arial"/>
          <w:b/>
          <w:bCs/>
          <w:color w:val="000000"/>
        </w:rPr>
        <w:t xml:space="preserve">Napomena: </w:t>
      </w:r>
      <w:r>
        <w:rPr>
          <w:rFonts w:ascii="Arial" w:eastAsia="Arial" w:hAnsi="Arial" w:cs="Arial"/>
          <w:color w:val="000000"/>
        </w:rPr>
        <w:t>Akcioni plan treba da sadr</w:t>
      </w:r>
      <w:r w:rsidR="00212FE9">
        <w:rPr>
          <w:rFonts w:ascii="Arial" w:eastAsia="Arial" w:hAnsi="Arial" w:cs="Arial"/>
          <w:color w:val="000000"/>
        </w:rPr>
        <w:t>ž</w:t>
      </w:r>
      <w:r>
        <w:rPr>
          <w:rFonts w:ascii="Arial" w:eastAsia="Arial" w:hAnsi="Arial" w:cs="Arial"/>
          <w:color w:val="000000"/>
        </w:rPr>
        <w:t xml:space="preserve">i procjenu finansijskih sredstava za svaku aktivnost, ali </w:t>
      </w:r>
      <w:r w:rsidR="00952631">
        <w:rPr>
          <w:rFonts w:ascii="Arial" w:eastAsia="Arial" w:hAnsi="Arial" w:cs="Arial"/>
          <w:color w:val="000000"/>
        </w:rPr>
        <w:t>Imajući u vidu da je finansijska procjena moguća nakon njegove potpune finalizacije i usaglašavanja</w:t>
      </w:r>
      <w:r w:rsidR="00A16581">
        <w:rPr>
          <w:rFonts w:ascii="Arial" w:eastAsia="Arial" w:hAnsi="Arial" w:cs="Arial"/>
          <w:color w:val="000000"/>
        </w:rPr>
        <w:t xml:space="preserve"> na nivou aktisnosti sa relevantnim resorima i institucijama</w:t>
      </w:r>
      <w:r w:rsidR="00952631">
        <w:rPr>
          <w:rFonts w:ascii="Arial" w:eastAsia="Arial" w:hAnsi="Arial" w:cs="Arial"/>
          <w:color w:val="000000"/>
        </w:rPr>
        <w:t>, ista će biti naknadno defi</w:t>
      </w:r>
      <w:r w:rsidR="006D4D08">
        <w:rPr>
          <w:rFonts w:ascii="Arial" w:eastAsia="Arial" w:hAnsi="Arial" w:cs="Arial"/>
          <w:color w:val="000000"/>
        </w:rPr>
        <w:t>nisana</w:t>
      </w:r>
      <w:r w:rsidR="00212FE9">
        <w:rPr>
          <w:rFonts w:ascii="Arial" w:eastAsia="Arial" w:hAnsi="Arial" w:cs="Arial"/>
          <w:color w:val="000000"/>
        </w:rPr>
        <w:t xml:space="preserve">, što uključuje i razradu ovog poglavlja </w:t>
      </w:r>
      <w:r w:rsidR="00A16581">
        <w:rPr>
          <w:rFonts w:ascii="Arial" w:eastAsia="Arial" w:hAnsi="Arial" w:cs="Arial"/>
          <w:color w:val="000000"/>
        </w:rPr>
        <w:t xml:space="preserve">u narativnom dijelu </w:t>
      </w:r>
      <w:r w:rsidR="00212FE9">
        <w:rPr>
          <w:rFonts w:ascii="Arial" w:eastAsia="Arial" w:hAnsi="Arial" w:cs="Arial"/>
          <w:color w:val="000000"/>
        </w:rPr>
        <w:t>NSBAP</w:t>
      </w:r>
      <w:r w:rsidR="00A16581">
        <w:rPr>
          <w:rFonts w:ascii="Arial" w:eastAsia="Arial" w:hAnsi="Arial" w:cs="Arial"/>
          <w:color w:val="000000"/>
        </w:rPr>
        <w:t xml:space="preserve"> i unošenja finansijskih sredstava u </w:t>
      </w:r>
      <w:r w:rsidR="0016294A">
        <w:rPr>
          <w:rFonts w:ascii="Arial" w:eastAsia="Arial" w:hAnsi="Arial" w:cs="Arial"/>
          <w:color w:val="000000"/>
        </w:rPr>
        <w:t>A</w:t>
      </w:r>
      <w:r w:rsidR="00A16581">
        <w:rPr>
          <w:rFonts w:ascii="Arial" w:eastAsia="Arial" w:hAnsi="Arial" w:cs="Arial"/>
          <w:color w:val="000000"/>
        </w:rPr>
        <w:t xml:space="preserve">kcionom planu </w:t>
      </w:r>
      <w:r w:rsidR="0016294A">
        <w:rPr>
          <w:rFonts w:ascii="Arial" w:eastAsia="Arial" w:hAnsi="Arial" w:cs="Arial"/>
          <w:color w:val="000000"/>
        </w:rPr>
        <w:t>–</w:t>
      </w:r>
      <w:r w:rsidR="00A16581">
        <w:rPr>
          <w:rFonts w:ascii="Arial" w:eastAsia="Arial" w:hAnsi="Arial" w:cs="Arial"/>
          <w:color w:val="000000"/>
        </w:rPr>
        <w:t xml:space="preserve"> </w:t>
      </w:r>
      <w:r w:rsidR="0016294A">
        <w:rPr>
          <w:rFonts w:ascii="Arial" w:eastAsia="Arial" w:hAnsi="Arial" w:cs="Arial"/>
          <w:color w:val="000000"/>
        </w:rPr>
        <w:t xml:space="preserve">Excel </w:t>
      </w:r>
      <w:r w:rsidR="00A16581">
        <w:rPr>
          <w:rFonts w:ascii="Arial" w:eastAsia="Arial" w:hAnsi="Arial" w:cs="Arial"/>
          <w:color w:val="000000"/>
        </w:rPr>
        <w:t>tabela</w:t>
      </w:r>
    </w:p>
    <w:p w:rsidR="006D4D08" w:rsidRDefault="006D4D08" w:rsidP="006D4D08">
      <w:pPr>
        <w:pBdr>
          <w:top w:val="nil"/>
          <w:left w:val="nil"/>
          <w:bottom w:val="nil"/>
          <w:right w:val="nil"/>
          <w:between w:val="nil"/>
        </w:pBdr>
        <w:spacing w:after="0" w:line="276" w:lineRule="auto"/>
        <w:rPr>
          <w:rFonts w:ascii="Arial" w:eastAsia="Arial" w:hAnsi="Arial" w:cs="Arial"/>
          <w:color w:val="000000"/>
        </w:rPr>
      </w:pPr>
    </w:p>
    <w:p w:rsidR="006436B9" w:rsidRDefault="006436B9" w:rsidP="006D4D08">
      <w:pPr>
        <w:pBdr>
          <w:top w:val="nil"/>
          <w:left w:val="nil"/>
          <w:bottom w:val="nil"/>
          <w:right w:val="nil"/>
          <w:between w:val="nil"/>
        </w:pBdr>
        <w:spacing w:after="0" w:line="276" w:lineRule="auto"/>
        <w:rPr>
          <w:rFonts w:ascii="Arial" w:eastAsia="Arial" w:hAnsi="Arial" w:cs="Arial"/>
          <w:color w:val="000000"/>
        </w:rPr>
      </w:pPr>
    </w:p>
    <w:p w:rsidR="002C327F" w:rsidRDefault="002C327F" w:rsidP="006D4D08">
      <w:pPr>
        <w:pBdr>
          <w:top w:val="nil"/>
          <w:left w:val="nil"/>
          <w:bottom w:val="nil"/>
          <w:right w:val="nil"/>
          <w:between w:val="nil"/>
        </w:pBdr>
        <w:spacing w:after="0" w:line="276" w:lineRule="auto"/>
        <w:rPr>
          <w:rFonts w:ascii="Arial" w:eastAsia="Arial" w:hAnsi="Arial" w:cs="Arial"/>
          <w:color w:val="000000"/>
        </w:rPr>
      </w:pPr>
    </w:p>
    <w:p w:rsidR="002C327F" w:rsidRDefault="002C327F" w:rsidP="006D4D08">
      <w:pPr>
        <w:pBdr>
          <w:top w:val="nil"/>
          <w:left w:val="nil"/>
          <w:bottom w:val="nil"/>
          <w:right w:val="nil"/>
          <w:between w:val="nil"/>
        </w:pBdr>
        <w:spacing w:after="0" w:line="276" w:lineRule="auto"/>
        <w:rPr>
          <w:rFonts w:ascii="Arial" w:eastAsia="Arial" w:hAnsi="Arial" w:cs="Arial"/>
          <w:color w:val="000000"/>
        </w:rPr>
      </w:pPr>
    </w:p>
    <w:p w:rsidR="00D14804" w:rsidRPr="00502D97" w:rsidRDefault="006D4D08" w:rsidP="006D4D08">
      <w:pPr>
        <w:pStyle w:val="Heading2"/>
        <w:rPr>
          <w:rFonts w:ascii="Arial" w:eastAsia="Arial" w:hAnsi="Arial" w:cs="Arial"/>
          <w:sz w:val="32"/>
          <w:szCs w:val="32"/>
        </w:rPr>
      </w:pPr>
      <w:bookmarkStart w:id="37" w:name="_Toc222754386"/>
      <w:r w:rsidRPr="00502D97">
        <w:rPr>
          <w:rFonts w:ascii="Arial" w:eastAsia="Arial" w:hAnsi="Arial" w:cs="Arial"/>
          <w:sz w:val="32"/>
          <w:szCs w:val="32"/>
        </w:rPr>
        <w:t xml:space="preserve">6.1 </w:t>
      </w:r>
      <w:r w:rsidR="00E47E1B" w:rsidRPr="00502D97">
        <w:rPr>
          <w:rFonts w:ascii="Arial" w:eastAsia="Arial" w:hAnsi="Arial" w:cs="Arial"/>
          <w:sz w:val="32"/>
          <w:szCs w:val="32"/>
        </w:rPr>
        <w:t>Identifikovani nedostaci i ograničenja</w:t>
      </w:r>
      <w:bookmarkEnd w:id="37"/>
    </w:p>
    <w:p w:rsidR="00D14804" w:rsidRPr="0083364F" w:rsidRDefault="00E47E1B" w:rsidP="008166A6">
      <w:pPr>
        <w:pStyle w:val="ListParagraph"/>
        <w:numPr>
          <w:ilvl w:val="0"/>
          <w:numId w:val="22"/>
        </w:numPr>
        <w:pBdr>
          <w:top w:val="nil"/>
          <w:left w:val="nil"/>
          <w:bottom w:val="nil"/>
          <w:right w:val="nil"/>
          <w:between w:val="nil"/>
        </w:pBdr>
        <w:spacing w:after="0"/>
        <w:jc w:val="both"/>
        <w:rPr>
          <w:rFonts w:ascii="Arial" w:eastAsia="Arial" w:hAnsi="Arial" w:cs="Arial"/>
          <w:color w:val="000000"/>
        </w:rPr>
      </w:pPr>
      <w:r w:rsidRPr="0083364F">
        <w:rPr>
          <w:rFonts w:ascii="Arial" w:eastAsia="Arial" w:hAnsi="Arial" w:cs="Arial"/>
          <w:color w:val="000000"/>
        </w:rPr>
        <w:t>finansijski jaz u odnosu na p</w:t>
      </w:r>
      <w:r w:rsidR="00502D97" w:rsidRPr="0083364F">
        <w:rPr>
          <w:rFonts w:ascii="Arial" w:eastAsia="Arial" w:hAnsi="Arial" w:cs="Arial"/>
          <w:color w:val="000000"/>
        </w:rPr>
        <w:t>otrebe za sprovođenje ciljeva N</w:t>
      </w:r>
      <w:r w:rsidRPr="0083364F">
        <w:rPr>
          <w:rFonts w:ascii="Arial" w:eastAsia="Arial" w:hAnsi="Arial" w:cs="Arial"/>
          <w:color w:val="000000"/>
        </w:rPr>
        <w:t>S</w:t>
      </w:r>
      <w:r w:rsidR="00502D97" w:rsidRPr="0083364F">
        <w:rPr>
          <w:rFonts w:ascii="Arial" w:eastAsia="Arial" w:hAnsi="Arial" w:cs="Arial"/>
          <w:color w:val="000000"/>
        </w:rPr>
        <w:t>B</w:t>
      </w:r>
      <w:r w:rsidR="0083364F">
        <w:rPr>
          <w:rFonts w:ascii="Arial" w:eastAsia="Arial" w:hAnsi="Arial" w:cs="Arial"/>
          <w:color w:val="000000"/>
        </w:rPr>
        <w:t>AP</w:t>
      </w:r>
      <w:r w:rsidRPr="0083364F">
        <w:rPr>
          <w:rFonts w:ascii="Arial" w:eastAsia="Arial" w:hAnsi="Arial" w:cs="Arial"/>
          <w:color w:val="000000"/>
        </w:rPr>
        <w:t>, institucionalni i administrativni izazovi u mobilizaciji i korišćenju sredstava</w:t>
      </w:r>
      <w:r w:rsidR="00502D97" w:rsidRPr="0083364F">
        <w:rPr>
          <w:rFonts w:ascii="Arial" w:eastAsia="Arial" w:hAnsi="Arial" w:cs="Arial"/>
          <w:color w:val="000000"/>
        </w:rPr>
        <w:t>.</w:t>
      </w:r>
    </w:p>
    <w:p w:rsidR="00D14804" w:rsidRDefault="00D14804">
      <w:pPr>
        <w:pBdr>
          <w:top w:val="nil"/>
          <w:left w:val="nil"/>
          <w:bottom w:val="nil"/>
          <w:right w:val="nil"/>
          <w:between w:val="nil"/>
        </w:pBdr>
        <w:spacing w:after="0"/>
        <w:rPr>
          <w:rFonts w:ascii="Arial" w:eastAsia="Arial" w:hAnsi="Arial" w:cs="Arial"/>
          <w:color w:val="000000"/>
        </w:rPr>
      </w:pPr>
    </w:p>
    <w:p w:rsidR="00D14804" w:rsidRPr="006436B9" w:rsidRDefault="00E47E1B" w:rsidP="008166A6">
      <w:pPr>
        <w:pStyle w:val="ListParagraph"/>
        <w:numPr>
          <w:ilvl w:val="1"/>
          <w:numId w:val="19"/>
        </w:numPr>
        <w:pBdr>
          <w:top w:val="nil"/>
          <w:left w:val="nil"/>
          <w:bottom w:val="nil"/>
          <w:right w:val="nil"/>
          <w:between w:val="nil"/>
        </w:pBdr>
        <w:spacing w:after="0"/>
        <w:rPr>
          <w:rFonts w:ascii="Arial" w:eastAsia="Arial" w:hAnsi="Arial" w:cs="Arial"/>
          <w:b/>
          <w:bCs/>
          <w:sz w:val="32"/>
          <w:szCs w:val="32"/>
          <w:lang w:val="sr-Latn-ME"/>
        </w:rPr>
      </w:pPr>
      <w:r w:rsidRPr="006436B9">
        <w:rPr>
          <w:rFonts w:ascii="Arial" w:eastAsia="Arial" w:hAnsi="Arial" w:cs="Arial"/>
          <w:b/>
          <w:bCs/>
          <w:sz w:val="32"/>
          <w:szCs w:val="32"/>
          <w:lang w:val="sr-Latn-ME"/>
        </w:rPr>
        <w:t>Procjena finansijskih potreba</w:t>
      </w:r>
    </w:p>
    <w:p w:rsidR="00D14804" w:rsidRPr="0083364F" w:rsidRDefault="00E47E1B" w:rsidP="008166A6">
      <w:pPr>
        <w:pStyle w:val="ListParagraph"/>
        <w:numPr>
          <w:ilvl w:val="0"/>
          <w:numId w:val="21"/>
        </w:numPr>
        <w:pBdr>
          <w:top w:val="nil"/>
          <w:left w:val="nil"/>
          <w:bottom w:val="nil"/>
          <w:right w:val="nil"/>
          <w:between w:val="nil"/>
        </w:pBdr>
        <w:spacing w:after="0"/>
        <w:jc w:val="both"/>
        <w:rPr>
          <w:rFonts w:ascii="Arial" w:eastAsia="Arial" w:hAnsi="Arial" w:cs="Arial"/>
          <w:color w:val="000000"/>
        </w:rPr>
      </w:pPr>
      <w:r w:rsidRPr="0083364F">
        <w:rPr>
          <w:rFonts w:ascii="Arial" w:eastAsia="Arial" w:hAnsi="Arial" w:cs="Arial"/>
          <w:color w:val="000000"/>
        </w:rPr>
        <w:t>projekcija potrebnih sredstava za impleme</w:t>
      </w:r>
      <w:r w:rsidR="0083364F">
        <w:rPr>
          <w:rFonts w:ascii="Arial" w:eastAsia="Arial" w:hAnsi="Arial" w:cs="Arial"/>
          <w:color w:val="000000"/>
        </w:rPr>
        <w:t>ntaciju ciljeva i mjera N</w:t>
      </w:r>
      <w:r w:rsidR="0083364F" w:rsidRPr="0083364F">
        <w:rPr>
          <w:rFonts w:ascii="Arial" w:eastAsia="Arial" w:hAnsi="Arial" w:cs="Arial"/>
          <w:color w:val="000000"/>
        </w:rPr>
        <w:t>S</w:t>
      </w:r>
      <w:r w:rsidR="0083364F">
        <w:rPr>
          <w:rFonts w:ascii="Arial" w:eastAsia="Arial" w:hAnsi="Arial" w:cs="Arial"/>
          <w:color w:val="000000"/>
        </w:rPr>
        <w:t>B</w:t>
      </w:r>
      <w:r w:rsidR="0083364F" w:rsidRPr="0083364F">
        <w:rPr>
          <w:rFonts w:ascii="Arial" w:eastAsia="Arial" w:hAnsi="Arial" w:cs="Arial"/>
          <w:color w:val="000000"/>
        </w:rPr>
        <w:t xml:space="preserve">AP, </w:t>
      </w:r>
      <w:r w:rsidRPr="0083364F">
        <w:rPr>
          <w:rFonts w:ascii="Arial" w:eastAsia="Arial" w:hAnsi="Arial" w:cs="Arial"/>
          <w:color w:val="000000"/>
        </w:rPr>
        <w:t>procjena troškova po prioritetnim temama (zaštićena područja, obnova staništa, monitoring, edukacija, istraživanje, integracija biodiverziteta u sektorske politike)</w:t>
      </w:r>
      <w:r w:rsidR="00502D97" w:rsidRPr="0083364F">
        <w:rPr>
          <w:rFonts w:ascii="Arial" w:eastAsia="Arial" w:hAnsi="Arial" w:cs="Arial"/>
          <w:color w:val="000000"/>
        </w:rPr>
        <w:t>.</w:t>
      </w:r>
    </w:p>
    <w:p w:rsidR="006D4D08" w:rsidRDefault="006D4D08" w:rsidP="00502D97">
      <w:pPr>
        <w:pBdr>
          <w:top w:val="nil"/>
          <w:left w:val="nil"/>
          <w:bottom w:val="nil"/>
          <w:right w:val="nil"/>
          <w:between w:val="nil"/>
        </w:pBdr>
        <w:spacing w:after="0" w:line="276" w:lineRule="auto"/>
        <w:jc w:val="both"/>
        <w:rPr>
          <w:rFonts w:ascii="Arial" w:eastAsia="Arial" w:hAnsi="Arial" w:cs="Arial"/>
          <w:color w:val="000000"/>
        </w:rPr>
      </w:pPr>
    </w:p>
    <w:p w:rsidR="00D14804" w:rsidRPr="006436B9" w:rsidRDefault="00E47E1B" w:rsidP="008166A6">
      <w:pPr>
        <w:pStyle w:val="ListParagraph"/>
        <w:numPr>
          <w:ilvl w:val="1"/>
          <w:numId w:val="19"/>
        </w:numPr>
        <w:pBdr>
          <w:top w:val="nil"/>
          <w:left w:val="nil"/>
          <w:bottom w:val="nil"/>
          <w:right w:val="nil"/>
          <w:between w:val="nil"/>
        </w:pBdr>
        <w:spacing w:after="0"/>
        <w:rPr>
          <w:rFonts w:ascii="Arial" w:eastAsia="Arial" w:hAnsi="Arial" w:cs="Arial"/>
          <w:b/>
          <w:bCs/>
          <w:sz w:val="32"/>
          <w:szCs w:val="32"/>
          <w:lang w:val="sr-Latn-ME"/>
        </w:rPr>
      </w:pPr>
      <w:r w:rsidRPr="006436B9">
        <w:rPr>
          <w:rFonts w:ascii="Arial" w:eastAsia="Arial" w:hAnsi="Arial" w:cs="Arial"/>
          <w:b/>
          <w:bCs/>
          <w:sz w:val="32"/>
          <w:szCs w:val="32"/>
          <w:lang w:val="sr-Latn-ME"/>
        </w:rPr>
        <w:t>Potencijalni izvori finansiranja</w:t>
      </w:r>
    </w:p>
    <w:p w:rsidR="00D14804" w:rsidRPr="0083364F" w:rsidRDefault="00E47E1B" w:rsidP="008166A6">
      <w:pPr>
        <w:pStyle w:val="ListParagraph"/>
        <w:numPr>
          <w:ilvl w:val="0"/>
          <w:numId w:val="20"/>
        </w:numPr>
        <w:pBdr>
          <w:top w:val="nil"/>
          <w:left w:val="nil"/>
          <w:bottom w:val="nil"/>
          <w:right w:val="nil"/>
          <w:between w:val="nil"/>
        </w:pBdr>
        <w:spacing w:after="0"/>
        <w:rPr>
          <w:rFonts w:ascii="Arial" w:eastAsia="Arial" w:hAnsi="Arial" w:cs="Arial"/>
          <w:color w:val="000000"/>
        </w:rPr>
      </w:pPr>
      <w:r w:rsidRPr="0083364F">
        <w:rPr>
          <w:rFonts w:ascii="Arial" w:hAnsi="Arial" w:cs="Arial"/>
        </w:rPr>
        <w:t>analiza mogućnosti povećanja domaćih izvora</w:t>
      </w:r>
      <w:r w:rsidRPr="0083364F">
        <w:rPr>
          <w:rFonts w:ascii="Arial" w:eastAsia="Arial" w:hAnsi="Arial" w:cs="Arial"/>
          <w:color w:val="000000"/>
        </w:rPr>
        <w:t xml:space="preserve"> (budžetska izdvajanja, lokalni prihodi, zelene takse, </w:t>
      </w:r>
      <w:r w:rsidR="0083364F" w:rsidRPr="0083364F">
        <w:rPr>
          <w:rFonts w:ascii="Arial" w:eastAsia="Arial" w:hAnsi="Arial" w:cs="Arial"/>
          <w:color w:val="000000"/>
        </w:rPr>
        <w:t>naknade za korišćenje resursa),</w:t>
      </w:r>
      <w:r w:rsidRPr="0083364F">
        <w:rPr>
          <w:rFonts w:ascii="Arial" w:eastAsia="Arial" w:hAnsi="Arial" w:cs="Arial"/>
          <w:color w:val="000000"/>
        </w:rPr>
        <w:t xml:space="preserve"> međunarodni izvori, privatni sektor i inovativni mehanizm</w:t>
      </w:r>
      <w:r w:rsidR="00212FE9">
        <w:rPr>
          <w:rFonts w:ascii="Arial" w:eastAsia="Arial" w:hAnsi="Arial" w:cs="Arial"/>
          <w:color w:val="000000"/>
        </w:rPr>
        <w:t>i</w:t>
      </w:r>
      <w:r w:rsidRPr="0083364F">
        <w:rPr>
          <w:rFonts w:ascii="Arial" w:eastAsia="Arial" w:hAnsi="Arial" w:cs="Arial"/>
          <w:color w:val="000000"/>
        </w:rPr>
        <w:t>. BIOFIN preporuke i smjernice.</w:t>
      </w:r>
    </w:p>
    <w:p w:rsidR="00F665A1" w:rsidRDefault="00F665A1">
      <w:pPr>
        <w:pStyle w:val="Heading1"/>
        <w:rPr>
          <w:rFonts w:ascii="Arial" w:eastAsia="Arial" w:hAnsi="Arial" w:cs="Arial"/>
          <w:sz w:val="40"/>
          <w:szCs w:val="40"/>
        </w:rPr>
      </w:pPr>
    </w:p>
    <w:p w:rsidR="00D14804" w:rsidRDefault="00721DEF" w:rsidP="00F665A1">
      <w:pPr>
        <w:pStyle w:val="Heading1"/>
        <w:rPr>
          <w:rFonts w:ascii="Arial" w:eastAsia="Arial" w:hAnsi="Arial" w:cs="Arial"/>
          <w:sz w:val="40"/>
          <w:szCs w:val="40"/>
        </w:rPr>
      </w:pPr>
      <w:bookmarkStart w:id="38" w:name="_Toc222754387"/>
      <w:r>
        <w:rPr>
          <w:rFonts w:ascii="Arial" w:eastAsia="Arial" w:hAnsi="Arial" w:cs="Arial"/>
          <w:sz w:val="40"/>
          <w:szCs w:val="40"/>
        </w:rPr>
        <w:t>VII</w:t>
      </w:r>
      <w:r w:rsidR="00F665A1" w:rsidRPr="00F665A1">
        <w:rPr>
          <w:rFonts w:ascii="Arial" w:eastAsia="Arial" w:hAnsi="Arial" w:cs="Arial"/>
          <w:sz w:val="40"/>
          <w:szCs w:val="40"/>
        </w:rPr>
        <w:t xml:space="preserve"> </w:t>
      </w:r>
      <w:r w:rsidR="00E47E1B" w:rsidRPr="00F665A1">
        <w:rPr>
          <w:rFonts w:ascii="Arial" w:eastAsia="Arial" w:hAnsi="Arial" w:cs="Arial"/>
          <w:sz w:val="40"/>
          <w:szCs w:val="40"/>
        </w:rPr>
        <w:t>Implementacija, izvještavanje i evaluacija o sprovođenju NSBAP</w:t>
      </w:r>
      <w:bookmarkEnd w:id="38"/>
    </w:p>
    <w:p w:rsidR="00970154" w:rsidRPr="00AE400D" w:rsidRDefault="00970154" w:rsidP="00AE400D">
      <w:pPr>
        <w:pStyle w:val="Heading2"/>
        <w:rPr>
          <w:rFonts w:ascii="Arial" w:eastAsia="Arial" w:hAnsi="Arial" w:cs="Arial"/>
          <w:sz w:val="32"/>
          <w:szCs w:val="32"/>
        </w:rPr>
      </w:pPr>
    </w:p>
    <w:p w:rsidR="00970154" w:rsidRPr="00AE400D" w:rsidRDefault="00AE400D" w:rsidP="00AE400D">
      <w:pPr>
        <w:pStyle w:val="Heading2"/>
        <w:rPr>
          <w:rFonts w:ascii="Arial" w:hAnsi="Arial" w:cs="Arial"/>
          <w:sz w:val="32"/>
          <w:szCs w:val="32"/>
        </w:rPr>
      </w:pPr>
      <w:bookmarkStart w:id="39" w:name="_Toc222754388"/>
      <w:r w:rsidRPr="00AE400D">
        <w:rPr>
          <w:rFonts w:ascii="Arial" w:hAnsi="Arial" w:cs="Arial"/>
          <w:sz w:val="32"/>
          <w:szCs w:val="32"/>
        </w:rPr>
        <w:t xml:space="preserve">7.1 </w:t>
      </w:r>
      <w:r w:rsidR="00970154" w:rsidRPr="00AE400D">
        <w:rPr>
          <w:rFonts w:ascii="Arial" w:hAnsi="Arial" w:cs="Arial"/>
          <w:sz w:val="32"/>
          <w:szCs w:val="32"/>
        </w:rPr>
        <w:t xml:space="preserve">Praćenje, izvještavanje i evaluacija </w:t>
      </w:r>
      <w:r w:rsidRPr="00AE400D">
        <w:rPr>
          <w:rFonts w:ascii="Arial" w:hAnsi="Arial" w:cs="Arial"/>
          <w:sz w:val="32"/>
          <w:szCs w:val="32"/>
        </w:rPr>
        <w:t>NSBAP 2026-2031</w:t>
      </w:r>
      <w:bookmarkEnd w:id="39"/>
    </w:p>
    <w:p w:rsidR="00970154" w:rsidRPr="00970154" w:rsidRDefault="00970154" w:rsidP="00970154">
      <w:pPr>
        <w:pStyle w:val="NormalWeb"/>
        <w:jc w:val="both"/>
        <w:rPr>
          <w:rFonts w:ascii="Arial" w:hAnsi="Arial" w:cs="Arial"/>
          <w:sz w:val="22"/>
          <w:szCs w:val="22"/>
        </w:rPr>
      </w:pPr>
      <w:r w:rsidRPr="00970154">
        <w:rPr>
          <w:rFonts w:ascii="Arial" w:hAnsi="Arial" w:cs="Arial"/>
          <w:sz w:val="22"/>
          <w:szCs w:val="22"/>
        </w:rPr>
        <w:t>Strategija biodiverziteta obuhvata period 2026–2031. godine i sprovodi se kroz sukcesivne akcione planove. Prvi Akcioni plan obuhvata period 2026–2028. godine, dok će naredni planovi biti izrađeni u skladu sa dinamikom sprovođenja i raspoloživim finansijskim i institucionalnim kapacitetima.</w:t>
      </w:r>
    </w:p>
    <w:p w:rsidR="00AA2EF2" w:rsidRDefault="00970154" w:rsidP="00970154">
      <w:pPr>
        <w:pStyle w:val="NormalWeb"/>
        <w:jc w:val="both"/>
        <w:rPr>
          <w:rFonts w:ascii="Arial" w:hAnsi="Arial" w:cs="Arial"/>
          <w:sz w:val="22"/>
          <w:szCs w:val="22"/>
        </w:rPr>
      </w:pPr>
      <w:r w:rsidRPr="00970154">
        <w:rPr>
          <w:rFonts w:ascii="Arial" w:hAnsi="Arial" w:cs="Arial"/>
          <w:sz w:val="22"/>
          <w:szCs w:val="22"/>
        </w:rPr>
        <w:t xml:space="preserve">U sprovođenje </w:t>
      </w:r>
      <w:r w:rsidR="00AA2EF2">
        <w:rPr>
          <w:rFonts w:ascii="Arial" w:hAnsi="Arial" w:cs="Arial"/>
          <w:sz w:val="22"/>
          <w:szCs w:val="22"/>
        </w:rPr>
        <w:t>NSBAP</w:t>
      </w:r>
      <w:r w:rsidRPr="00970154">
        <w:rPr>
          <w:rFonts w:ascii="Arial" w:hAnsi="Arial" w:cs="Arial"/>
          <w:sz w:val="22"/>
          <w:szCs w:val="22"/>
        </w:rPr>
        <w:t xml:space="preserve"> uključen je širok krug institucija i aktera na nacionalnom i lokalnom nivou, uključujući organe državne uprave, stručne institucije, upravljače zaštićenim područjima, jedinice lokalne samouprave, naučne i obrazovne ustanove, organizacije civilnog društva, privredne subjekte i druge relevantne aktere.</w:t>
      </w:r>
    </w:p>
    <w:p w:rsidR="00970154" w:rsidRPr="00970154" w:rsidRDefault="00970154" w:rsidP="00970154">
      <w:pPr>
        <w:pStyle w:val="NormalWeb"/>
        <w:jc w:val="both"/>
        <w:rPr>
          <w:rFonts w:ascii="Arial" w:hAnsi="Arial" w:cs="Arial"/>
          <w:sz w:val="22"/>
          <w:szCs w:val="22"/>
        </w:rPr>
      </w:pPr>
      <w:r w:rsidRPr="00970154">
        <w:rPr>
          <w:rFonts w:ascii="Arial" w:hAnsi="Arial" w:cs="Arial"/>
          <w:sz w:val="22"/>
          <w:szCs w:val="22"/>
        </w:rPr>
        <w:t xml:space="preserve">Koordinaciju sprovođenja, kao i sistemsko praćenje realizacije </w:t>
      </w:r>
      <w:r w:rsidR="00AA2EF2">
        <w:rPr>
          <w:rFonts w:ascii="Arial" w:hAnsi="Arial" w:cs="Arial"/>
          <w:sz w:val="22"/>
          <w:szCs w:val="22"/>
        </w:rPr>
        <w:t>NSBAP</w:t>
      </w:r>
      <w:r w:rsidRPr="00970154">
        <w:rPr>
          <w:rFonts w:ascii="Arial" w:hAnsi="Arial" w:cs="Arial"/>
          <w:sz w:val="22"/>
          <w:szCs w:val="22"/>
        </w:rPr>
        <w:t xml:space="preserve"> i Akcionog plana, vrši Ministarstvo ekologije, održivog razvoja i razvoja sjevera.</w:t>
      </w:r>
    </w:p>
    <w:p w:rsidR="00970154" w:rsidRPr="00AE400D" w:rsidRDefault="00AE400D" w:rsidP="00AE400D">
      <w:pPr>
        <w:pStyle w:val="Heading3"/>
        <w:rPr>
          <w:rFonts w:ascii="Arial" w:hAnsi="Arial" w:cs="Arial"/>
          <w:sz w:val="26"/>
          <w:szCs w:val="26"/>
        </w:rPr>
      </w:pPr>
      <w:bookmarkStart w:id="40" w:name="_Toc222754389"/>
      <w:r w:rsidRPr="00AE400D">
        <w:rPr>
          <w:rFonts w:ascii="Arial" w:hAnsi="Arial" w:cs="Arial"/>
          <w:sz w:val="26"/>
          <w:szCs w:val="26"/>
        </w:rPr>
        <w:t xml:space="preserve">7.1.1 </w:t>
      </w:r>
      <w:r w:rsidR="00970154" w:rsidRPr="00AE400D">
        <w:rPr>
          <w:rFonts w:ascii="Arial" w:hAnsi="Arial" w:cs="Arial"/>
          <w:sz w:val="26"/>
          <w:szCs w:val="26"/>
        </w:rPr>
        <w:t>Sistem praćenja</w:t>
      </w:r>
      <w:r>
        <w:rPr>
          <w:rFonts w:ascii="Arial" w:hAnsi="Arial" w:cs="Arial"/>
          <w:sz w:val="26"/>
          <w:szCs w:val="26"/>
        </w:rPr>
        <w:t xml:space="preserve"> NSBAP 2026-2031</w:t>
      </w:r>
      <w:bookmarkEnd w:id="40"/>
    </w:p>
    <w:p w:rsidR="00970154" w:rsidRPr="00970154" w:rsidRDefault="00970154" w:rsidP="00970154">
      <w:pPr>
        <w:pStyle w:val="NormalWeb"/>
        <w:jc w:val="both"/>
        <w:rPr>
          <w:rFonts w:ascii="Arial" w:hAnsi="Arial" w:cs="Arial"/>
          <w:sz w:val="22"/>
          <w:szCs w:val="22"/>
        </w:rPr>
      </w:pPr>
      <w:r w:rsidRPr="00970154">
        <w:rPr>
          <w:rFonts w:ascii="Arial" w:hAnsi="Arial" w:cs="Arial"/>
          <w:sz w:val="22"/>
          <w:szCs w:val="22"/>
        </w:rPr>
        <w:t>Praćenje realizacije Strategije zasniva se na sistemu indikatora definisanih u Akcionom planu i usklađenih sa Metodologijom razvoja politika i izrade i praćenja sprovođenja strateških dokumenata.</w:t>
      </w:r>
    </w:p>
    <w:p w:rsidR="00970154" w:rsidRDefault="00970154" w:rsidP="00E67847">
      <w:pPr>
        <w:pStyle w:val="NormalWeb"/>
        <w:spacing w:before="0" w:beforeAutospacing="0" w:after="0" w:afterAutospacing="0"/>
        <w:jc w:val="both"/>
        <w:rPr>
          <w:rFonts w:ascii="Arial" w:hAnsi="Arial" w:cs="Arial"/>
          <w:sz w:val="22"/>
          <w:szCs w:val="22"/>
        </w:rPr>
      </w:pPr>
      <w:r w:rsidRPr="00970154">
        <w:rPr>
          <w:rFonts w:ascii="Arial" w:hAnsi="Arial" w:cs="Arial"/>
          <w:sz w:val="22"/>
          <w:szCs w:val="22"/>
        </w:rPr>
        <w:t>Sistem indikatora obuhvata:</w:t>
      </w:r>
    </w:p>
    <w:p w:rsidR="00E67847" w:rsidRPr="00970154" w:rsidRDefault="00E67847" w:rsidP="008166A6">
      <w:pPr>
        <w:numPr>
          <w:ilvl w:val="0"/>
          <w:numId w:val="23"/>
        </w:numPr>
        <w:spacing w:after="0" w:line="240" w:lineRule="auto"/>
        <w:jc w:val="both"/>
        <w:rPr>
          <w:rFonts w:ascii="Arial" w:hAnsi="Arial" w:cs="Arial"/>
        </w:rPr>
      </w:pPr>
      <w:r w:rsidRPr="00970154">
        <w:rPr>
          <w:rStyle w:val="Strong"/>
          <w:rFonts w:ascii="Arial" w:hAnsi="Arial" w:cs="Arial"/>
        </w:rPr>
        <w:t>indikatore uticaja</w:t>
      </w:r>
      <w:r>
        <w:rPr>
          <w:rFonts w:ascii="Arial" w:hAnsi="Arial" w:cs="Arial"/>
        </w:rPr>
        <w:t xml:space="preserve"> – na nivou strateških ciljeva,</w:t>
      </w:r>
    </w:p>
    <w:p w:rsidR="00E67847" w:rsidRPr="00E67847" w:rsidRDefault="00E67847" w:rsidP="008166A6">
      <w:pPr>
        <w:numPr>
          <w:ilvl w:val="0"/>
          <w:numId w:val="23"/>
        </w:numPr>
        <w:spacing w:after="0" w:line="240" w:lineRule="auto"/>
        <w:jc w:val="both"/>
        <w:rPr>
          <w:rFonts w:ascii="Arial" w:hAnsi="Arial" w:cs="Arial"/>
        </w:rPr>
      </w:pPr>
      <w:r w:rsidRPr="00970154">
        <w:rPr>
          <w:rStyle w:val="Strong"/>
          <w:rFonts w:ascii="Arial" w:hAnsi="Arial" w:cs="Arial"/>
        </w:rPr>
        <w:t>indikatore učinka</w:t>
      </w:r>
      <w:r w:rsidRPr="00970154">
        <w:rPr>
          <w:rFonts w:ascii="Arial" w:hAnsi="Arial" w:cs="Arial"/>
        </w:rPr>
        <w:t xml:space="preserve"> – na nivou operativnih ciljeva,</w:t>
      </w:r>
    </w:p>
    <w:p w:rsidR="00970154" w:rsidRPr="00970154" w:rsidRDefault="00970154" w:rsidP="008166A6">
      <w:pPr>
        <w:numPr>
          <w:ilvl w:val="0"/>
          <w:numId w:val="23"/>
        </w:numPr>
        <w:spacing w:after="0" w:line="240" w:lineRule="auto"/>
        <w:jc w:val="both"/>
        <w:rPr>
          <w:rFonts w:ascii="Arial" w:hAnsi="Arial" w:cs="Arial"/>
        </w:rPr>
      </w:pPr>
      <w:r w:rsidRPr="00970154">
        <w:rPr>
          <w:rStyle w:val="Strong"/>
          <w:rFonts w:ascii="Arial" w:hAnsi="Arial" w:cs="Arial"/>
        </w:rPr>
        <w:t>indikatore rezultata</w:t>
      </w:r>
      <w:r w:rsidR="00E67847">
        <w:rPr>
          <w:rFonts w:ascii="Arial" w:hAnsi="Arial" w:cs="Arial"/>
        </w:rPr>
        <w:t xml:space="preserve"> – na nivou aktivnosti.</w:t>
      </w:r>
    </w:p>
    <w:p w:rsidR="00970154" w:rsidRDefault="00970154" w:rsidP="008C434E">
      <w:pPr>
        <w:pStyle w:val="NormalWeb"/>
        <w:jc w:val="both"/>
        <w:rPr>
          <w:rFonts w:ascii="Arial" w:hAnsi="Arial" w:cs="Arial"/>
          <w:sz w:val="22"/>
          <w:szCs w:val="22"/>
        </w:rPr>
      </w:pPr>
      <w:r w:rsidRPr="00970154">
        <w:rPr>
          <w:rFonts w:ascii="Arial" w:hAnsi="Arial" w:cs="Arial"/>
          <w:sz w:val="22"/>
          <w:szCs w:val="22"/>
        </w:rPr>
        <w:lastRenderedPageBreak/>
        <w:t>Prilikom definisanja indikatora vodilo se računa o postojećim nacionalnim indikatorima i programima monitoringa, kao i o raspoloživim kapacitetima za njihovo praćenje. Gdje god je to bilo moguće, korišćeni su indikatori Kunming–Montreal Globalnog okvira za biodiverzitet (GBF) ili njihovi nacionalni ekvivalenti, radi obezbjeđivanja uporedivosti i olakšanog međunarodnog izvještavanja.</w:t>
      </w:r>
    </w:p>
    <w:p w:rsidR="008C434E" w:rsidRPr="00970154" w:rsidRDefault="008C434E" w:rsidP="008C434E">
      <w:pPr>
        <w:pStyle w:val="NormalWeb"/>
        <w:jc w:val="both"/>
        <w:rPr>
          <w:rFonts w:ascii="Arial" w:hAnsi="Arial" w:cs="Arial"/>
          <w:sz w:val="22"/>
          <w:szCs w:val="22"/>
        </w:rPr>
      </w:pPr>
    </w:p>
    <w:p w:rsidR="00970154" w:rsidRPr="00AE400D" w:rsidRDefault="00AE400D" w:rsidP="00AE400D">
      <w:pPr>
        <w:pStyle w:val="Heading3"/>
        <w:rPr>
          <w:rFonts w:ascii="Arial" w:hAnsi="Arial" w:cs="Arial"/>
          <w:sz w:val="26"/>
          <w:szCs w:val="26"/>
        </w:rPr>
      </w:pPr>
      <w:bookmarkStart w:id="41" w:name="_Toc222754390"/>
      <w:r>
        <w:rPr>
          <w:rFonts w:ascii="Arial" w:hAnsi="Arial" w:cs="Arial"/>
          <w:sz w:val="26"/>
          <w:szCs w:val="26"/>
        </w:rPr>
        <w:t>7.</w:t>
      </w:r>
      <w:r w:rsidR="00433F26">
        <w:rPr>
          <w:rFonts w:ascii="Arial" w:hAnsi="Arial" w:cs="Arial"/>
          <w:sz w:val="26"/>
          <w:szCs w:val="26"/>
        </w:rPr>
        <w:t>1</w:t>
      </w:r>
      <w:r>
        <w:rPr>
          <w:rFonts w:ascii="Arial" w:hAnsi="Arial" w:cs="Arial"/>
          <w:sz w:val="26"/>
          <w:szCs w:val="26"/>
        </w:rPr>
        <w:t>.</w:t>
      </w:r>
      <w:r w:rsidR="00433F26">
        <w:rPr>
          <w:rFonts w:ascii="Arial" w:hAnsi="Arial" w:cs="Arial"/>
          <w:sz w:val="26"/>
          <w:szCs w:val="26"/>
        </w:rPr>
        <w:t>2</w:t>
      </w:r>
      <w:r>
        <w:rPr>
          <w:rFonts w:ascii="Arial" w:hAnsi="Arial" w:cs="Arial"/>
          <w:sz w:val="26"/>
          <w:szCs w:val="26"/>
        </w:rPr>
        <w:t xml:space="preserve"> </w:t>
      </w:r>
      <w:r w:rsidR="00970154" w:rsidRPr="00AE400D">
        <w:rPr>
          <w:rFonts w:ascii="Arial" w:hAnsi="Arial" w:cs="Arial"/>
          <w:sz w:val="26"/>
          <w:szCs w:val="26"/>
        </w:rPr>
        <w:t>Izvještavanje o sprovođenju</w:t>
      </w:r>
      <w:r>
        <w:rPr>
          <w:rFonts w:ascii="Arial" w:hAnsi="Arial" w:cs="Arial"/>
          <w:sz w:val="26"/>
          <w:szCs w:val="26"/>
        </w:rPr>
        <w:t xml:space="preserve"> NSBAP 2026-2031</w:t>
      </w:r>
      <w:bookmarkEnd w:id="41"/>
    </w:p>
    <w:p w:rsidR="00970154" w:rsidRPr="004B3619" w:rsidRDefault="00970154" w:rsidP="00970154">
      <w:pPr>
        <w:pStyle w:val="NormalWeb"/>
        <w:jc w:val="both"/>
        <w:rPr>
          <w:rFonts w:ascii="Arial" w:hAnsi="Arial" w:cs="Arial"/>
          <w:sz w:val="22"/>
          <w:szCs w:val="22"/>
        </w:rPr>
      </w:pPr>
      <w:r w:rsidRPr="00554372">
        <w:rPr>
          <w:rFonts w:ascii="Arial" w:hAnsi="Arial" w:cs="Arial"/>
          <w:sz w:val="22"/>
          <w:szCs w:val="22"/>
        </w:rPr>
        <w:t xml:space="preserve">Izvještavanje o sprovođenju Strategije vrši se u skladu sa Zakonom o zaštiti </w:t>
      </w:r>
      <w:r w:rsidRPr="004B3619">
        <w:rPr>
          <w:rFonts w:ascii="Arial" w:hAnsi="Arial" w:cs="Arial"/>
          <w:sz w:val="22"/>
          <w:szCs w:val="22"/>
        </w:rPr>
        <w:t>prirode</w:t>
      </w:r>
      <w:r w:rsidR="00541AAF" w:rsidRPr="004B3619">
        <w:rPr>
          <w:rFonts w:ascii="Arial" w:hAnsi="Arial" w:cs="Arial"/>
          <w:sz w:val="22"/>
          <w:szCs w:val="22"/>
        </w:rPr>
        <w:t xml:space="preserve"> </w:t>
      </w:r>
      <w:r w:rsidR="00541AAF" w:rsidRPr="004B3619">
        <w:rPr>
          <w:rFonts w:ascii="Arial" w:hAnsi="Arial" w:cs="Arial"/>
          <w:bCs/>
          <w:sz w:val="22"/>
          <w:szCs w:val="22"/>
        </w:rPr>
        <w:t>(„Službeni list</w:t>
      </w:r>
      <w:r w:rsidR="00554372" w:rsidRPr="004B3619">
        <w:rPr>
          <w:rFonts w:ascii="Arial" w:hAnsi="Arial" w:cs="Arial"/>
          <w:bCs/>
          <w:sz w:val="22"/>
          <w:szCs w:val="22"/>
        </w:rPr>
        <w:t xml:space="preserve"> Crne Gore”, br. 054/16, 018/19)</w:t>
      </w:r>
      <w:r w:rsidRPr="004B3619">
        <w:rPr>
          <w:rFonts w:ascii="Arial" w:hAnsi="Arial" w:cs="Arial"/>
          <w:sz w:val="22"/>
          <w:szCs w:val="22"/>
        </w:rPr>
        <w:t xml:space="preserve"> i Metodologijom Vlade.</w:t>
      </w:r>
    </w:p>
    <w:p w:rsidR="00970154" w:rsidRPr="004B3619" w:rsidRDefault="00970154" w:rsidP="00554372">
      <w:pPr>
        <w:pStyle w:val="NormalWeb"/>
        <w:spacing w:before="0" w:beforeAutospacing="0" w:after="0" w:afterAutospacing="0"/>
        <w:jc w:val="both"/>
        <w:rPr>
          <w:rFonts w:ascii="Arial" w:hAnsi="Arial" w:cs="Arial"/>
          <w:sz w:val="22"/>
          <w:szCs w:val="22"/>
        </w:rPr>
      </w:pPr>
      <w:r w:rsidRPr="004B3619">
        <w:rPr>
          <w:rFonts w:ascii="Arial" w:hAnsi="Arial" w:cs="Arial"/>
          <w:sz w:val="22"/>
          <w:szCs w:val="22"/>
        </w:rPr>
        <w:t xml:space="preserve">Izvještaj o sprovođenju </w:t>
      </w:r>
      <w:r w:rsidR="00554372" w:rsidRPr="004B3619">
        <w:rPr>
          <w:rFonts w:ascii="Arial" w:hAnsi="Arial" w:cs="Arial"/>
          <w:sz w:val="22"/>
          <w:szCs w:val="22"/>
        </w:rPr>
        <w:t>NSBAP</w:t>
      </w:r>
      <w:r w:rsidRPr="004B3619">
        <w:rPr>
          <w:rFonts w:ascii="Arial" w:hAnsi="Arial" w:cs="Arial"/>
          <w:sz w:val="22"/>
          <w:szCs w:val="22"/>
        </w:rPr>
        <w:t xml:space="preserve"> izrađuje Agencija za zaštitu životne sredine, na osnovu podataka o realizovanim aktivnostima, postignutim rezultatima i vrijednostima indikatora. Izvještaj sadrži:</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pregled realizovanih aktivnosti,</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analizu ostvarenih rezultata i učinaka u odnosu na definisane indikatore,</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ocjenu napretka u ostvarivanju operativnih i strateških ciljeva,</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pregled uloženih finansijskih sredstava,</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identifikaciju izazova u sprovođenju,</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primjere dobre prakse,</w:t>
      </w:r>
    </w:p>
    <w:p w:rsidR="00970154" w:rsidRPr="004B3619" w:rsidRDefault="00970154" w:rsidP="008166A6">
      <w:pPr>
        <w:numPr>
          <w:ilvl w:val="0"/>
          <w:numId w:val="24"/>
        </w:numPr>
        <w:spacing w:after="0" w:line="240" w:lineRule="auto"/>
        <w:jc w:val="both"/>
        <w:rPr>
          <w:rFonts w:ascii="Arial" w:hAnsi="Arial" w:cs="Arial"/>
        </w:rPr>
      </w:pPr>
      <w:r w:rsidRPr="004B3619">
        <w:rPr>
          <w:rFonts w:ascii="Arial" w:hAnsi="Arial" w:cs="Arial"/>
        </w:rPr>
        <w:t>preporuke za unapređenje realizacije i eventualne izmjene Strategije ili Akcionog plana.</w:t>
      </w:r>
    </w:p>
    <w:p w:rsidR="00970154" w:rsidRPr="004B3619" w:rsidRDefault="00970154" w:rsidP="00970154">
      <w:pPr>
        <w:pStyle w:val="NormalWeb"/>
        <w:jc w:val="both"/>
        <w:rPr>
          <w:rFonts w:ascii="Arial" w:hAnsi="Arial" w:cs="Arial"/>
          <w:sz w:val="22"/>
          <w:szCs w:val="22"/>
        </w:rPr>
      </w:pPr>
      <w:r w:rsidRPr="004B3619">
        <w:rPr>
          <w:rFonts w:ascii="Arial" w:hAnsi="Arial" w:cs="Arial"/>
          <w:sz w:val="22"/>
          <w:szCs w:val="22"/>
        </w:rPr>
        <w:t>Poseban segment izvještaja odnosi se na analitičku procjenu doprinosa sprovedenih aktivnosti ostvarivanju ciljeva, uključujući identifikaciju faktora uspjeha i ograničenja.</w:t>
      </w:r>
    </w:p>
    <w:p w:rsidR="00970154" w:rsidRDefault="00970154" w:rsidP="00970154">
      <w:pPr>
        <w:pStyle w:val="NormalWeb"/>
        <w:jc w:val="both"/>
        <w:rPr>
          <w:rFonts w:ascii="Arial" w:hAnsi="Arial" w:cs="Arial"/>
          <w:sz w:val="22"/>
          <w:szCs w:val="22"/>
        </w:rPr>
      </w:pPr>
      <w:r w:rsidRPr="004B3619">
        <w:rPr>
          <w:rFonts w:ascii="Arial" w:hAnsi="Arial" w:cs="Arial"/>
          <w:sz w:val="22"/>
          <w:szCs w:val="22"/>
        </w:rPr>
        <w:t xml:space="preserve">Izvještaji o </w:t>
      </w:r>
      <w:r w:rsidR="004B3619">
        <w:rPr>
          <w:rFonts w:ascii="Arial" w:hAnsi="Arial" w:cs="Arial"/>
          <w:sz w:val="22"/>
          <w:szCs w:val="22"/>
        </w:rPr>
        <w:t>sprovođenju</w:t>
      </w:r>
      <w:r w:rsidRPr="004B3619">
        <w:rPr>
          <w:rFonts w:ascii="Arial" w:hAnsi="Arial" w:cs="Arial"/>
          <w:sz w:val="22"/>
          <w:szCs w:val="22"/>
        </w:rPr>
        <w:t xml:space="preserve"> izrađuju se svake druge godine</w:t>
      </w:r>
      <w:r w:rsidR="004B3619">
        <w:rPr>
          <w:rFonts w:ascii="Arial" w:hAnsi="Arial" w:cs="Arial"/>
          <w:sz w:val="22"/>
          <w:szCs w:val="22"/>
        </w:rPr>
        <w:t>, uz ažuriranje Akcionog plana za</w:t>
      </w:r>
      <w:r w:rsidR="00E60CD7">
        <w:rPr>
          <w:rFonts w:ascii="Arial" w:hAnsi="Arial" w:cs="Arial"/>
          <w:sz w:val="22"/>
          <w:szCs w:val="22"/>
        </w:rPr>
        <w:t xml:space="preserve"> naredni</w:t>
      </w:r>
      <w:r w:rsidR="004B3619">
        <w:rPr>
          <w:rFonts w:ascii="Arial" w:hAnsi="Arial" w:cs="Arial"/>
          <w:sz w:val="22"/>
          <w:szCs w:val="22"/>
        </w:rPr>
        <w:t xml:space="preserve"> </w:t>
      </w:r>
      <w:r w:rsidR="00E60CD7">
        <w:rPr>
          <w:rFonts w:ascii="Arial" w:hAnsi="Arial" w:cs="Arial"/>
          <w:sz w:val="22"/>
          <w:szCs w:val="22"/>
        </w:rPr>
        <w:t>trogodišnji period, shodno programskom budžetiranju</w:t>
      </w:r>
      <w:r w:rsidRPr="004B3619">
        <w:rPr>
          <w:rFonts w:ascii="Arial" w:hAnsi="Arial" w:cs="Arial"/>
          <w:sz w:val="22"/>
          <w:szCs w:val="22"/>
        </w:rPr>
        <w:t>. Nakon izrade, Agencija do</w:t>
      </w:r>
      <w:r w:rsidRPr="00970154">
        <w:rPr>
          <w:rFonts w:ascii="Arial" w:hAnsi="Arial" w:cs="Arial"/>
          <w:sz w:val="22"/>
          <w:szCs w:val="22"/>
        </w:rPr>
        <w:t>stavlja izvještaj Ministarstvu ekologije, održivog razvoja i razvoja sjevera, koje ga prosljeđuje Vladi Crne Gore na razmatranje i usvajanje.</w:t>
      </w:r>
    </w:p>
    <w:p w:rsidR="00E67C8B" w:rsidRPr="00E67C8B" w:rsidRDefault="00E67C8B" w:rsidP="00E67C8B">
      <w:pPr>
        <w:pStyle w:val="Heading3"/>
        <w:rPr>
          <w:rFonts w:ascii="Arial" w:hAnsi="Arial" w:cs="Arial"/>
          <w:sz w:val="26"/>
          <w:szCs w:val="26"/>
        </w:rPr>
      </w:pPr>
      <w:bookmarkStart w:id="42" w:name="_Toc222754391"/>
      <w:r>
        <w:rPr>
          <w:rFonts w:ascii="Arial" w:hAnsi="Arial" w:cs="Arial"/>
          <w:sz w:val="26"/>
          <w:szCs w:val="26"/>
        </w:rPr>
        <w:t xml:space="preserve">7.1.3 </w:t>
      </w:r>
      <w:r w:rsidRPr="00E67C8B">
        <w:rPr>
          <w:rFonts w:ascii="Arial" w:hAnsi="Arial" w:cs="Arial"/>
          <w:sz w:val="26"/>
          <w:szCs w:val="26"/>
        </w:rPr>
        <w:t>Operativno praćenje sprovođenja</w:t>
      </w:r>
      <w:bookmarkEnd w:id="42"/>
    </w:p>
    <w:p w:rsidR="00E67C8B" w:rsidRPr="00970154" w:rsidRDefault="00E67C8B" w:rsidP="00970154">
      <w:pPr>
        <w:pStyle w:val="NormalWeb"/>
        <w:jc w:val="both"/>
        <w:rPr>
          <w:rFonts w:ascii="Arial" w:hAnsi="Arial" w:cs="Arial"/>
          <w:sz w:val="22"/>
          <w:szCs w:val="22"/>
        </w:rPr>
      </w:pPr>
      <w:r w:rsidRPr="00970154">
        <w:rPr>
          <w:rFonts w:ascii="Arial" w:hAnsi="Arial" w:cs="Arial"/>
          <w:sz w:val="22"/>
          <w:szCs w:val="22"/>
        </w:rPr>
        <w:t>Radi obezbjeđivanja kontinuiteta sprovođenja i pravovremene identifikacije izazova, uspostavlja se mehanizam redovnih radnih sastanaka nosilaca aktivnosti i ključnih institucija uključenih u realizaciju Akcionog plana. Na ovim sastancima razmatra se napredak u sprovođenju mjera, identifikuju prepreke i predlažu korektivne mjere, čime se obezbjeđuje adaptivni pristup upravljanju.</w:t>
      </w:r>
    </w:p>
    <w:p w:rsidR="00970154" w:rsidRPr="00AE400D" w:rsidRDefault="00AE400D" w:rsidP="00AE400D">
      <w:pPr>
        <w:pStyle w:val="Heading3"/>
        <w:rPr>
          <w:rFonts w:ascii="Arial" w:hAnsi="Arial" w:cs="Arial"/>
          <w:sz w:val="26"/>
          <w:szCs w:val="26"/>
        </w:rPr>
      </w:pPr>
      <w:bookmarkStart w:id="43" w:name="_Toc222754392"/>
      <w:r>
        <w:rPr>
          <w:rFonts w:ascii="Arial" w:hAnsi="Arial" w:cs="Arial"/>
          <w:sz w:val="26"/>
          <w:szCs w:val="26"/>
        </w:rPr>
        <w:t>7.</w:t>
      </w:r>
      <w:r w:rsidR="00433F26">
        <w:rPr>
          <w:rFonts w:ascii="Arial" w:hAnsi="Arial" w:cs="Arial"/>
          <w:sz w:val="26"/>
          <w:szCs w:val="26"/>
        </w:rPr>
        <w:t>1</w:t>
      </w:r>
      <w:r>
        <w:rPr>
          <w:rFonts w:ascii="Arial" w:hAnsi="Arial" w:cs="Arial"/>
          <w:sz w:val="26"/>
          <w:szCs w:val="26"/>
        </w:rPr>
        <w:t>.</w:t>
      </w:r>
      <w:r w:rsidR="00E67C8B">
        <w:rPr>
          <w:rFonts w:ascii="Arial" w:hAnsi="Arial" w:cs="Arial"/>
          <w:sz w:val="26"/>
          <w:szCs w:val="26"/>
        </w:rPr>
        <w:t>4</w:t>
      </w:r>
      <w:r>
        <w:rPr>
          <w:rFonts w:ascii="Arial" w:hAnsi="Arial" w:cs="Arial"/>
          <w:sz w:val="26"/>
          <w:szCs w:val="26"/>
        </w:rPr>
        <w:t xml:space="preserve"> </w:t>
      </w:r>
      <w:r w:rsidR="00970154" w:rsidRPr="00AE400D">
        <w:rPr>
          <w:rFonts w:ascii="Arial" w:hAnsi="Arial" w:cs="Arial"/>
          <w:sz w:val="26"/>
          <w:szCs w:val="26"/>
        </w:rPr>
        <w:t>Završna evaluacija</w:t>
      </w:r>
      <w:r w:rsidR="00433F26">
        <w:rPr>
          <w:rFonts w:ascii="Arial" w:hAnsi="Arial" w:cs="Arial"/>
          <w:sz w:val="26"/>
          <w:szCs w:val="26"/>
        </w:rPr>
        <w:t xml:space="preserve"> NSBAP 2026-2031</w:t>
      </w:r>
      <w:bookmarkEnd w:id="43"/>
    </w:p>
    <w:p w:rsidR="00970154" w:rsidRPr="00970154" w:rsidRDefault="00970154" w:rsidP="003F42CC">
      <w:pPr>
        <w:pStyle w:val="NormalWeb"/>
        <w:spacing w:before="0" w:beforeAutospacing="0" w:after="0" w:afterAutospacing="0"/>
        <w:jc w:val="both"/>
        <w:rPr>
          <w:rFonts w:ascii="Arial" w:hAnsi="Arial" w:cs="Arial"/>
          <w:sz w:val="22"/>
          <w:szCs w:val="22"/>
        </w:rPr>
      </w:pPr>
      <w:r w:rsidRPr="00970154">
        <w:rPr>
          <w:rFonts w:ascii="Arial" w:hAnsi="Arial" w:cs="Arial"/>
          <w:sz w:val="22"/>
          <w:szCs w:val="22"/>
        </w:rPr>
        <w:t xml:space="preserve">Po isteku perioda važenja </w:t>
      </w:r>
      <w:r w:rsidR="003F42CC">
        <w:rPr>
          <w:rFonts w:ascii="Arial" w:hAnsi="Arial" w:cs="Arial"/>
          <w:sz w:val="22"/>
          <w:szCs w:val="22"/>
        </w:rPr>
        <w:t>NSBAP 2026-2031</w:t>
      </w:r>
      <w:r w:rsidRPr="00970154">
        <w:rPr>
          <w:rFonts w:ascii="Arial" w:hAnsi="Arial" w:cs="Arial"/>
          <w:sz w:val="22"/>
          <w:szCs w:val="22"/>
        </w:rPr>
        <w:t xml:space="preserve">, krajem 2031. godine, priprema se završni izvještaj koji sadrži sveobuhvatnu evaluaciju sprovođenja </w:t>
      </w:r>
      <w:r w:rsidR="003F42CC">
        <w:rPr>
          <w:rFonts w:ascii="Arial" w:hAnsi="Arial" w:cs="Arial"/>
          <w:sz w:val="22"/>
          <w:szCs w:val="22"/>
        </w:rPr>
        <w:t xml:space="preserve">ove </w:t>
      </w:r>
      <w:r w:rsidRPr="00970154">
        <w:rPr>
          <w:rFonts w:ascii="Arial" w:hAnsi="Arial" w:cs="Arial"/>
          <w:sz w:val="22"/>
          <w:szCs w:val="22"/>
        </w:rPr>
        <w:t>Strategije.</w:t>
      </w:r>
      <w:r w:rsidR="003F42CC">
        <w:rPr>
          <w:rFonts w:ascii="Arial" w:hAnsi="Arial" w:cs="Arial"/>
          <w:sz w:val="22"/>
          <w:szCs w:val="22"/>
        </w:rPr>
        <w:t xml:space="preserve"> </w:t>
      </w:r>
      <w:r w:rsidRPr="00970154">
        <w:rPr>
          <w:rFonts w:ascii="Arial" w:hAnsi="Arial" w:cs="Arial"/>
          <w:sz w:val="22"/>
          <w:szCs w:val="22"/>
        </w:rPr>
        <w:t>Završna evaluacija obuhvata:</w:t>
      </w:r>
    </w:p>
    <w:p w:rsidR="00970154" w:rsidRPr="00970154" w:rsidRDefault="00970154" w:rsidP="008166A6">
      <w:pPr>
        <w:numPr>
          <w:ilvl w:val="0"/>
          <w:numId w:val="25"/>
        </w:numPr>
        <w:spacing w:after="0" w:line="240" w:lineRule="auto"/>
        <w:jc w:val="both"/>
        <w:rPr>
          <w:rFonts w:ascii="Arial" w:hAnsi="Arial" w:cs="Arial"/>
        </w:rPr>
      </w:pPr>
      <w:r w:rsidRPr="00970154">
        <w:rPr>
          <w:rFonts w:ascii="Arial" w:hAnsi="Arial" w:cs="Arial"/>
        </w:rPr>
        <w:t>procjenu stepena ostvarenosti operativnih i strateških ciljeva,</w:t>
      </w:r>
    </w:p>
    <w:p w:rsidR="00970154" w:rsidRPr="00970154" w:rsidRDefault="00970154" w:rsidP="008166A6">
      <w:pPr>
        <w:numPr>
          <w:ilvl w:val="0"/>
          <w:numId w:val="25"/>
        </w:numPr>
        <w:spacing w:after="0" w:line="240" w:lineRule="auto"/>
        <w:jc w:val="both"/>
        <w:rPr>
          <w:rFonts w:ascii="Arial" w:hAnsi="Arial" w:cs="Arial"/>
        </w:rPr>
      </w:pPr>
      <w:r w:rsidRPr="00970154">
        <w:rPr>
          <w:rFonts w:ascii="Arial" w:hAnsi="Arial" w:cs="Arial"/>
        </w:rPr>
        <w:t>analizu efektivnosti, efikasnosti i održivosti sprovedenih mjera,</w:t>
      </w:r>
    </w:p>
    <w:p w:rsidR="00970154" w:rsidRPr="00970154" w:rsidRDefault="00970154" w:rsidP="008166A6">
      <w:pPr>
        <w:numPr>
          <w:ilvl w:val="0"/>
          <w:numId w:val="25"/>
        </w:numPr>
        <w:spacing w:after="0" w:line="240" w:lineRule="auto"/>
        <w:jc w:val="both"/>
        <w:rPr>
          <w:rFonts w:ascii="Arial" w:hAnsi="Arial" w:cs="Arial"/>
        </w:rPr>
      </w:pPr>
      <w:r w:rsidRPr="00970154">
        <w:rPr>
          <w:rFonts w:ascii="Arial" w:hAnsi="Arial" w:cs="Arial"/>
        </w:rPr>
        <w:t>procjenu uticaja Strategije na stanje biodiverziteta,</w:t>
      </w:r>
    </w:p>
    <w:p w:rsidR="00970154" w:rsidRPr="00970154" w:rsidRDefault="00970154" w:rsidP="008166A6">
      <w:pPr>
        <w:numPr>
          <w:ilvl w:val="0"/>
          <w:numId w:val="25"/>
        </w:numPr>
        <w:spacing w:after="0" w:line="240" w:lineRule="auto"/>
        <w:jc w:val="both"/>
        <w:rPr>
          <w:rFonts w:ascii="Arial" w:hAnsi="Arial" w:cs="Arial"/>
        </w:rPr>
      </w:pPr>
      <w:r w:rsidRPr="00970154">
        <w:rPr>
          <w:rFonts w:ascii="Arial" w:hAnsi="Arial" w:cs="Arial"/>
        </w:rPr>
        <w:t>identifikaciju naučenih lekcija,</w:t>
      </w:r>
    </w:p>
    <w:p w:rsidR="00970154" w:rsidRPr="00970154" w:rsidRDefault="00970154" w:rsidP="008166A6">
      <w:pPr>
        <w:numPr>
          <w:ilvl w:val="0"/>
          <w:numId w:val="25"/>
        </w:numPr>
        <w:spacing w:after="0" w:line="240" w:lineRule="auto"/>
        <w:jc w:val="both"/>
        <w:rPr>
          <w:rFonts w:ascii="Arial" w:hAnsi="Arial" w:cs="Arial"/>
        </w:rPr>
      </w:pPr>
      <w:r w:rsidRPr="00970154">
        <w:rPr>
          <w:rFonts w:ascii="Arial" w:hAnsi="Arial" w:cs="Arial"/>
        </w:rPr>
        <w:t>preporuke za naredni ciklus planiranja javnih politika u oblasti biodiverziteta.</w:t>
      </w:r>
    </w:p>
    <w:p w:rsidR="008C434E" w:rsidRPr="002C327F" w:rsidRDefault="00970154" w:rsidP="002C327F">
      <w:pPr>
        <w:pStyle w:val="NormalWeb"/>
        <w:jc w:val="both"/>
        <w:rPr>
          <w:rFonts w:ascii="Arial" w:hAnsi="Arial" w:cs="Arial"/>
          <w:sz w:val="22"/>
          <w:szCs w:val="22"/>
        </w:rPr>
      </w:pPr>
      <w:r w:rsidRPr="00970154">
        <w:rPr>
          <w:rFonts w:ascii="Arial" w:hAnsi="Arial" w:cs="Arial"/>
          <w:sz w:val="22"/>
          <w:szCs w:val="22"/>
        </w:rPr>
        <w:t>Preporuke se upućuju nadležnim institucijama i donosiocima odluka radi unapređenja budućih politika, instru</w:t>
      </w:r>
      <w:r w:rsidR="00567800">
        <w:rPr>
          <w:rFonts w:ascii="Arial" w:hAnsi="Arial" w:cs="Arial"/>
          <w:sz w:val="22"/>
          <w:szCs w:val="22"/>
        </w:rPr>
        <w:t xml:space="preserve">menata i mehanizama upravljanja, odnosno ova evaluacija poslužiće kao osnov za izradu naredne strategije </w:t>
      </w:r>
      <w:r w:rsidR="0016294A">
        <w:rPr>
          <w:rFonts w:ascii="Arial" w:hAnsi="Arial" w:cs="Arial"/>
          <w:sz w:val="22"/>
          <w:szCs w:val="22"/>
        </w:rPr>
        <w:t>biodiverziteta i akcionog plana.</w:t>
      </w:r>
    </w:p>
    <w:p w:rsidR="008C434E" w:rsidRPr="008C434E" w:rsidRDefault="008C434E" w:rsidP="008C434E"/>
    <w:p w:rsidR="00970154" w:rsidRPr="00433F26" w:rsidRDefault="00433F26" w:rsidP="00567800">
      <w:pPr>
        <w:pStyle w:val="Heading2"/>
        <w:jc w:val="both"/>
        <w:rPr>
          <w:rFonts w:ascii="Arial" w:hAnsi="Arial" w:cs="Arial"/>
          <w:sz w:val="32"/>
          <w:szCs w:val="32"/>
        </w:rPr>
      </w:pPr>
      <w:bookmarkStart w:id="44" w:name="_Toc222754393"/>
      <w:r w:rsidRPr="00433F26">
        <w:rPr>
          <w:rFonts w:ascii="Arial" w:hAnsi="Arial" w:cs="Arial"/>
          <w:sz w:val="32"/>
          <w:szCs w:val="32"/>
        </w:rPr>
        <w:t xml:space="preserve">7.2 </w:t>
      </w:r>
      <w:r w:rsidR="00970154" w:rsidRPr="00433F26">
        <w:rPr>
          <w:rFonts w:ascii="Arial" w:hAnsi="Arial" w:cs="Arial"/>
          <w:sz w:val="32"/>
          <w:szCs w:val="32"/>
        </w:rPr>
        <w:t xml:space="preserve">Međunarodno </w:t>
      </w:r>
      <w:r w:rsidRPr="00433F26">
        <w:rPr>
          <w:rFonts w:ascii="Arial" w:hAnsi="Arial" w:cs="Arial"/>
          <w:sz w:val="32"/>
          <w:szCs w:val="32"/>
        </w:rPr>
        <w:t xml:space="preserve">praćenje i </w:t>
      </w:r>
      <w:r w:rsidR="00970154" w:rsidRPr="00433F26">
        <w:rPr>
          <w:rFonts w:ascii="Arial" w:hAnsi="Arial" w:cs="Arial"/>
          <w:sz w:val="32"/>
          <w:szCs w:val="32"/>
        </w:rPr>
        <w:t>izvještavanje</w:t>
      </w:r>
      <w:r w:rsidRPr="00433F26">
        <w:rPr>
          <w:rFonts w:ascii="Arial" w:hAnsi="Arial" w:cs="Arial"/>
          <w:sz w:val="32"/>
          <w:szCs w:val="32"/>
        </w:rPr>
        <w:t xml:space="preserve"> NSBAP 2026-2031</w:t>
      </w:r>
      <w:bookmarkEnd w:id="44"/>
    </w:p>
    <w:p w:rsidR="0015251B" w:rsidRDefault="0015251B" w:rsidP="0015251B">
      <w:pPr>
        <w:pBdr>
          <w:top w:val="nil"/>
          <w:left w:val="nil"/>
          <w:bottom w:val="nil"/>
          <w:right w:val="nil"/>
          <w:between w:val="nil"/>
        </w:pBdr>
        <w:spacing w:after="0"/>
        <w:rPr>
          <w:rFonts w:ascii="Arial" w:eastAsia="Times New Roman" w:hAnsi="Arial" w:cs="Arial"/>
        </w:rPr>
      </w:pPr>
    </w:p>
    <w:p w:rsidR="0015251B" w:rsidRPr="0015251B" w:rsidRDefault="0015251B" w:rsidP="0015251B">
      <w:pPr>
        <w:pBdr>
          <w:top w:val="nil"/>
          <w:left w:val="nil"/>
          <w:bottom w:val="nil"/>
          <w:right w:val="nil"/>
          <w:between w:val="nil"/>
        </w:pBdr>
        <w:spacing w:after="0"/>
        <w:jc w:val="both"/>
        <w:rPr>
          <w:rFonts w:ascii="Arial" w:eastAsia="Times New Roman" w:hAnsi="Arial" w:cs="Arial"/>
        </w:rPr>
      </w:pPr>
      <w:r w:rsidRPr="0015251B">
        <w:rPr>
          <w:rFonts w:ascii="Arial" w:eastAsia="Times New Roman" w:hAnsi="Arial" w:cs="Arial"/>
        </w:rPr>
        <w:t xml:space="preserve">Pored nacionalnog sistema praćenja i izvještavanja, Crna Gora kao potpisnica </w:t>
      </w:r>
      <w:r>
        <w:rPr>
          <w:rFonts w:ascii="Arial" w:eastAsia="Times New Roman" w:hAnsi="Arial" w:cs="Arial"/>
        </w:rPr>
        <w:t xml:space="preserve">Konvencije o biološkoj raznovrsnosti (eng. </w:t>
      </w:r>
      <w:r w:rsidRPr="0015251B">
        <w:rPr>
          <w:rFonts w:ascii="Arial" w:eastAsia="Times New Roman" w:hAnsi="Arial" w:cs="Arial"/>
          <w:i/>
        </w:rPr>
        <w:t>Convention on Biological Diversity</w:t>
      </w:r>
      <w:r w:rsidRPr="0015251B">
        <w:rPr>
          <w:rFonts w:ascii="Arial" w:eastAsia="Times New Roman" w:hAnsi="Arial" w:cs="Arial"/>
        </w:rPr>
        <w:t xml:space="preserve"> (CBD)</w:t>
      </w:r>
      <w:r>
        <w:rPr>
          <w:rFonts w:ascii="Arial" w:eastAsia="Times New Roman" w:hAnsi="Arial" w:cs="Arial"/>
        </w:rPr>
        <w:t>)</w:t>
      </w:r>
      <w:r w:rsidRPr="0015251B">
        <w:rPr>
          <w:rFonts w:ascii="Arial" w:eastAsia="Times New Roman" w:hAnsi="Arial" w:cs="Arial"/>
        </w:rPr>
        <w:t xml:space="preserve"> redovno priprema nacionalne izvještaje o napretku u sprovođenju globalnih ciljeva u oblasti biodiverziteta, uključujući obaveze u okviru </w:t>
      </w:r>
      <w:r w:rsidR="005F53C0">
        <w:rPr>
          <w:rFonts w:ascii="Arial" w:eastAsia="Times New Roman" w:hAnsi="Arial" w:cs="Arial"/>
        </w:rPr>
        <w:t xml:space="preserve">(eng. </w:t>
      </w:r>
      <w:r w:rsidRPr="005F53C0">
        <w:rPr>
          <w:rFonts w:ascii="Arial" w:eastAsia="Times New Roman" w:hAnsi="Arial" w:cs="Arial"/>
          <w:i/>
        </w:rPr>
        <w:t>Kunming–Montreal Global Biodiversity Framework</w:t>
      </w:r>
      <w:r w:rsidRPr="0015251B">
        <w:rPr>
          <w:rFonts w:ascii="Arial" w:eastAsia="Times New Roman" w:hAnsi="Arial" w:cs="Arial"/>
        </w:rPr>
        <w:t xml:space="preserve"> (KM-GBF)</w:t>
      </w:r>
      <w:r w:rsidR="005F53C0">
        <w:rPr>
          <w:rFonts w:ascii="Arial" w:eastAsia="Times New Roman" w:hAnsi="Arial" w:cs="Arial"/>
        </w:rPr>
        <w:t>)</w:t>
      </w:r>
      <w:r w:rsidRPr="0015251B">
        <w:rPr>
          <w:rFonts w:ascii="Arial" w:eastAsia="Times New Roman" w:hAnsi="Arial" w:cs="Arial"/>
        </w:rPr>
        <w:t>. U skladu sa članom 26 Konvencije, države su dužne da podnose izvještaje o mjerama koje su preduzele i napretku u sprovođenju ciljeva Konvencije, najčešće u četvorogodišnjim ciklusima, prema odlukama Konferencije strana (COP). Crna Gora je Šesti nac</w:t>
      </w:r>
      <w:r w:rsidR="005F53C0">
        <w:rPr>
          <w:rFonts w:ascii="Arial" w:eastAsia="Times New Roman" w:hAnsi="Arial" w:cs="Arial"/>
        </w:rPr>
        <w:t>ionalni izvještaj podnijela decembra 2018</w:t>
      </w:r>
      <w:r w:rsidRPr="0015251B">
        <w:rPr>
          <w:rFonts w:ascii="Arial" w:eastAsia="Times New Roman" w:hAnsi="Arial" w:cs="Arial"/>
        </w:rPr>
        <w:t xml:space="preserve">. godine pod nazivom </w:t>
      </w:r>
      <w:r w:rsidRPr="00D65EE2">
        <w:rPr>
          <w:rFonts w:ascii="Arial" w:eastAsia="Times New Roman" w:hAnsi="Arial" w:cs="Arial"/>
          <w:i/>
        </w:rPr>
        <w:t>“6th National Report of Montenegro to the Convention on Biological Diversity”</w:t>
      </w:r>
      <w:r w:rsidRPr="0015251B">
        <w:rPr>
          <w:rFonts w:ascii="Arial" w:eastAsia="Times New Roman" w:hAnsi="Arial" w:cs="Arial"/>
        </w:rPr>
        <w:t xml:space="preserve"> (dostupan na: </w:t>
      </w:r>
      <w:r w:rsidRPr="00D65EE2">
        <w:rPr>
          <w:rFonts w:ascii="Arial" w:eastAsia="Times New Roman" w:hAnsi="Arial" w:cs="Arial"/>
          <w:i/>
        </w:rPr>
        <w:t>https://www.cbd.int/doc/nr/nr-06/me-nr-06-en.pdf</w:t>
      </w:r>
      <w:r w:rsidRPr="0015251B">
        <w:rPr>
          <w:rFonts w:ascii="Arial" w:eastAsia="Times New Roman" w:hAnsi="Arial" w:cs="Arial"/>
        </w:rPr>
        <w:t>).</w:t>
      </w:r>
    </w:p>
    <w:p w:rsidR="0015251B" w:rsidRPr="0015251B" w:rsidRDefault="0015251B" w:rsidP="0015251B">
      <w:pPr>
        <w:pBdr>
          <w:top w:val="nil"/>
          <w:left w:val="nil"/>
          <w:bottom w:val="nil"/>
          <w:right w:val="nil"/>
          <w:between w:val="nil"/>
        </w:pBdr>
        <w:spacing w:after="0"/>
        <w:jc w:val="both"/>
        <w:rPr>
          <w:rFonts w:ascii="Arial" w:eastAsia="Times New Roman" w:hAnsi="Arial" w:cs="Arial"/>
        </w:rPr>
      </w:pPr>
    </w:p>
    <w:p w:rsidR="00721DEF" w:rsidRPr="0015251B" w:rsidRDefault="0015251B" w:rsidP="0015251B">
      <w:pPr>
        <w:pBdr>
          <w:top w:val="nil"/>
          <w:left w:val="nil"/>
          <w:bottom w:val="nil"/>
          <w:right w:val="nil"/>
          <w:between w:val="nil"/>
        </w:pBdr>
        <w:spacing w:after="0"/>
        <w:jc w:val="both"/>
        <w:rPr>
          <w:rFonts w:ascii="Arial" w:eastAsia="Times New Roman" w:hAnsi="Arial" w:cs="Arial"/>
        </w:rPr>
      </w:pPr>
      <w:r w:rsidRPr="0015251B">
        <w:rPr>
          <w:rFonts w:ascii="Arial" w:eastAsia="Times New Roman" w:hAnsi="Arial" w:cs="Arial"/>
        </w:rPr>
        <w:t>U skladu sa novim okvirom KM-GBF, naredne obaveze uključuju ažuriranje i usklađivanje Nacionalne strategije i akcionog plana za biodiverzitet (</w:t>
      </w:r>
      <w:r w:rsidR="0073617E">
        <w:rPr>
          <w:rFonts w:ascii="Arial" w:eastAsia="Times New Roman" w:hAnsi="Arial" w:cs="Arial"/>
        </w:rPr>
        <w:t>NSBAP</w:t>
      </w:r>
      <w:r w:rsidRPr="0015251B">
        <w:rPr>
          <w:rFonts w:ascii="Arial" w:eastAsia="Times New Roman" w:hAnsi="Arial" w:cs="Arial"/>
        </w:rPr>
        <w:t>) sa globalnim ciljevima, dostavljanje nacionalnih izvještaja o napretku u sprovođenju Okvira, kao i izvještavanje o globalnim „headline“ indikatorima putem zvanične online platforme Sekretarijata Konvencij</w:t>
      </w:r>
      <w:r>
        <w:rPr>
          <w:rFonts w:ascii="Arial" w:eastAsia="Times New Roman" w:hAnsi="Arial" w:cs="Arial"/>
        </w:rPr>
        <w:t>e (</w:t>
      </w:r>
      <w:r w:rsidRPr="00D65EE2">
        <w:rPr>
          <w:rFonts w:ascii="Arial" w:eastAsia="Times New Roman" w:hAnsi="Arial" w:cs="Arial"/>
          <w:i/>
        </w:rPr>
        <w:t>https://www.cbd.int/reports/</w:t>
      </w:r>
      <w:r w:rsidRPr="0015251B">
        <w:rPr>
          <w:rFonts w:ascii="Arial" w:eastAsia="Times New Roman" w:hAnsi="Arial" w:cs="Arial"/>
        </w:rPr>
        <w:t>). Koordinaciju međunarodnog izvještavanja vrše Ministarstvo ekologije, održivog razvoja i razvoja sjevera i Agencija za zaštitu životne sredine, uz mogućnost angažovanja eksternih stručnjaka i uključivanja drugih relevantnih aktera.</w:t>
      </w:r>
    </w:p>
    <w:p w:rsidR="00721DEF" w:rsidRDefault="00721DEF">
      <w:pPr>
        <w:pBdr>
          <w:top w:val="nil"/>
          <w:left w:val="nil"/>
          <w:bottom w:val="nil"/>
          <w:right w:val="nil"/>
          <w:between w:val="nil"/>
        </w:pBdr>
        <w:spacing w:after="0"/>
        <w:rPr>
          <w:rFonts w:ascii="Arial" w:eastAsia="Arial" w:hAnsi="Arial" w:cs="Arial"/>
          <w:color w:val="000000"/>
        </w:rPr>
      </w:pPr>
    </w:p>
    <w:p w:rsidR="00D14804" w:rsidRDefault="00D14804">
      <w:pPr>
        <w:pBdr>
          <w:top w:val="nil"/>
          <w:left w:val="nil"/>
          <w:bottom w:val="nil"/>
          <w:right w:val="nil"/>
          <w:between w:val="nil"/>
        </w:pBdr>
        <w:spacing w:after="0"/>
        <w:rPr>
          <w:rFonts w:ascii="Arial" w:eastAsia="Arial" w:hAnsi="Arial" w:cs="Arial"/>
          <w:b/>
          <w:bCs/>
          <w:color w:val="000000"/>
        </w:rPr>
      </w:pPr>
    </w:p>
    <w:p w:rsidR="00E60CD7" w:rsidRDefault="00E60CD7">
      <w:pPr>
        <w:pBdr>
          <w:top w:val="nil"/>
          <w:left w:val="nil"/>
          <w:bottom w:val="nil"/>
          <w:right w:val="nil"/>
          <w:between w:val="nil"/>
        </w:pBdr>
        <w:spacing w:after="0"/>
        <w:rPr>
          <w:rFonts w:ascii="Arial" w:eastAsia="Arial" w:hAnsi="Arial" w:cs="Arial"/>
          <w:b/>
          <w:bCs/>
          <w:color w:val="000000"/>
        </w:rPr>
      </w:pPr>
    </w:p>
    <w:p w:rsidR="00D14804" w:rsidRPr="00F665A1" w:rsidRDefault="00F665A1" w:rsidP="00F665A1">
      <w:pPr>
        <w:pStyle w:val="Heading1"/>
        <w:jc w:val="both"/>
        <w:rPr>
          <w:rFonts w:ascii="Arial" w:eastAsia="Arial" w:hAnsi="Arial" w:cs="Arial"/>
          <w:sz w:val="40"/>
          <w:szCs w:val="40"/>
        </w:rPr>
      </w:pPr>
      <w:bookmarkStart w:id="45" w:name="_Toc222754394"/>
      <w:r w:rsidRPr="00F665A1">
        <w:rPr>
          <w:rFonts w:ascii="Arial" w:eastAsia="Arial" w:hAnsi="Arial" w:cs="Arial"/>
          <w:sz w:val="40"/>
          <w:szCs w:val="40"/>
        </w:rPr>
        <w:t>V</w:t>
      </w:r>
      <w:r w:rsidR="00721DEF">
        <w:rPr>
          <w:rFonts w:ascii="Arial" w:eastAsia="Arial" w:hAnsi="Arial" w:cs="Arial"/>
          <w:sz w:val="40"/>
          <w:szCs w:val="40"/>
        </w:rPr>
        <w:t>III</w:t>
      </w:r>
      <w:r w:rsidRPr="00F665A1">
        <w:rPr>
          <w:rFonts w:ascii="Arial" w:eastAsia="Arial" w:hAnsi="Arial" w:cs="Arial"/>
          <w:sz w:val="40"/>
          <w:szCs w:val="40"/>
        </w:rPr>
        <w:t xml:space="preserve"> </w:t>
      </w:r>
      <w:r w:rsidR="00E47E1B" w:rsidRPr="00F665A1">
        <w:rPr>
          <w:rFonts w:ascii="Arial" w:eastAsia="Arial" w:hAnsi="Arial" w:cs="Arial"/>
          <w:sz w:val="40"/>
          <w:szCs w:val="40"/>
        </w:rPr>
        <w:t>Komunikacija i partic</w:t>
      </w:r>
      <w:r w:rsidR="00D5462A">
        <w:rPr>
          <w:rFonts w:ascii="Arial" w:eastAsia="Arial" w:hAnsi="Arial" w:cs="Arial"/>
          <w:sz w:val="40"/>
          <w:szCs w:val="40"/>
        </w:rPr>
        <w:t>ipacija u procesu sprovođenja N</w:t>
      </w:r>
      <w:r w:rsidR="00E47E1B" w:rsidRPr="00F665A1">
        <w:rPr>
          <w:rFonts w:ascii="Arial" w:eastAsia="Arial" w:hAnsi="Arial" w:cs="Arial"/>
          <w:sz w:val="40"/>
          <w:szCs w:val="40"/>
        </w:rPr>
        <w:t>S</w:t>
      </w:r>
      <w:r w:rsidR="00D5462A">
        <w:rPr>
          <w:rFonts w:ascii="Arial" w:eastAsia="Arial" w:hAnsi="Arial" w:cs="Arial"/>
          <w:sz w:val="40"/>
          <w:szCs w:val="40"/>
        </w:rPr>
        <w:t>B</w:t>
      </w:r>
      <w:r w:rsidR="00E47E1B" w:rsidRPr="00F665A1">
        <w:rPr>
          <w:rFonts w:ascii="Arial" w:eastAsia="Arial" w:hAnsi="Arial" w:cs="Arial"/>
          <w:sz w:val="40"/>
          <w:szCs w:val="40"/>
        </w:rPr>
        <w:t>AP</w:t>
      </w:r>
      <w:r w:rsidR="00D5462A">
        <w:rPr>
          <w:rFonts w:ascii="Arial" w:eastAsia="Arial" w:hAnsi="Arial" w:cs="Arial"/>
          <w:sz w:val="40"/>
          <w:szCs w:val="40"/>
        </w:rPr>
        <w:t xml:space="preserve"> 2026-2031</w:t>
      </w:r>
      <w:bookmarkEnd w:id="45"/>
    </w:p>
    <w:p w:rsidR="00D14804" w:rsidRDefault="00D14804">
      <w:pPr>
        <w:pBdr>
          <w:top w:val="nil"/>
          <w:left w:val="nil"/>
          <w:bottom w:val="nil"/>
          <w:right w:val="nil"/>
          <w:between w:val="nil"/>
        </w:pBdr>
        <w:spacing w:after="0"/>
        <w:rPr>
          <w:rFonts w:ascii="Arial" w:eastAsia="Arial" w:hAnsi="Arial" w:cs="Arial"/>
          <w:color w:val="000000"/>
        </w:rPr>
      </w:pPr>
    </w:p>
    <w:p w:rsidR="00D14804" w:rsidRDefault="00E47E1B">
      <w:pPr>
        <w:spacing w:before="240" w:after="240"/>
        <w:jc w:val="both"/>
        <w:rPr>
          <w:rFonts w:ascii="Arial" w:eastAsia="Arial" w:hAnsi="Arial" w:cs="Arial"/>
        </w:rPr>
      </w:pPr>
      <w:r>
        <w:rPr>
          <w:rFonts w:ascii="Arial" w:eastAsia="Arial" w:hAnsi="Arial" w:cs="Arial"/>
        </w:rPr>
        <w:t>Komuniciranje reformskih aktivnosti u oblasti biodiverziteta sastavni je dio sprovođenja Nacionalne strategije biodiverziteta</w:t>
      </w:r>
      <w:r w:rsidR="00D5462A">
        <w:rPr>
          <w:rFonts w:ascii="Arial" w:eastAsia="Arial" w:hAnsi="Arial" w:cs="Arial"/>
        </w:rPr>
        <w:t xml:space="preserve"> s akcionim planom 2026–2031 (N</w:t>
      </w:r>
      <w:r>
        <w:rPr>
          <w:rFonts w:ascii="Arial" w:eastAsia="Arial" w:hAnsi="Arial" w:cs="Arial"/>
        </w:rPr>
        <w:t>S</w:t>
      </w:r>
      <w:r w:rsidR="00D5462A">
        <w:rPr>
          <w:rFonts w:ascii="Arial" w:eastAsia="Arial" w:hAnsi="Arial" w:cs="Arial"/>
        </w:rPr>
        <w:t>B</w:t>
      </w:r>
      <w:r>
        <w:rPr>
          <w:rFonts w:ascii="Arial" w:eastAsia="Arial" w:hAnsi="Arial" w:cs="Arial"/>
        </w:rPr>
        <w:t xml:space="preserve">AP) i jedan je od ključnih preduslova za njenu uspješnu implementaciju. Strategija polazi od toga da je javni interes i interes građana/ki u centru svih aktivnosti, pa se komunikacija mora planirati i sprovoditi na transparentan I inkluzivan način,  na jeziku koji je jasan, razumljiv i rodno senzitivan. </w:t>
      </w:r>
    </w:p>
    <w:p w:rsidR="00D14804" w:rsidRDefault="00E47E1B">
      <w:pPr>
        <w:spacing w:before="240" w:after="240"/>
        <w:jc w:val="both"/>
        <w:rPr>
          <w:rFonts w:ascii="Arial" w:eastAsia="Arial" w:hAnsi="Arial" w:cs="Arial"/>
        </w:rPr>
      </w:pPr>
      <w:r>
        <w:rPr>
          <w:rFonts w:ascii="Arial" w:eastAsia="Arial" w:hAnsi="Arial" w:cs="Arial"/>
        </w:rPr>
        <w:t>Analiza zainteresovanih strana korišćena je kao osnova za definisanje ciljnih grupa za komunikaciju, a za svaku ciljnu grupu su definisane su ključne poruke, odgovarajući instrumenti i kanali komunikacije.  Poseban fokus stavljen je na uključivanje žena, mladih, stanovništva ruralnih područja i drugih ranjivih grupa, kroz rodno odgovorne i inkluzivne konsultacije, učešće u savjetodavnim tijelima i programe građanskog monitoringa. Komunikacione aktivnosti zasnivaju se na kombinaciji različitih instrumenata (kampanje, edukativne radionice, publikacije, web sadržaji, građanski monitoring) i ciljane razmjene sa ključnim akterima, kako bi se objasnile koristi od reformi i podstakla saradnja oko sprovođenja mjera. One su usklađene sa krovnom Komunikacionom strategijom Vlade i Strategijom informisanja javnosti o pristupanju EU, uz posebnu pažnju na to da poruke budu fokusirane na konkretne rezultate i efekte na kvalitet života ljudi, zdravlje, sigurnost, nove razvojne prilike i očuvanje biodiverziteta. U tabeli ispod dataje kompletna struktura komunikacionog plana.</w:t>
      </w:r>
    </w:p>
    <w:p w:rsidR="008C434E" w:rsidRDefault="008C434E">
      <w:pPr>
        <w:spacing w:before="240" w:after="240"/>
        <w:jc w:val="both"/>
        <w:rPr>
          <w:rFonts w:ascii="Arial" w:eastAsia="Arial" w:hAnsi="Arial" w:cs="Arial"/>
        </w:rPr>
      </w:pPr>
    </w:p>
    <w:p w:rsidR="00D14804" w:rsidRPr="0016294A" w:rsidRDefault="0016294A">
      <w:pPr>
        <w:spacing w:before="240" w:after="240"/>
        <w:rPr>
          <w:rFonts w:ascii="Arial" w:eastAsia="Arial" w:hAnsi="Arial" w:cs="Arial"/>
          <w:b/>
          <w:sz w:val="20"/>
          <w:szCs w:val="20"/>
        </w:rPr>
      </w:pPr>
      <w:r w:rsidRPr="002C3E9E">
        <w:rPr>
          <w:rFonts w:ascii="Arial" w:eastAsia="Arial" w:hAnsi="Arial" w:cs="Arial"/>
          <w:b/>
          <w:sz w:val="20"/>
          <w:szCs w:val="20"/>
        </w:rPr>
        <w:t xml:space="preserve">Tabela </w:t>
      </w:r>
      <w:r w:rsidR="008C434E" w:rsidRPr="002C3E9E">
        <w:rPr>
          <w:rFonts w:ascii="Arial" w:eastAsia="Arial" w:hAnsi="Arial" w:cs="Arial"/>
          <w:b/>
          <w:sz w:val="20"/>
          <w:szCs w:val="20"/>
        </w:rPr>
        <w:t>0</w:t>
      </w:r>
      <w:r w:rsidR="00800757" w:rsidRPr="002C3E9E">
        <w:rPr>
          <w:rFonts w:ascii="Arial" w:eastAsia="Arial" w:hAnsi="Arial" w:cs="Arial"/>
          <w:b/>
          <w:sz w:val="20"/>
          <w:szCs w:val="20"/>
        </w:rPr>
        <w:t>6</w:t>
      </w:r>
      <w:r w:rsidR="00E47E1B" w:rsidRPr="002C3E9E">
        <w:rPr>
          <w:rFonts w:ascii="Arial" w:eastAsia="Arial" w:hAnsi="Arial" w:cs="Arial"/>
          <w:b/>
          <w:sz w:val="20"/>
          <w:szCs w:val="20"/>
        </w:rPr>
        <w:t xml:space="preserve">: </w:t>
      </w:r>
      <w:r w:rsidR="00E47E1B" w:rsidRPr="002C3E9E">
        <w:rPr>
          <w:rFonts w:ascii="Arial" w:eastAsia="Arial" w:hAnsi="Arial" w:cs="Arial"/>
          <w:sz w:val="20"/>
          <w:szCs w:val="20"/>
        </w:rPr>
        <w:t>Ciljne grup</w:t>
      </w:r>
      <w:r w:rsidRPr="002C3E9E">
        <w:rPr>
          <w:rFonts w:ascii="Arial" w:eastAsia="Arial" w:hAnsi="Arial" w:cs="Arial"/>
          <w:sz w:val="20"/>
          <w:szCs w:val="20"/>
        </w:rPr>
        <w:t>e</w:t>
      </w:r>
      <w:r>
        <w:rPr>
          <w:rFonts w:ascii="Arial" w:eastAsia="Arial" w:hAnsi="Arial" w:cs="Arial"/>
          <w:sz w:val="20"/>
          <w:szCs w:val="20"/>
        </w:rPr>
        <w:t>, ključne poruke, instrumenti i</w:t>
      </w:r>
      <w:r w:rsidR="00E47E1B" w:rsidRPr="0016294A">
        <w:rPr>
          <w:rFonts w:ascii="Arial" w:eastAsia="Arial" w:hAnsi="Arial" w:cs="Arial"/>
          <w:sz w:val="20"/>
          <w:szCs w:val="20"/>
        </w:rPr>
        <w:t xml:space="preserve"> kanali komunikacije</w:t>
      </w:r>
    </w:p>
    <w:tbl>
      <w:tblPr>
        <w:tblStyle w:val="a3"/>
        <w:tblW w:w="9070" w:type="dxa"/>
        <w:tblBorders>
          <w:top w:val="nil"/>
          <w:left w:val="nil"/>
          <w:bottom w:val="nil"/>
          <w:right w:val="nil"/>
          <w:insideH w:val="nil"/>
          <w:insideV w:val="nil"/>
        </w:tblBorders>
        <w:tblLayout w:type="fixed"/>
        <w:tblLook w:val="0600" w:firstRow="0" w:lastRow="0" w:firstColumn="0" w:lastColumn="0" w:noHBand="1" w:noVBand="1"/>
      </w:tblPr>
      <w:tblGrid>
        <w:gridCol w:w="1842"/>
        <w:gridCol w:w="3128"/>
        <w:gridCol w:w="1992"/>
        <w:gridCol w:w="2108"/>
      </w:tblGrid>
      <w:tr w:rsidR="00D14804">
        <w:trPr>
          <w:trHeight w:val="915"/>
        </w:trPr>
        <w:tc>
          <w:tcPr>
            <w:tcW w:w="1842" w:type="dxa"/>
            <w:tcBorders>
              <w:top w:val="single" w:sz="6" w:space="0" w:color="DDDDDD"/>
              <w:left w:val="single" w:sz="6" w:space="0" w:color="DDDDDD"/>
              <w:bottom w:val="single" w:sz="6" w:space="0" w:color="DDDDDD"/>
              <w:right w:val="single" w:sz="6" w:space="0" w:color="DDDDDD"/>
            </w:tcBorders>
            <w:shd w:val="clear" w:color="auto" w:fill="F2F2F2"/>
            <w:tcMar>
              <w:top w:w="120" w:type="dxa"/>
              <w:left w:w="120" w:type="dxa"/>
              <w:bottom w:w="120" w:type="dxa"/>
              <w:right w:w="120" w:type="dxa"/>
            </w:tcMar>
          </w:tcPr>
          <w:p w:rsidR="00D14804" w:rsidRPr="00721DEF" w:rsidRDefault="00E47E1B">
            <w:pPr>
              <w:spacing w:line="301" w:lineRule="auto"/>
              <w:rPr>
                <w:rFonts w:ascii="Arial" w:eastAsia="Arial" w:hAnsi="Arial" w:cs="Arial"/>
                <w:b/>
                <w:sz w:val="18"/>
                <w:szCs w:val="18"/>
              </w:rPr>
            </w:pPr>
            <w:r w:rsidRPr="00721DEF">
              <w:rPr>
                <w:rFonts w:ascii="Arial" w:eastAsia="Arial" w:hAnsi="Arial" w:cs="Arial"/>
                <w:b/>
                <w:sz w:val="18"/>
                <w:szCs w:val="18"/>
              </w:rPr>
              <w:t>Ciljna grupa</w:t>
            </w:r>
          </w:p>
        </w:tc>
        <w:tc>
          <w:tcPr>
            <w:tcW w:w="3128" w:type="dxa"/>
            <w:tcBorders>
              <w:top w:val="single" w:sz="6" w:space="0" w:color="DDDDDD"/>
              <w:left w:val="nil"/>
              <w:bottom w:val="single" w:sz="6" w:space="0" w:color="DDDDDD"/>
              <w:right w:val="single" w:sz="6" w:space="0" w:color="DDDDDD"/>
            </w:tcBorders>
            <w:shd w:val="clear" w:color="auto" w:fill="F2F2F2"/>
            <w:tcMar>
              <w:top w:w="120" w:type="dxa"/>
              <w:left w:w="120" w:type="dxa"/>
              <w:bottom w:w="120" w:type="dxa"/>
              <w:right w:w="120" w:type="dxa"/>
            </w:tcMar>
          </w:tcPr>
          <w:p w:rsidR="00D14804" w:rsidRPr="00721DEF" w:rsidRDefault="00E47E1B">
            <w:pPr>
              <w:spacing w:line="301" w:lineRule="auto"/>
              <w:rPr>
                <w:rFonts w:ascii="Arial" w:eastAsia="Arial" w:hAnsi="Arial" w:cs="Arial"/>
                <w:b/>
                <w:sz w:val="18"/>
                <w:szCs w:val="18"/>
              </w:rPr>
            </w:pPr>
            <w:r w:rsidRPr="00721DEF">
              <w:rPr>
                <w:rFonts w:ascii="Arial" w:eastAsia="Arial" w:hAnsi="Arial" w:cs="Arial"/>
                <w:b/>
                <w:sz w:val="18"/>
                <w:szCs w:val="18"/>
              </w:rPr>
              <w:t>Ključne poruke</w:t>
            </w:r>
          </w:p>
        </w:tc>
        <w:tc>
          <w:tcPr>
            <w:tcW w:w="1992" w:type="dxa"/>
            <w:tcBorders>
              <w:top w:val="single" w:sz="6" w:space="0" w:color="DDDDDD"/>
              <w:left w:val="nil"/>
              <w:bottom w:val="single" w:sz="6" w:space="0" w:color="DDDDDD"/>
              <w:right w:val="single" w:sz="6" w:space="0" w:color="DDDDDD"/>
            </w:tcBorders>
            <w:shd w:val="clear" w:color="auto" w:fill="F2F2F2"/>
            <w:tcMar>
              <w:top w:w="120" w:type="dxa"/>
              <w:left w:w="120" w:type="dxa"/>
              <w:bottom w:w="120" w:type="dxa"/>
              <w:right w:w="120" w:type="dxa"/>
            </w:tcMar>
          </w:tcPr>
          <w:p w:rsidR="00D14804" w:rsidRPr="00721DEF" w:rsidRDefault="00E47E1B">
            <w:pPr>
              <w:spacing w:line="301" w:lineRule="auto"/>
              <w:rPr>
                <w:rFonts w:ascii="Arial" w:eastAsia="Arial" w:hAnsi="Arial" w:cs="Arial"/>
                <w:b/>
                <w:sz w:val="18"/>
                <w:szCs w:val="18"/>
              </w:rPr>
            </w:pPr>
            <w:r w:rsidRPr="00721DEF">
              <w:rPr>
                <w:rFonts w:ascii="Arial" w:eastAsia="Arial" w:hAnsi="Arial" w:cs="Arial"/>
                <w:b/>
                <w:sz w:val="18"/>
                <w:szCs w:val="18"/>
              </w:rPr>
              <w:t>Instrumenti komunikacije</w:t>
            </w:r>
          </w:p>
        </w:tc>
        <w:tc>
          <w:tcPr>
            <w:tcW w:w="2108" w:type="dxa"/>
            <w:tcBorders>
              <w:top w:val="single" w:sz="6" w:space="0" w:color="DDDDDD"/>
              <w:left w:val="nil"/>
              <w:bottom w:val="single" w:sz="6" w:space="0" w:color="DDDDDD"/>
              <w:right w:val="single" w:sz="6" w:space="0" w:color="DDDDDD"/>
            </w:tcBorders>
            <w:shd w:val="clear" w:color="auto" w:fill="F2F2F2"/>
            <w:tcMar>
              <w:top w:w="120" w:type="dxa"/>
              <w:left w:w="120" w:type="dxa"/>
              <w:bottom w:w="120" w:type="dxa"/>
              <w:right w:w="120" w:type="dxa"/>
            </w:tcMar>
          </w:tcPr>
          <w:p w:rsidR="00D14804" w:rsidRPr="00721DEF" w:rsidRDefault="00E47E1B">
            <w:pPr>
              <w:spacing w:line="301" w:lineRule="auto"/>
              <w:rPr>
                <w:rFonts w:ascii="Arial" w:eastAsia="Arial" w:hAnsi="Arial" w:cs="Arial"/>
                <w:b/>
                <w:sz w:val="18"/>
                <w:szCs w:val="18"/>
              </w:rPr>
            </w:pPr>
            <w:r w:rsidRPr="00721DEF">
              <w:rPr>
                <w:rFonts w:ascii="Arial" w:eastAsia="Arial" w:hAnsi="Arial" w:cs="Arial"/>
                <w:b/>
                <w:sz w:val="18"/>
                <w:szCs w:val="18"/>
              </w:rPr>
              <w:t>Kanali komunikacije</w:t>
            </w:r>
          </w:p>
        </w:tc>
      </w:tr>
      <w:tr w:rsidR="00D14804" w:rsidTr="00721DEF">
        <w:trPr>
          <w:trHeight w:val="2569"/>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Vlada i Vladina radna tijela</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73617E">
            <w:pPr>
              <w:spacing w:line="301" w:lineRule="auto"/>
              <w:rPr>
                <w:rFonts w:ascii="Arial" w:eastAsia="Arial" w:hAnsi="Arial" w:cs="Arial"/>
                <w:sz w:val="18"/>
                <w:szCs w:val="18"/>
              </w:rPr>
            </w:pPr>
            <w:r>
              <w:rPr>
                <w:rFonts w:ascii="Arial" w:eastAsia="Arial" w:hAnsi="Arial" w:cs="Arial"/>
                <w:sz w:val="18"/>
                <w:szCs w:val="18"/>
              </w:rPr>
              <w:t>NSBAP</w:t>
            </w:r>
            <w:r w:rsidR="00E47E1B" w:rsidRPr="00721DEF">
              <w:rPr>
                <w:rFonts w:ascii="Arial" w:eastAsia="Arial" w:hAnsi="Arial" w:cs="Arial"/>
                <w:sz w:val="18"/>
                <w:szCs w:val="18"/>
              </w:rPr>
              <w:t xml:space="preserve"> je zajednički razvojni okvir za sve Vladine politike; svako ministarstvo mora imati jasne, mjerljive obaveze i budžetske programe; međuresorska koordinacija i „biodiversity</w:t>
            </w:r>
            <w:r w:rsidR="00E47E1B" w:rsidRPr="00721DEF">
              <w:rPr>
                <w:rFonts w:ascii="Cambria Math" w:eastAsia="Cambria Math" w:hAnsi="Cambria Math" w:cs="Cambria Math"/>
                <w:sz w:val="18"/>
                <w:szCs w:val="18"/>
              </w:rPr>
              <w:t>‑</w:t>
            </w:r>
            <w:r w:rsidR="00E47E1B" w:rsidRPr="00721DEF">
              <w:rPr>
                <w:rFonts w:ascii="Arial" w:eastAsia="Arial" w:hAnsi="Arial" w:cs="Arial"/>
                <w:sz w:val="18"/>
                <w:szCs w:val="18"/>
              </w:rPr>
              <w:t xml:space="preserve">proofing“ projekata smanjuju konflikte i pravne rizike; stabilno finansiranje </w:t>
            </w:r>
            <w:r>
              <w:rPr>
                <w:rFonts w:ascii="Arial" w:eastAsia="Arial" w:hAnsi="Arial" w:cs="Arial"/>
                <w:sz w:val="18"/>
                <w:szCs w:val="18"/>
              </w:rPr>
              <w:t>NSBAP</w:t>
            </w:r>
            <w:r w:rsidR="00E47E1B" w:rsidRPr="00721DEF">
              <w:rPr>
                <w:rFonts w:ascii="Cambria Math" w:eastAsia="Cambria Math" w:hAnsi="Cambria Math" w:cs="Cambria Math"/>
                <w:sz w:val="18"/>
                <w:szCs w:val="18"/>
              </w:rPr>
              <w:t>‑</w:t>
            </w:r>
            <w:r w:rsidR="00E47E1B" w:rsidRPr="00721DEF">
              <w:rPr>
                <w:rFonts w:ascii="Arial" w:eastAsia="Arial" w:hAnsi="Arial" w:cs="Arial"/>
                <w:sz w:val="18"/>
                <w:szCs w:val="18"/>
              </w:rPr>
              <w:t>a je investicija u konkurentnost i EU integracije.</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Informacije i izvještaji za Vladu, policy</w:t>
            </w:r>
            <w:r w:rsidRPr="00721DEF">
              <w:rPr>
                <w:rFonts w:ascii="Cambria Math" w:eastAsia="Cambria Math" w:hAnsi="Cambria Math" w:cs="Cambria Math"/>
                <w:sz w:val="18"/>
                <w:szCs w:val="18"/>
              </w:rPr>
              <w:t>‑</w:t>
            </w:r>
            <w:r w:rsidRPr="00721DEF">
              <w:rPr>
                <w:rFonts w:ascii="Arial" w:eastAsia="Arial" w:hAnsi="Arial" w:cs="Arial"/>
                <w:sz w:val="18"/>
                <w:szCs w:val="18"/>
              </w:rPr>
              <w:t>briefovi, sastanci i prezentacije, zajedničke radne sesije o prioritetima i budžetu.</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Sjednice Vlade i radnih tijela, web</w:t>
            </w:r>
            <w:r w:rsidRPr="00721DEF">
              <w:rPr>
                <w:rFonts w:ascii="Cambria Math" w:eastAsia="Cambria Math" w:hAnsi="Cambria Math" w:cs="Cambria Math"/>
                <w:sz w:val="18"/>
                <w:szCs w:val="18"/>
              </w:rPr>
              <w:t>‑</w:t>
            </w:r>
            <w:r w:rsidRPr="00721DEF">
              <w:rPr>
                <w:rFonts w:ascii="Arial" w:eastAsia="Arial" w:hAnsi="Arial" w:cs="Arial"/>
                <w:sz w:val="18"/>
                <w:szCs w:val="18"/>
              </w:rPr>
              <w:t>stranica Vlade, intranet, službena korespondencija.</w:t>
            </w:r>
          </w:p>
        </w:tc>
      </w:tr>
      <w:tr w:rsidR="00D14804">
        <w:trPr>
          <w:trHeight w:val="2445"/>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Sektorska ministarstva (poljoprivreda, energetika, turizam, saobraćaj, vodoprivreda, prostorno planiranje itd.)</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 xml:space="preserve">Sektorska ministarstva su ključni nosioci mjera </w:t>
            </w:r>
            <w:r w:rsidR="0073617E">
              <w:rPr>
                <w:rFonts w:ascii="Arial" w:eastAsia="Arial" w:hAnsi="Arial" w:cs="Arial"/>
                <w:sz w:val="18"/>
                <w:szCs w:val="18"/>
              </w:rPr>
              <w:t>NSBAP</w:t>
            </w:r>
            <w:r w:rsidRPr="00721DEF">
              <w:rPr>
                <w:rFonts w:ascii="Cambria Math" w:eastAsia="Cambria Math" w:hAnsi="Cambria Math" w:cs="Cambria Math"/>
                <w:sz w:val="18"/>
                <w:szCs w:val="18"/>
              </w:rPr>
              <w:t>‑</w:t>
            </w:r>
            <w:r w:rsidRPr="00721DEF">
              <w:rPr>
                <w:rFonts w:ascii="Arial" w:eastAsia="Arial" w:hAnsi="Arial" w:cs="Arial"/>
                <w:sz w:val="18"/>
                <w:szCs w:val="18"/>
              </w:rPr>
              <w:t>a; ciljevi Strategije moraju biti integrisani u sektorske strategije, programe rada i projekte; uspjeh zavisi od funkcionalne međusektorske saradnje i razmjene podataka.</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Među</w:t>
            </w:r>
            <w:r w:rsidRPr="00721DEF">
              <w:rPr>
                <w:rFonts w:ascii="Cambria Math" w:eastAsia="Cambria Math" w:hAnsi="Cambria Math" w:cs="Cambria Math"/>
                <w:sz w:val="18"/>
                <w:szCs w:val="18"/>
              </w:rPr>
              <w:t>‑</w:t>
            </w:r>
            <w:r w:rsidRPr="00721DEF">
              <w:rPr>
                <w:rFonts w:ascii="Arial" w:eastAsia="Arial" w:hAnsi="Arial" w:cs="Arial"/>
                <w:sz w:val="18"/>
                <w:szCs w:val="18"/>
              </w:rPr>
              <w:t>resorske radionice i tehničke konsultacije; sektorski policy</w:t>
            </w:r>
            <w:r w:rsidRPr="00721DEF">
              <w:rPr>
                <w:rFonts w:ascii="Cambria Math" w:eastAsia="Cambria Math" w:hAnsi="Cambria Math" w:cs="Cambria Math"/>
                <w:sz w:val="18"/>
                <w:szCs w:val="18"/>
              </w:rPr>
              <w:t>‑</w:t>
            </w:r>
            <w:r w:rsidRPr="00721DEF">
              <w:rPr>
                <w:rFonts w:ascii="Arial" w:eastAsia="Arial" w:hAnsi="Arial" w:cs="Arial"/>
                <w:sz w:val="18"/>
                <w:szCs w:val="18"/>
              </w:rPr>
              <w:t>briefovi; uputstva i check</w:t>
            </w:r>
            <w:r w:rsidRPr="00721DEF">
              <w:rPr>
                <w:rFonts w:ascii="Cambria Math" w:eastAsia="Cambria Math" w:hAnsi="Cambria Math" w:cs="Cambria Math"/>
                <w:sz w:val="18"/>
                <w:szCs w:val="18"/>
              </w:rPr>
              <w:t>‑</w:t>
            </w:r>
            <w:r w:rsidRPr="00721DEF">
              <w:rPr>
                <w:rFonts w:ascii="Arial" w:eastAsia="Arial" w:hAnsi="Arial" w:cs="Arial"/>
                <w:sz w:val="18"/>
                <w:szCs w:val="18"/>
              </w:rPr>
              <w:t>liste za integraciju biodiverziteta u sektorske dokumente.</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Među</w:t>
            </w:r>
            <w:r w:rsidRPr="00721DEF">
              <w:rPr>
                <w:rFonts w:ascii="Cambria Math" w:eastAsia="Cambria Math" w:hAnsi="Cambria Math" w:cs="Cambria Math"/>
                <w:sz w:val="18"/>
                <w:szCs w:val="18"/>
              </w:rPr>
              <w:t>‑</w:t>
            </w:r>
            <w:r w:rsidRPr="00721DEF">
              <w:rPr>
                <w:rFonts w:ascii="Arial" w:eastAsia="Arial" w:hAnsi="Arial" w:cs="Arial"/>
                <w:sz w:val="18"/>
                <w:szCs w:val="18"/>
              </w:rPr>
              <w:t>resorske radne grupe, koordinaciona tijela, sektorski događaji, intranet Vlade, veb sajtovi resora.</w:t>
            </w:r>
          </w:p>
        </w:tc>
      </w:tr>
      <w:tr w:rsidR="00D14804">
        <w:trPr>
          <w:trHeight w:val="2190"/>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Upravljači zaštićenim područjima (JP Nacionalni parkovi, JP Morsko dobro, lokalni upravljači ZP)</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 xml:space="preserve">Zaštićena područja su stub ciljeva 30% zaštite i obnove ekosistema; kvalitet upravljanja i učešće lokalnih zajednica presudni su za uspjeh </w:t>
            </w:r>
            <w:r w:rsidR="0073617E">
              <w:rPr>
                <w:rFonts w:ascii="Arial" w:eastAsia="Arial" w:hAnsi="Arial" w:cs="Arial"/>
                <w:sz w:val="18"/>
                <w:szCs w:val="18"/>
              </w:rPr>
              <w:t>NSBAP</w:t>
            </w:r>
            <w:r w:rsidRPr="00721DEF">
              <w:rPr>
                <w:rFonts w:ascii="Cambria Math" w:eastAsia="Cambria Math" w:hAnsi="Cambria Math" w:cs="Cambria Math"/>
                <w:sz w:val="18"/>
                <w:szCs w:val="18"/>
              </w:rPr>
              <w:t>‑</w:t>
            </w:r>
            <w:r w:rsidRPr="00721DEF">
              <w:rPr>
                <w:rFonts w:ascii="Arial" w:eastAsia="Arial" w:hAnsi="Arial" w:cs="Arial"/>
                <w:sz w:val="18"/>
                <w:szCs w:val="18"/>
              </w:rPr>
              <w:t>a; potrebni su održivi modeli finansiranja, jačanje stručnog kadra i participativni pristupi.</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Javne rasprave, radionice i treninzi; tehničke smjernice za planove upravljanja; savjetodavna podrška i mentoring.</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Stručni bilteni, veb stranice upravljača i MERS</w:t>
            </w:r>
            <w:r w:rsidRPr="00721DEF">
              <w:rPr>
                <w:rFonts w:ascii="Cambria Math" w:eastAsia="Cambria Math" w:hAnsi="Cambria Math" w:cs="Cambria Math"/>
                <w:sz w:val="18"/>
                <w:szCs w:val="18"/>
              </w:rPr>
              <w:t>‑</w:t>
            </w:r>
            <w:r w:rsidRPr="00721DEF">
              <w:rPr>
                <w:rFonts w:ascii="Arial" w:eastAsia="Arial" w:hAnsi="Arial" w:cs="Arial"/>
                <w:sz w:val="18"/>
                <w:szCs w:val="18"/>
              </w:rPr>
              <w:t>a, lokalni i specijalizovani mediji.</w:t>
            </w:r>
          </w:p>
        </w:tc>
      </w:tr>
      <w:tr w:rsidR="00D14804">
        <w:trPr>
          <w:trHeight w:val="2190"/>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Finansijski akteri (Ministarstvo finansija, Eko</w:t>
            </w:r>
            <w:r w:rsidRPr="00721DEF">
              <w:rPr>
                <w:rFonts w:ascii="Cambria Math" w:eastAsia="Cambria Math" w:hAnsi="Cambria Math" w:cs="Cambria Math"/>
                <w:sz w:val="18"/>
                <w:szCs w:val="18"/>
              </w:rPr>
              <w:t>‑</w:t>
            </w:r>
            <w:r w:rsidRPr="00721DEF">
              <w:rPr>
                <w:rFonts w:ascii="Arial" w:eastAsia="Arial" w:hAnsi="Arial" w:cs="Arial"/>
                <w:sz w:val="18"/>
                <w:szCs w:val="18"/>
              </w:rPr>
              <w:t>fond, Centralna banka, Razvojna banka)</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 xml:space="preserve">Stabilno i dugoročno finansiranje je uslov da </w:t>
            </w:r>
            <w:r w:rsidR="0073617E">
              <w:rPr>
                <w:rFonts w:ascii="Arial" w:eastAsia="Arial" w:hAnsi="Arial" w:cs="Arial"/>
                <w:sz w:val="18"/>
                <w:szCs w:val="18"/>
              </w:rPr>
              <w:t>NSBAP</w:t>
            </w:r>
            <w:r w:rsidRPr="00721DEF">
              <w:rPr>
                <w:rFonts w:ascii="Arial" w:eastAsia="Arial" w:hAnsi="Arial" w:cs="Arial"/>
                <w:sz w:val="18"/>
                <w:szCs w:val="18"/>
              </w:rPr>
              <w:t xml:space="preserve"> pređe sa projektne na sistemsku osnovu; potrebno je zatvoriti „finansijski jaz“ i pratiti rashode za biodiverzitet; razvoj zelenih finansijskih instrumenata približava praksu EU.</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Tematski brifinzi o finansijskom jazu i opcijama finansiranja; zajedničko programiranje budžeta i IPA fondova;</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Sastanci radnih grupa za budžet i fondove, službeni dopisi, veb sajtovi MERS</w:t>
            </w:r>
            <w:r w:rsidRPr="00721DEF">
              <w:rPr>
                <w:rFonts w:ascii="Cambria Math" w:eastAsia="Cambria Math" w:hAnsi="Cambria Math" w:cs="Cambria Math"/>
                <w:sz w:val="18"/>
                <w:szCs w:val="18"/>
              </w:rPr>
              <w:t>‑</w:t>
            </w:r>
            <w:r w:rsidRPr="00721DEF">
              <w:rPr>
                <w:rFonts w:ascii="Arial" w:eastAsia="Arial" w:hAnsi="Arial" w:cs="Arial"/>
                <w:sz w:val="18"/>
                <w:szCs w:val="18"/>
              </w:rPr>
              <w:t>a i Ministarstva finansija, finansijski forumi, info</w:t>
            </w:r>
            <w:r w:rsidRPr="00721DEF">
              <w:rPr>
                <w:rFonts w:ascii="Cambria Math" w:eastAsia="Cambria Math" w:hAnsi="Cambria Math" w:cs="Cambria Math"/>
                <w:sz w:val="18"/>
                <w:szCs w:val="18"/>
              </w:rPr>
              <w:t>‑</w:t>
            </w:r>
            <w:r w:rsidRPr="00721DEF">
              <w:rPr>
                <w:rFonts w:ascii="Arial" w:eastAsia="Arial" w:hAnsi="Arial" w:cs="Arial"/>
                <w:sz w:val="18"/>
                <w:szCs w:val="18"/>
              </w:rPr>
              <w:t>sesije Eko</w:t>
            </w:r>
            <w:r w:rsidRPr="00721DEF">
              <w:rPr>
                <w:rFonts w:ascii="Cambria Math" w:eastAsia="Cambria Math" w:hAnsi="Cambria Math" w:cs="Cambria Math"/>
                <w:sz w:val="18"/>
                <w:szCs w:val="18"/>
              </w:rPr>
              <w:t>‑</w:t>
            </w:r>
            <w:r w:rsidRPr="00721DEF">
              <w:rPr>
                <w:rFonts w:ascii="Arial" w:eastAsia="Arial" w:hAnsi="Arial" w:cs="Arial"/>
                <w:sz w:val="18"/>
                <w:szCs w:val="18"/>
              </w:rPr>
              <w:t>fonda.</w:t>
            </w:r>
          </w:p>
        </w:tc>
      </w:tr>
      <w:tr w:rsidR="00D14804">
        <w:trPr>
          <w:trHeight w:val="2445"/>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lastRenderedPageBreak/>
              <w:t>Lokalne samouprave (opštine)</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 xml:space="preserve">Lokalne odluke o prostoru, infrastrukturi i subvencijama presudne su za stanje staništa i vrsta; </w:t>
            </w:r>
            <w:r w:rsidR="0073617E">
              <w:rPr>
                <w:rFonts w:ascii="Arial" w:eastAsia="Arial" w:hAnsi="Arial" w:cs="Arial"/>
                <w:sz w:val="18"/>
                <w:szCs w:val="18"/>
              </w:rPr>
              <w:t>NSBAP</w:t>
            </w:r>
            <w:r w:rsidRPr="00721DEF">
              <w:rPr>
                <w:rFonts w:ascii="Arial" w:eastAsia="Arial" w:hAnsi="Arial" w:cs="Arial"/>
                <w:sz w:val="18"/>
                <w:szCs w:val="18"/>
              </w:rPr>
              <w:t xml:space="preserve"> je alat da se razvoj uskladi sa nosivim kapacitetima ekosistema; potrebni su jači kapaciteti, tehnička podrška, stabilni izvori finansiranja i partnerstvo sa lokalnim zajednicama.</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Javne rasprave, radionice; priručnici i smjernice za integraciju biodiverziteta u opštinske planove;</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Zajednica opština, veb sajtovi opština, lokalni mediji, e</w:t>
            </w:r>
            <w:r w:rsidRPr="00721DEF">
              <w:rPr>
                <w:rFonts w:ascii="Cambria Math" w:eastAsia="Cambria Math" w:hAnsi="Cambria Math" w:cs="Cambria Math"/>
                <w:sz w:val="18"/>
                <w:szCs w:val="18"/>
              </w:rPr>
              <w:t>‑</w:t>
            </w:r>
            <w:r w:rsidRPr="00721DEF">
              <w:rPr>
                <w:rFonts w:ascii="Arial" w:eastAsia="Arial" w:hAnsi="Arial" w:cs="Arial"/>
                <w:sz w:val="18"/>
                <w:szCs w:val="18"/>
              </w:rPr>
              <w:t>upravni portali, javne rasprave i tribine.</w:t>
            </w:r>
          </w:p>
        </w:tc>
      </w:tr>
      <w:tr w:rsidR="00D14804">
        <w:trPr>
          <w:trHeight w:val="2190"/>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Nauka i civilno društvo (NVO, univerziteti, instituti)</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 xml:space="preserve">Istraživanja, podaci i nezavisni monitoring ključni su za planiranje, indikatore i evaluaciju </w:t>
            </w:r>
            <w:r w:rsidR="0073617E">
              <w:rPr>
                <w:rFonts w:ascii="Arial" w:eastAsia="Arial" w:hAnsi="Arial" w:cs="Arial"/>
                <w:sz w:val="18"/>
                <w:szCs w:val="18"/>
              </w:rPr>
              <w:t>NSBAP</w:t>
            </w:r>
            <w:r w:rsidRPr="00721DEF">
              <w:rPr>
                <w:rFonts w:ascii="Cambria Math" w:eastAsia="Cambria Math" w:hAnsi="Cambria Math" w:cs="Cambria Math"/>
                <w:sz w:val="18"/>
                <w:szCs w:val="18"/>
              </w:rPr>
              <w:t>‑</w:t>
            </w:r>
            <w:r w:rsidRPr="00721DEF">
              <w:rPr>
                <w:rFonts w:ascii="Arial" w:eastAsia="Arial" w:hAnsi="Arial" w:cs="Arial"/>
                <w:sz w:val="18"/>
                <w:szCs w:val="18"/>
              </w:rPr>
              <w:t>a; dugoročna saradnja sa akademijom i NVO, uključujući građansku nauku, jača legitimitet mjera i povjerenje građana.</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Stručne konferencije i okrugli stolovi; zajednički istraživački projekti; platforme za razmjenu podataka; konsultativni forumi i radne grupe.</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Akademske mreže, veb sajtovi univerziteta i NVO, naučno</w:t>
            </w:r>
            <w:r w:rsidRPr="00721DEF">
              <w:rPr>
                <w:rFonts w:ascii="Cambria Math" w:eastAsia="Cambria Math" w:hAnsi="Cambria Math" w:cs="Cambria Math"/>
                <w:sz w:val="18"/>
                <w:szCs w:val="18"/>
              </w:rPr>
              <w:t>‑</w:t>
            </w:r>
            <w:r w:rsidRPr="00721DEF">
              <w:rPr>
                <w:rFonts w:ascii="Arial" w:eastAsia="Arial" w:hAnsi="Arial" w:cs="Arial"/>
                <w:sz w:val="18"/>
                <w:szCs w:val="18"/>
              </w:rPr>
              <w:t>popularni mediji, bilteni, društvene mreže organizacija.</w:t>
            </w:r>
          </w:p>
        </w:tc>
      </w:tr>
      <w:tr w:rsidR="00D14804">
        <w:trPr>
          <w:trHeight w:val="2445"/>
        </w:trPr>
        <w:tc>
          <w:tcPr>
            <w:tcW w:w="1842" w:type="dxa"/>
            <w:tcBorders>
              <w:top w:val="nil"/>
              <w:left w:val="single" w:sz="6" w:space="0" w:color="DDDDDD"/>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Opšta javnost (djeca, mladi, žene i muškarci, ranjive grupe)</w:t>
            </w:r>
          </w:p>
        </w:tc>
        <w:tc>
          <w:tcPr>
            <w:tcW w:w="312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Priroda je dio identiteta i svakodnevnog života građana; očuvanje biodiverziteta utiče na zdravlje, sigurnost i ekonomske prilike ljudi; poruke se prilagođavaju različitim grupama na osnovu istraživanja stavova, uz posebnu rodno odgovornu i inkluzivnu kampanju.</w:t>
            </w:r>
          </w:p>
        </w:tc>
        <w:tc>
          <w:tcPr>
            <w:tcW w:w="1992"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Kampanje podizanja svijesti; TV/radio emisije i serijali; onlajn i štampani sadržaji; školski programi i radionice; interaktivne digitalne kampanje; događaji u prirodi.</w:t>
            </w:r>
          </w:p>
        </w:tc>
        <w:tc>
          <w:tcPr>
            <w:tcW w:w="2108" w:type="dxa"/>
            <w:tcBorders>
              <w:top w:val="nil"/>
              <w:left w:val="nil"/>
              <w:bottom w:val="single" w:sz="6" w:space="0" w:color="DDDDDD"/>
              <w:right w:val="single" w:sz="6" w:space="0" w:color="DDDDDD"/>
            </w:tcBorders>
            <w:tcMar>
              <w:top w:w="120" w:type="dxa"/>
              <w:left w:w="120" w:type="dxa"/>
              <w:bottom w:w="120" w:type="dxa"/>
              <w:right w:w="120" w:type="dxa"/>
            </w:tcMar>
          </w:tcPr>
          <w:p w:rsidR="00D14804" w:rsidRPr="00721DEF" w:rsidRDefault="00E47E1B">
            <w:pPr>
              <w:spacing w:line="301" w:lineRule="auto"/>
              <w:rPr>
                <w:rFonts w:ascii="Arial" w:eastAsia="Arial" w:hAnsi="Arial" w:cs="Arial"/>
                <w:sz w:val="18"/>
                <w:szCs w:val="18"/>
              </w:rPr>
            </w:pPr>
            <w:r w:rsidRPr="00721DEF">
              <w:rPr>
                <w:rFonts w:ascii="Arial" w:eastAsia="Arial" w:hAnsi="Arial" w:cs="Arial"/>
                <w:sz w:val="18"/>
                <w:szCs w:val="18"/>
              </w:rPr>
              <w:t>Nacionalni i lokalni mediji, društvene mreže, veb sajtovi institucija, školske i omladinske mreže, kulturni i sportski događaji, sistemi javnog informisanja.</w:t>
            </w:r>
          </w:p>
        </w:tc>
      </w:tr>
    </w:tbl>
    <w:p w:rsidR="00D14804" w:rsidRDefault="00E47E1B">
      <w:pPr>
        <w:spacing w:before="240" w:after="240"/>
        <w:jc w:val="both"/>
        <w:rPr>
          <w:rFonts w:ascii="Arial" w:eastAsia="Arial" w:hAnsi="Arial" w:cs="Arial"/>
        </w:rPr>
      </w:pPr>
      <w:r>
        <w:rPr>
          <w:rFonts w:ascii="Arial" w:eastAsia="Arial" w:hAnsi="Arial" w:cs="Arial"/>
        </w:rPr>
        <w:t xml:space="preserve">U skladu </w:t>
      </w:r>
      <w:r w:rsidR="0016294A">
        <w:rPr>
          <w:rFonts w:ascii="Arial" w:eastAsia="Arial" w:hAnsi="Arial" w:cs="Arial"/>
        </w:rPr>
        <w:t>sa predviđenim aktivnostima u N</w:t>
      </w:r>
      <w:r>
        <w:rPr>
          <w:rFonts w:ascii="Arial" w:eastAsia="Arial" w:hAnsi="Arial" w:cs="Arial"/>
        </w:rPr>
        <w:t>S</w:t>
      </w:r>
      <w:r w:rsidR="0016294A">
        <w:rPr>
          <w:rFonts w:ascii="Arial" w:eastAsia="Arial" w:hAnsi="Arial" w:cs="Arial"/>
        </w:rPr>
        <w:t>B</w:t>
      </w:r>
      <w:r>
        <w:rPr>
          <w:rFonts w:ascii="Arial" w:eastAsia="Arial" w:hAnsi="Arial" w:cs="Arial"/>
        </w:rPr>
        <w:t>AP</w:t>
      </w:r>
      <w:r>
        <w:rPr>
          <w:rFonts w:ascii="Cambria Math" w:eastAsia="Cambria Math" w:hAnsi="Cambria Math" w:cs="Cambria Math"/>
        </w:rPr>
        <w:t>‑</w:t>
      </w:r>
      <w:r>
        <w:rPr>
          <w:rFonts w:ascii="Arial" w:eastAsia="Arial" w:hAnsi="Arial" w:cs="Arial"/>
        </w:rPr>
        <w:t>u, komunikacija se ne posmatra izdvojeno, već kao integralni dio operativnih ciljeva i Akcionog plana. Za operativne ciljeve koji se odnose na jačanje znanja i učešća građana/ki, učešće relevantnih aktera u kreiranju politika i socio</w:t>
      </w:r>
      <w:r>
        <w:rPr>
          <w:rFonts w:ascii="Cambria Math" w:eastAsia="Cambria Math" w:hAnsi="Cambria Math" w:cs="Cambria Math"/>
        </w:rPr>
        <w:t>‑</w:t>
      </w:r>
      <w:r>
        <w:rPr>
          <w:rFonts w:ascii="Arial" w:eastAsia="Arial" w:hAnsi="Arial" w:cs="Arial"/>
        </w:rPr>
        <w:t xml:space="preserve">ekonomsku valorizaciju ekosistemskih usluga predviđene su, između ostalog, obuke za žene, mlade i druge nedovoljno zastupljene grupe, razvoj mreže mentora/ki u lokalnim zajednicama, javne kampanje o rodno odgovornom učešću, pilot aktivnosti građanskog monitoringa i programi edukacije za planere i donosioce odluka. U oblasti institucionalnih kapaciteta planirane su obuke za službenike/ce o komunikaciji, facilitaciji participativnih procesa i rodnoj analizi, kao i uvođenje standardizovanih, rodno odgovornih protokola za transparentno informisanje javnosti i učešće zainteresovanih strana u odlučivanju. Za oblast svijesti javnosti i participacije, </w:t>
      </w:r>
      <w:r w:rsidR="0073617E">
        <w:rPr>
          <w:rFonts w:ascii="Arial" w:eastAsia="Arial" w:hAnsi="Arial" w:cs="Arial"/>
        </w:rPr>
        <w:t>NSBAP</w:t>
      </w:r>
      <w:r>
        <w:rPr>
          <w:rFonts w:ascii="Arial" w:eastAsia="Arial" w:hAnsi="Arial" w:cs="Arial"/>
        </w:rPr>
        <w:t xml:space="preserve"> predviđa bazno i završno istraživanje javnog mnjenja, izradu rodno odgovorne i inkluzivne medijske kampanje o biodiverzitetu i ekosistemskim uslugama, te razvoj okvira za rodno ravnopravno, inkluzivno i participativno učešće građana/ki, lokalnih zajednica i ranjivih grupa u upravljanju prirodnim resursima.</w:t>
      </w:r>
    </w:p>
    <w:p w:rsidR="00D14804" w:rsidRDefault="00E47E1B">
      <w:pPr>
        <w:spacing w:before="240" w:after="240"/>
        <w:jc w:val="both"/>
        <w:rPr>
          <w:rFonts w:ascii="Arial" w:eastAsia="Arial" w:hAnsi="Arial" w:cs="Arial"/>
        </w:rPr>
      </w:pPr>
      <w:r>
        <w:rPr>
          <w:rFonts w:ascii="Arial" w:eastAsia="Arial" w:hAnsi="Arial" w:cs="Arial"/>
        </w:rPr>
        <w:t>Kanali komunikacije uključuju direktne oblike (zvanične sastanke, javne rasprave, konsultativne forume, edukativne radionice i terenske događaje) i indirektne oblike (veb</w:t>
      </w:r>
      <w:r>
        <w:rPr>
          <w:rFonts w:ascii="Cambria Math" w:eastAsia="Cambria Math" w:hAnsi="Cambria Math" w:cs="Cambria Math"/>
        </w:rPr>
        <w:t>‑</w:t>
      </w:r>
      <w:r>
        <w:rPr>
          <w:rFonts w:ascii="Arial" w:eastAsia="Arial" w:hAnsi="Arial" w:cs="Arial"/>
        </w:rPr>
        <w:t xml:space="preserve">stranice, društvene mreže, tradicionalne medije, lokalne informativne mreže, promotivne materijale), uz prilagođavanje jezika i formata svakoj ciljnoj grupi. Poruke za donosioce odluka naglašavaju obaveze i koristi od integracije biodiverziteta u sektorske politike, dok su poruke za građane/ke i lokalne zajednice fokusirane na konkretne promjene u svakodnevnom životu </w:t>
      </w:r>
      <w:r>
        <w:rPr>
          <w:rFonts w:ascii="Arial" w:eastAsia="Arial" w:hAnsi="Arial" w:cs="Arial"/>
        </w:rPr>
        <w:lastRenderedPageBreak/>
        <w:t>i mogućnosti da učestvuju u planiranju i monitoringu. Posebno se vodi računa da komunikacija bude dvosmjerna: predviđeni su mehanizmi za prikupljanje i povratno informisanje o komentarima i prijedlozima javnosti, uključujući učešće u javnim raspravama, fokus grupama i strukturisanim konsultacijama.</w:t>
      </w:r>
    </w:p>
    <w:p w:rsidR="00D14804" w:rsidRDefault="00E47E1B">
      <w:pPr>
        <w:spacing w:before="240" w:after="240"/>
        <w:jc w:val="both"/>
        <w:rPr>
          <w:rFonts w:ascii="Arial" w:eastAsia="Arial" w:hAnsi="Arial" w:cs="Arial"/>
        </w:rPr>
      </w:pPr>
      <w:r>
        <w:rPr>
          <w:rFonts w:ascii="Arial" w:eastAsia="Arial" w:hAnsi="Arial" w:cs="Arial"/>
        </w:rPr>
        <w:t xml:space="preserve">Kako bi se komunikacijske aktivnosti mogle planirati, pratiti i evaluirati, </w:t>
      </w:r>
      <w:r w:rsidR="0073617E">
        <w:rPr>
          <w:rFonts w:ascii="Arial" w:eastAsia="Arial" w:hAnsi="Arial" w:cs="Arial"/>
        </w:rPr>
        <w:t>NSBAP</w:t>
      </w:r>
      <w:r>
        <w:rPr>
          <w:rFonts w:ascii="Arial" w:eastAsia="Arial" w:hAnsi="Arial" w:cs="Arial"/>
        </w:rPr>
        <w:t xml:space="preserve"> se oslanja na jasno definisane, mjerljive indikatore,  na primjer obuhvat i strukturu ciljnih grupa u konsultacijama, broj i profil učesnika/ca u obukama, domet kampanja, nivo javne svijesti, kao i percepciju transparentnosti i povjerenja u institucije. Upotreba kvantitativnih i kvalitativnih podataka već u početnim fazama ciklusa planiranja treba da olakša kasnije komu</w:t>
      </w:r>
      <w:r w:rsidR="0073617E">
        <w:rPr>
          <w:rFonts w:ascii="Arial" w:eastAsia="Arial" w:hAnsi="Arial" w:cs="Arial"/>
        </w:rPr>
        <w:t>niciranje rezultata i učinaka N</w:t>
      </w:r>
      <w:r>
        <w:rPr>
          <w:rFonts w:ascii="Arial" w:eastAsia="Arial" w:hAnsi="Arial" w:cs="Arial"/>
        </w:rPr>
        <w:t>S</w:t>
      </w:r>
      <w:r w:rsidR="0073617E">
        <w:rPr>
          <w:rFonts w:ascii="Arial" w:eastAsia="Arial" w:hAnsi="Arial" w:cs="Arial"/>
        </w:rPr>
        <w:t>B</w:t>
      </w:r>
      <w:r>
        <w:rPr>
          <w:rFonts w:ascii="Arial" w:eastAsia="Arial" w:hAnsi="Arial" w:cs="Arial"/>
        </w:rPr>
        <w:t>AP</w:t>
      </w:r>
      <w:r>
        <w:rPr>
          <w:rFonts w:ascii="Cambria Math" w:eastAsia="Cambria Math" w:hAnsi="Cambria Math" w:cs="Cambria Math"/>
        </w:rPr>
        <w:t>‑</w:t>
      </w:r>
      <w:r>
        <w:rPr>
          <w:rFonts w:ascii="Arial" w:eastAsia="Arial" w:hAnsi="Arial" w:cs="Arial"/>
        </w:rPr>
        <w:t>a, kao i prilagođavanje pristupa tamo gdje se pokaže da poruke ne dopiru do ključnih grupa.</w:t>
      </w:r>
    </w:p>
    <w:p w:rsidR="00D14804" w:rsidRDefault="00E47E1B">
      <w:pPr>
        <w:spacing w:before="240" w:after="240"/>
        <w:jc w:val="both"/>
        <w:rPr>
          <w:rFonts w:ascii="Arial" w:eastAsia="Arial" w:hAnsi="Arial" w:cs="Arial"/>
        </w:rPr>
      </w:pPr>
      <w:r>
        <w:rPr>
          <w:rFonts w:ascii="Arial" w:eastAsia="Arial" w:hAnsi="Arial" w:cs="Arial"/>
        </w:rPr>
        <w:t>Uz Strategiju je pripremljen i poseban Aneks, u kome su dati ilustrativni primjeri komunikacionih instrumenata, koje će nadležnim institucijama poslužiti kao putokaz i praktična inspiracija za komunikaciju sa različitim ciljnim grupama na efikasan, inkluzivan i rodno odgovoran način.</w:t>
      </w:r>
    </w:p>
    <w:p w:rsidR="00D14804" w:rsidRDefault="00D14804">
      <w:pPr>
        <w:rPr>
          <w:b/>
          <w:bCs/>
        </w:rPr>
      </w:pPr>
    </w:p>
    <w:p w:rsidR="00126C41" w:rsidRDefault="00126C41">
      <w:pPr>
        <w:rPr>
          <w:b/>
          <w:bCs/>
        </w:rPr>
        <w:sectPr w:rsidR="00126C41">
          <w:footerReference w:type="default" r:id="rId39"/>
          <w:pgSz w:w="11906" w:h="16838"/>
          <w:pgMar w:top="1417" w:right="1134" w:bottom="1417" w:left="1701" w:header="708" w:footer="708" w:gutter="0"/>
          <w:pgNumType w:start="0"/>
          <w:cols w:space="720"/>
          <w:titlePg/>
        </w:sectPr>
      </w:pPr>
    </w:p>
    <w:p w:rsidR="00D14804" w:rsidRDefault="00D14804">
      <w:pPr>
        <w:rPr>
          <w:b/>
          <w:bCs/>
        </w:rPr>
        <w:sectPr w:rsidR="00D14804">
          <w:pgSz w:w="11906" w:h="16838"/>
          <w:pgMar w:top="1417" w:right="1134" w:bottom="1417" w:left="1701" w:header="708" w:footer="708" w:gutter="0"/>
          <w:pgNumType w:start="0"/>
          <w:cols w:space="720"/>
          <w:titlePg/>
        </w:sectPr>
      </w:pPr>
    </w:p>
    <w:p w:rsidR="00D14804" w:rsidRDefault="00D14804">
      <w:pPr>
        <w:spacing w:line="301" w:lineRule="auto"/>
        <w:jc w:val="both"/>
        <w:rPr>
          <w:rFonts w:ascii="Arial" w:eastAsia="Arial" w:hAnsi="Arial" w:cs="Arial"/>
          <w:b/>
          <w:bCs/>
        </w:rPr>
      </w:pPr>
    </w:p>
    <w:p w:rsidR="00D14804" w:rsidRPr="00D865A2" w:rsidRDefault="00E47E1B" w:rsidP="00D865A2">
      <w:pPr>
        <w:pStyle w:val="Heading1"/>
        <w:rPr>
          <w:rFonts w:ascii="Arial" w:eastAsia="Arial" w:hAnsi="Arial" w:cs="Arial"/>
          <w:sz w:val="40"/>
          <w:szCs w:val="40"/>
        </w:rPr>
      </w:pPr>
      <w:bookmarkStart w:id="46" w:name="_Toc222754395"/>
      <w:r w:rsidRPr="00D865A2">
        <w:rPr>
          <w:rFonts w:ascii="Arial" w:eastAsia="Arial" w:hAnsi="Arial" w:cs="Arial"/>
          <w:sz w:val="40"/>
          <w:szCs w:val="40"/>
        </w:rPr>
        <w:t>PRILOZI</w:t>
      </w:r>
      <w:bookmarkEnd w:id="46"/>
    </w:p>
    <w:p w:rsidR="00721DEF" w:rsidRPr="00D865A2" w:rsidRDefault="00D865A2" w:rsidP="00D865A2">
      <w:pPr>
        <w:pStyle w:val="Heading2"/>
        <w:rPr>
          <w:rFonts w:ascii="Arial" w:eastAsia="Arial" w:hAnsi="Arial" w:cs="Arial"/>
          <w:sz w:val="32"/>
          <w:szCs w:val="32"/>
        </w:rPr>
      </w:pPr>
      <w:bookmarkStart w:id="47" w:name="_Toc222754396"/>
      <w:r w:rsidRPr="00D865A2">
        <w:rPr>
          <w:rFonts w:ascii="Arial" w:eastAsia="Arial" w:hAnsi="Arial" w:cs="Arial"/>
          <w:sz w:val="32"/>
          <w:szCs w:val="32"/>
        </w:rPr>
        <w:t>Prilog I</w:t>
      </w:r>
      <w:bookmarkEnd w:id="47"/>
    </w:p>
    <w:p w:rsidR="00721DEF" w:rsidRPr="00D865A2" w:rsidRDefault="00D865A2" w:rsidP="00D865A2">
      <w:pPr>
        <w:pStyle w:val="Heading3"/>
        <w:rPr>
          <w:rFonts w:ascii="Arial" w:hAnsi="Arial" w:cs="Arial"/>
          <w:sz w:val="26"/>
          <w:szCs w:val="26"/>
          <w:lang w:val="nl"/>
        </w:rPr>
      </w:pPr>
      <w:bookmarkStart w:id="48" w:name="_Toc222754397"/>
      <w:r w:rsidRPr="00D865A2">
        <w:rPr>
          <w:rFonts w:ascii="Arial" w:hAnsi="Arial" w:cs="Arial"/>
          <w:sz w:val="26"/>
          <w:szCs w:val="26"/>
          <w:lang w:val="nl"/>
        </w:rPr>
        <w:t>Tabela 01</w:t>
      </w:r>
      <w:r w:rsidR="00721DEF" w:rsidRPr="00D865A2">
        <w:rPr>
          <w:rFonts w:ascii="Arial" w:hAnsi="Arial" w:cs="Arial"/>
          <w:sz w:val="26"/>
          <w:szCs w:val="26"/>
          <w:lang w:val="nl"/>
        </w:rPr>
        <w:t xml:space="preserve"> </w:t>
      </w:r>
      <w:r w:rsidR="00721DEF" w:rsidRPr="00800757">
        <w:rPr>
          <w:rFonts w:ascii="Arial" w:hAnsi="Arial" w:cs="Arial"/>
          <w:b w:val="0"/>
          <w:sz w:val="26"/>
          <w:szCs w:val="26"/>
          <w:lang w:val="nl"/>
        </w:rPr>
        <w:t>- Relacija NSBAP</w:t>
      </w:r>
      <w:r w:rsidRPr="00800757">
        <w:rPr>
          <w:rFonts w:ascii="Arial" w:hAnsi="Arial" w:cs="Arial"/>
          <w:b w:val="0"/>
          <w:sz w:val="26"/>
          <w:szCs w:val="26"/>
          <w:lang w:val="nl"/>
        </w:rPr>
        <w:t xml:space="preserve"> 2026-2031</w:t>
      </w:r>
      <w:r w:rsidR="00721DEF" w:rsidRPr="00800757">
        <w:rPr>
          <w:rFonts w:ascii="Arial" w:hAnsi="Arial" w:cs="Arial"/>
          <w:b w:val="0"/>
          <w:sz w:val="26"/>
          <w:szCs w:val="26"/>
          <w:lang w:val="nl"/>
        </w:rPr>
        <w:t xml:space="preserve"> sa relevantnim strateškim okvirom Crne Gore</w:t>
      </w:r>
      <w:bookmarkEnd w:id="48"/>
    </w:p>
    <w:tbl>
      <w:tblPr>
        <w:tblW w:w="13990" w:type="dxa"/>
        <w:tblLayout w:type="fixed"/>
        <w:tblLook w:val="0400" w:firstRow="0" w:lastRow="0" w:firstColumn="0" w:lastColumn="0" w:noHBand="0" w:noVBand="1"/>
      </w:tblPr>
      <w:tblGrid>
        <w:gridCol w:w="2926"/>
        <w:gridCol w:w="3153"/>
        <w:gridCol w:w="3693"/>
        <w:gridCol w:w="4218"/>
      </w:tblGrid>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color w:val="000000"/>
                <w:sz w:val="18"/>
                <w:szCs w:val="18"/>
                <w:lang w:val="nl"/>
              </w:rPr>
              <w:t>Strateška dokumenta</w:t>
            </w:r>
          </w:p>
        </w:tc>
        <w:tc>
          <w:tcPr>
            <w:tcW w:w="31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color w:val="000000"/>
                <w:sz w:val="18"/>
                <w:szCs w:val="18"/>
                <w:lang w:val="nl"/>
              </w:rPr>
              <w:t xml:space="preserve">Glavni potencijalni konflikt sa </w:t>
            </w:r>
            <w:r w:rsidR="0073617E">
              <w:rPr>
                <w:rFonts w:ascii="Arial" w:eastAsia="Times New Roman" w:hAnsi="Arial" w:cs="Arial"/>
                <w:b/>
                <w:bCs/>
                <w:color w:val="000000"/>
                <w:sz w:val="18"/>
                <w:szCs w:val="18"/>
                <w:lang w:val="nl"/>
              </w:rPr>
              <w:t>NSBAP</w:t>
            </w:r>
            <w:r w:rsidRPr="00721DEF">
              <w:rPr>
                <w:rFonts w:ascii="Arial" w:eastAsia="Times New Roman" w:hAnsi="Arial" w:cs="Arial"/>
                <w:b/>
                <w:bCs/>
                <w:color w:val="000000"/>
                <w:sz w:val="18"/>
                <w:szCs w:val="18"/>
                <w:lang w:val="nl"/>
              </w:rPr>
              <w:t>-om (u praksi)</w:t>
            </w:r>
          </w:p>
        </w:tc>
        <w:tc>
          <w:tcPr>
            <w:tcW w:w="369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color w:val="000000"/>
                <w:sz w:val="18"/>
                <w:szCs w:val="18"/>
                <w:lang w:val="nl"/>
              </w:rPr>
              <w:t>Uticaj na biodiverzitet</w:t>
            </w:r>
          </w:p>
        </w:tc>
        <w:tc>
          <w:tcPr>
            <w:tcW w:w="42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color w:val="000000"/>
                <w:sz w:val="18"/>
                <w:szCs w:val="18"/>
                <w:lang w:val="nl"/>
              </w:rPr>
              <w:t>Preporuka za usklađivanje</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Prostorni plan Crne Gore do 2040. godine</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Biodiverzitet nije sistematski kriterijum za zoniranje; česta kolizija razvojnih i zaštićenih zona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Preklapanje razvojnih i zaštićenih/osjetljivih zona, sto uzrokuje smanjeno sprovodjenje mjera zastite</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Ugraditi obavezu 30% zaštite i 10% stroge zaštite; uspostaviti ekološke koridore; obavezno postovanje nalaza procjene uticaja i potreba za kumulativnim procjenama uticaja radi odrzivijeg planiranja</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b/>
                <w:bCs/>
                <w:sz w:val="18"/>
                <w:szCs w:val="18"/>
                <w:lang w:val="nl"/>
              </w:rPr>
            </w:pPr>
            <w:r w:rsidRPr="00721DEF">
              <w:rPr>
                <w:rFonts w:ascii="Arial" w:eastAsia="Times New Roman" w:hAnsi="Arial" w:cs="Arial"/>
                <w:b/>
                <w:bCs/>
                <w:color w:val="000000"/>
                <w:sz w:val="18"/>
                <w:szCs w:val="18"/>
                <w:lang w:val="nl"/>
              </w:rPr>
              <w:t>Plan prilagođavanja na klimatske promjene za period 2025–2035</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color w:val="000000"/>
                <w:sz w:val="18"/>
                <w:szCs w:val="18"/>
                <w:lang w:val="nl"/>
              </w:rPr>
              <w:t>Nedovoljna integracija rješenja zasnovanih na prirodi (NBS) u razvojne politike</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color w:val="000000"/>
                <w:sz w:val="18"/>
                <w:szCs w:val="18"/>
                <w:lang w:val="nl"/>
              </w:rPr>
              <w:t>Gubitak mocvara, degradacija obale, povećani rizici od poplava i suša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color w:val="000000"/>
                <w:sz w:val="18"/>
                <w:szCs w:val="18"/>
                <w:lang w:val="nl"/>
              </w:rPr>
              <w:t>Snažnija upotreba NBS; povezati klimatske i mjere obnove; valorizovati prirodne ekosisteme kao klimatsku infrastrukturu</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Nacionalni energetski i klimatski plan</w:t>
            </w:r>
            <w:r w:rsidRPr="00721DEF">
              <w:rPr>
                <w:rFonts w:ascii="Arial" w:eastAsia="Times New Roman" w:hAnsi="Arial" w:cs="Arial"/>
                <w:b/>
                <w:bCs/>
                <w:color w:val="000000"/>
                <w:sz w:val="18"/>
                <w:szCs w:val="18"/>
                <w:lang w:val="nl"/>
              </w:rPr>
              <w:t xml:space="preserve"> Crne Gore do 2030. godine</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Planira se širenje OIE bez obaveznog ekološkog zoniranja i procjene kumulativnih uticaja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Gubitak i fragmentacija staništa, kolizije ptica, pritisak na kopnena I morska staništa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 xml:space="preserve">Obavezno mapiranje „no-go“ zona, jačanje SEA/EIA procedura, integracija ciljeva </w:t>
            </w:r>
            <w:r w:rsidR="0073617E">
              <w:rPr>
                <w:rFonts w:ascii="Arial" w:eastAsia="Times New Roman" w:hAnsi="Arial" w:cs="Arial"/>
                <w:color w:val="000000"/>
                <w:sz w:val="18"/>
                <w:szCs w:val="18"/>
                <w:lang w:val="nl"/>
              </w:rPr>
              <w:t>NSBAP</w:t>
            </w:r>
            <w:r w:rsidRPr="00721DEF">
              <w:rPr>
                <w:rFonts w:ascii="Arial" w:eastAsia="Times New Roman" w:hAnsi="Arial" w:cs="Arial"/>
                <w:color w:val="000000"/>
                <w:sz w:val="18"/>
                <w:szCs w:val="18"/>
                <w:lang w:val="nl"/>
              </w:rPr>
              <w:t>-a u energetsko planiranje</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b/>
                <w:bCs/>
                <w:sz w:val="18"/>
                <w:szCs w:val="18"/>
                <w:lang w:val="nl"/>
              </w:rPr>
            </w:pPr>
            <w:r w:rsidRPr="00721DEF">
              <w:rPr>
                <w:rFonts w:ascii="Arial" w:eastAsia="Times New Roman" w:hAnsi="Arial" w:cs="Arial"/>
                <w:b/>
                <w:bCs/>
                <w:sz w:val="18"/>
                <w:szCs w:val="18"/>
                <w:lang w:val="nl"/>
              </w:rPr>
              <w:t>Strategija razvoja turizma Crne Gore 2022-2025. godine s Akcionim planom</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Intenzivan turizam često se planira u obalnim i ekološki osjetljivim zonama; nedostatak kontrolnih mehanizama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Betonizacija obale, degradacija staništa, pritisak na zaštićena područja, zagadjenje (otpad i otpdane vode)</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Snažan prelazak ka ekoturizmu; obavezno zoniranje i procjene uticaja; ograničavanje masivne izgradnje u MPA i drugim osjetljivim područjima</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Strategija razvoja poljoprivrede i ruralnih područja 2023-2028</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Intenzifikacija poljoprivrede bez ekoloških ograničenja; slabi ekoloski kriterijumi za subvencije</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Degradacija tla, gubitak oprašivača, eutrofikacija, gubitak tradicionalnih staništa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Pojačati agro-ekološke mjere; smanjiti pesticide; uvesti „zelene kriterijume“ svih subvencija</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lastRenderedPageBreak/>
              <w:t>Strategija razvoja šuma i šumarstva Crne Gore za period 2024-2028</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Fokus na eksploataciju i komercijalne prinose umjesto na ekosistemsko upravljanje</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Gubitak staništa, smanjenje diverziteta, erozija, fragmentacija šumskih koridora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Ekosistemsko gazdovanje; zaštita starih šuma; integracija koridora i Natura/Emerald kriterijuma u gazdinske planove</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b/>
                <w:bCs/>
                <w:sz w:val="18"/>
                <w:szCs w:val="18"/>
                <w:lang w:val="nl"/>
              </w:rPr>
            </w:pPr>
            <w:r w:rsidRPr="00721DEF">
              <w:rPr>
                <w:rFonts w:ascii="Arial" w:eastAsia="Times New Roman" w:hAnsi="Arial" w:cs="Arial"/>
                <w:b/>
                <w:bCs/>
                <w:color w:val="000000"/>
                <w:sz w:val="18"/>
                <w:szCs w:val="18"/>
                <w:lang w:val="nl"/>
              </w:rPr>
              <w:t>Strategija upravljanja vodama</w:t>
            </w:r>
            <w:r w:rsidRPr="00721DEF">
              <w:rPr>
                <w:rFonts w:ascii="Arial" w:eastAsia="Times New Roman" w:hAnsi="Arial" w:cs="Arial"/>
                <w:b/>
                <w:bCs/>
                <w:sz w:val="18"/>
                <w:szCs w:val="18"/>
                <w:lang w:val="nl"/>
              </w:rPr>
              <w:t xml:space="preserve"> do 2035.godine</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Vodoprivreda često primarno tehnički pristup (regulacije, nasipi) bez ekoloških standarda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Fragmentacija rijeka, gubitak močvara, ugrožavanje ribljih populacija i migracija </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color w:val="000000"/>
                <w:sz w:val="18"/>
                <w:szCs w:val="18"/>
                <w:lang w:val="nl"/>
              </w:rPr>
              <w:t>Uvođenje obaveznih ekoloških protoka; zaštita riječnih koridora; zabrana destruktivnih radova u ključnim staništima</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Strategija razvoja ribarstva 2024-2029 s Akcionim planom</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Intenzifikacija ribolova i akvakulture bez ekosistemskih limita; nedovoljna integracija sa morskim zasticenim podrucjima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Prelov zaštićenih vrsta, eutrofikacija, pritisak na riblje fondove, degradacija pridnenih stanista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Uvođenje ekosistemskog pristupa upravljanju ribarstvom; zaštita mrijestilišta i “nursery” zona; ograničenja ribolova u MPA; održiva marikultura</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Strategija razvoja pomorske privrede 2020-2030. sa Akcionim planom 2020-2021.</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Prioritet ekonomskom razvoju luka i saobraćaja bez dovoljnog uključivanja ekoloških kriterijuma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Podvodna buka, sudari sa morskim sisarima, balastne vode, zagađenje, širenje invazivnih vrsta,  degradacija dna i obale</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Integracija ekoloških zona u prostorni plan mora; stroža kontrola balastnih voda; biosigurnosni protokoli i monitoring</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b/>
                <w:bCs/>
                <w:sz w:val="18"/>
                <w:szCs w:val="18"/>
                <w:lang w:val="nl"/>
              </w:rPr>
              <w:t>Strategija razvoja saobraćaja 2019-2035. godine s preliminarnim Akcionim planom za 2026-2027. godine</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Razvoj saobraćajne infrastrukture prioritetno se planira u funkciji povezanosti i ekonomskog rasta, bez sistematske integracije ciljeva očuvanja i obnove biodiverziteta i vodjenja racuna o postojecim vrijednim ili zasticenim podrucjima..</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Fragmentacija staništa, gubitak i degradacija kopnenih i obalnih ekosistema, povećani pritisci na osjetljive zone kao sto su nacionalni parkovi, Natura2000 stanista..</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sz w:val="18"/>
                <w:szCs w:val="18"/>
                <w:lang w:val="nl"/>
              </w:rPr>
            </w:pPr>
            <w:r w:rsidRPr="00721DEF">
              <w:rPr>
                <w:rFonts w:ascii="Arial" w:eastAsia="Times New Roman" w:hAnsi="Arial" w:cs="Arial"/>
                <w:sz w:val="18"/>
                <w:szCs w:val="18"/>
                <w:lang w:val="nl"/>
              </w:rPr>
              <w:t>Uspostaviti obaveznu integraciju ciljeva NSBAP-a u planiranje saobraćaja, te uvođenje obaveznih mjera izbjegavanja, minimizacije i restauracije ekosistema u svim fazama razvoja infrastrukture.</w:t>
            </w:r>
          </w:p>
        </w:tc>
      </w:tr>
      <w:tr w:rsidR="00721DEF" w:rsidRPr="00721DEF" w:rsidTr="00721DEF">
        <w:trPr>
          <w:trHeight w:val="20"/>
        </w:trPr>
        <w:tc>
          <w:tcPr>
            <w:tcW w:w="29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b/>
                <w:bCs/>
                <w:color w:val="000000"/>
                <w:sz w:val="18"/>
                <w:szCs w:val="18"/>
                <w:lang w:val="nl"/>
              </w:rPr>
            </w:pPr>
            <w:r w:rsidRPr="00721DEF">
              <w:rPr>
                <w:rFonts w:ascii="Arial" w:eastAsia="Times New Roman" w:hAnsi="Arial" w:cs="Arial"/>
                <w:b/>
                <w:bCs/>
                <w:sz w:val="18"/>
                <w:szCs w:val="18"/>
                <w:lang w:val="nl"/>
              </w:rPr>
              <w:t>Nacionalna strategija cirkularne tranzicije do 2030.</w:t>
            </w:r>
          </w:p>
        </w:tc>
        <w:tc>
          <w:tcPr>
            <w:tcW w:w="31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sz w:val="18"/>
                <w:szCs w:val="18"/>
                <w:lang w:val="nl"/>
              </w:rPr>
              <w:t>Biodiverzitet se razmatra implicitno, ali bez jasnih, obavezujućih ciljeva očuvanja i bez sistematske veze sa zastitom i obnovom.</w:t>
            </w:r>
          </w:p>
        </w:tc>
        <w:tc>
          <w:tcPr>
            <w:tcW w:w="3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sz w:val="18"/>
                <w:szCs w:val="18"/>
                <w:lang w:val="nl"/>
              </w:rPr>
              <w:t>Pozitivan indirektan efekat kroz smanjenje otpada, zagađenja i pritiska na resurse.</w:t>
            </w:r>
          </w:p>
        </w:tc>
        <w:tc>
          <w:tcPr>
            <w:tcW w:w="42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721DEF" w:rsidRPr="00721DEF" w:rsidRDefault="00721DEF" w:rsidP="00721DEF">
            <w:pPr>
              <w:spacing w:before="120" w:after="120" w:line="276" w:lineRule="auto"/>
              <w:rPr>
                <w:rFonts w:ascii="Arial" w:eastAsia="Times New Roman" w:hAnsi="Arial" w:cs="Arial"/>
                <w:color w:val="000000"/>
                <w:sz w:val="18"/>
                <w:szCs w:val="18"/>
                <w:lang w:val="nl"/>
              </w:rPr>
            </w:pPr>
            <w:r w:rsidRPr="00721DEF">
              <w:rPr>
                <w:rFonts w:ascii="Arial" w:eastAsia="Times New Roman" w:hAnsi="Arial" w:cs="Arial"/>
                <w:sz w:val="18"/>
                <w:szCs w:val="18"/>
                <w:lang w:val="nl"/>
              </w:rPr>
              <w:t xml:space="preserve">Jasno integrisati ciljeve </w:t>
            </w:r>
            <w:r w:rsidR="0073617E">
              <w:rPr>
                <w:rFonts w:ascii="Arial" w:eastAsia="Times New Roman" w:hAnsi="Arial" w:cs="Arial"/>
                <w:sz w:val="18"/>
                <w:szCs w:val="18"/>
                <w:lang w:val="nl"/>
              </w:rPr>
              <w:t>NSBAP</w:t>
            </w:r>
            <w:r w:rsidRPr="00721DEF">
              <w:rPr>
                <w:rFonts w:ascii="Arial" w:eastAsia="Times New Roman" w:hAnsi="Arial" w:cs="Arial"/>
                <w:sz w:val="18"/>
                <w:szCs w:val="18"/>
                <w:lang w:val="nl"/>
              </w:rPr>
              <w:t>-a  u ciljeve i mjere Strategije, kroz azuranje akcionog plana - uvesti eksplicitne mjere za očuvanje i obnovu ekosistema, „biodiversity-proofing“ cirkularnih mjera i praćenje uticaja na staništa i vrste.</w:t>
            </w:r>
          </w:p>
        </w:tc>
      </w:tr>
    </w:tbl>
    <w:p w:rsidR="00C90628" w:rsidRDefault="00C90628">
      <w:pPr>
        <w:pBdr>
          <w:top w:val="nil"/>
          <w:left w:val="nil"/>
          <w:bottom w:val="nil"/>
          <w:right w:val="nil"/>
          <w:between w:val="nil"/>
        </w:pBdr>
        <w:spacing w:after="0"/>
        <w:rPr>
          <w:rFonts w:ascii="Arial" w:eastAsia="Arial" w:hAnsi="Arial" w:cs="Arial"/>
          <w:b/>
          <w:bCs/>
        </w:rPr>
        <w:sectPr w:rsidR="00C90628">
          <w:headerReference w:type="default" r:id="rId40"/>
          <w:footerReference w:type="default" r:id="rId41"/>
          <w:pgSz w:w="16838" w:h="11906" w:orient="landscape"/>
          <w:pgMar w:top="1440" w:right="1440" w:bottom="1440" w:left="1440" w:header="708" w:footer="708" w:gutter="0"/>
          <w:pgNumType w:start="1"/>
          <w:cols w:space="720"/>
        </w:sectPr>
      </w:pPr>
    </w:p>
    <w:p w:rsidR="00721DEF" w:rsidRDefault="00721DEF">
      <w:pPr>
        <w:pBdr>
          <w:top w:val="nil"/>
          <w:left w:val="nil"/>
          <w:bottom w:val="nil"/>
          <w:right w:val="nil"/>
          <w:between w:val="nil"/>
        </w:pBdr>
        <w:spacing w:after="0"/>
        <w:rPr>
          <w:rFonts w:ascii="Arial" w:eastAsia="Arial" w:hAnsi="Arial" w:cs="Arial"/>
          <w:b/>
          <w:bCs/>
          <w:color w:val="000000"/>
        </w:rPr>
      </w:pPr>
    </w:p>
    <w:p w:rsidR="00D14804" w:rsidRPr="00D865A2" w:rsidRDefault="00E47E1B" w:rsidP="00D865A2">
      <w:pPr>
        <w:pStyle w:val="Heading2"/>
        <w:rPr>
          <w:rFonts w:ascii="Arial" w:eastAsia="Arial" w:hAnsi="Arial" w:cs="Arial"/>
          <w:sz w:val="28"/>
          <w:szCs w:val="28"/>
        </w:rPr>
      </w:pPr>
      <w:bookmarkStart w:id="49" w:name="_Toc222754398"/>
      <w:r w:rsidRPr="00D865A2">
        <w:rPr>
          <w:rFonts w:ascii="Arial" w:eastAsia="Arial" w:hAnsi="Arial" w:cs="Arial"/>
          <w:sz w:val="28"/>
          <w:szCs w:val="28"/>
        </w:rPr>
        <w:t xml:space="preserve">Prilog </w:t>
      </w:r>
      <w:r w:rsidR="00800757">
        <w:rPr>
          <w:rFonts w:ascii="Arial" w:eastAsia="Arial" w:hAnsi="Arial" w:cs="Arial"/>
          <w:sz w:val="28"/>
          <w:szCs w:val="28"/>
        </w:rPr>
        <w:t>II</w:t>
      </w:r>
      <w:bookmarkEnd w:id="49"/>
    </w:p>
    <w:p w:rsidR="00D14804" w:rsidRPr="00800757" w:rsidRDefault="00D865A2" w:rsidP="00F173F5">
      <w:pPr>
        <w:pStyle w:val="Heading3"/>
        <w:rPr>
          <w:rFonts w:ascii="Arial" w:eastAsia="Arial" w:hAnsi="Arial" w:cs="Arial"/>
          <w:b w:val="0"/>
          <w:sz w:val="26"/>
          <w:szCs w:val="26"/>
        </w:rPr>
      </w:pPr>
      <w:bookmarkStart w:id="50" w:name="_Toc222754399"/>
      <w:r w:rsidRPr="00F173F5">
        <w:rPr>
          <w:rFonts w:ascii="Arial" w:eastAsia="Arial" w:hAnsi="Arial" w:cs="Arial"/>
          <w:sz w:val="26"/>
          <w:szCs w:val="26"/>
        </w:rPr>
        <w:t>Tabela 02</w:t>
      </w:r>
      <w:r w:rsidR="00E47E1B" w:rsidRPr="00F173F5">
        <w:rPr>
          <w:rFonts w:ascii="Arial" w:eastAsia="Arial" w:hAnsi="Arial" w:cs="Arial"/>
          <w:sz w:val="26"/>
          <w:szCs w:val="26"/>
        </w:rPr>
        <w:t xml:space="preserve"> </w:t>
      </w:r>
      <w:r w:rsidR="00E47E1B" w:rsidRPr="00800757">
        <w:rPr>
          <w:rFonts w:ascii="Arial" w:eastAsia="Arial" w:hAnsi="Arial" w:cs="Arial"/>
          <w:b w:val="0"/>
          <w:sz w:val="26"/>
          <w:szCs w:val="26"/>
        </w:rPr>
        <w:t xml:space="preserve">– </w:t>
      </w:r>
      <w:r w:rsidRPr="00800757">
        <w:rPr>
          <w:rFonts w:ascii="Arial" w:hAnsi="Arial" w:cs="Arial"/>
          <w:b w:val="0"/>
          <w:sz w:val="26"/>
          <w:szCs w:val="26"/>
          <w:lang w:val="nl"/>
        </w:rPr>
        <w:t>Relacija NSBAP 2026-2031 sa r</w:t>
      </w:r>
      <w:r w:rsidR="00F173F5" w:rsidRPr="00800757">
        <w:rPr>
          <w:rFonts w:ascii="Arial" w:eastAsia="Arial" w:hAnsi="Arial" w:cs="Arial"/>
          <w:b w:val="0"/>
          <w:sz w:val="26"/>
          <w:szCs w:val="26"/>
        </w:rPr>
        <w:t xml:space="preserve">elevantnim </w:t>
      </w:r>
      <w:r w:rsidR="00E47E1B" w:rsidRPr="00800757">
        <w:rPr>
          <w:rFonts w:ascii="Arial" w:eastAsia="Arial" w:hAnsi="Arial" w:cs="Arial"/>
          <w:b w:val="0"/>
          <w:sz w:val="26"/>
          <w:szCs w:val="26"/>
        </w:rPr>
        <w:t>zakon</w:t>
      </w:r>
      <w:r w:rsidR="00F173F5" w:rsidRPr="00800757">
        <w:rPr>
          <w:rFonts w:ascii="Arial" w:eastAsia="Arial" w:hAnsi="Arial" w:cs="Arial"/>
          <w:b w:val="0"/>
          <w:sz w:val="26"/>
          <w:szCs w:val="26"/>
        </w:rPr>
        <w:t>skim okvirom</w:t>
      </w:r>
      <w:r w:rsidR="00E47E1B" w:rsidRPr="00800757">
        <w:rPr>
          <w:rFonts w:ascii="Arial" w:eastAsia="Arial" w:hAnsi="Arial" w:cs="Arial"/>
          <w:b w:val="0"/>
          <w:sz w:val="26"/>
          <w:szCs w:val="26"/>
        </w:rPr>
        <w:t xml:space="preserve"> i n</w:t>
      </w:r>
      <w:r w:rsidR="00F173F5" w:rsidRPr="00800757">
        <w:rPr>
          <w:rFonts w:ascii="Arial" w:eastAsia="Arial" w:hAnsi="Arial" w:cs="Arial"/>
          <w:b w:val="0"/>
          <w:sz w:val="26"/>
          <w:szCs w:val="26"/>
        </w:rPr>
        <w:t>jihova veza sa GBF</w:t>
      </w:r>
      <w:bookmarkEnd w:id="50"/>
    </w:p>
    <w:tbl>
      <w:tblPr>
        <w:tblStyle w:val="a5"/>
        <w:tblW w:w="13782" w:type="dxa"/>
        <w:tblLayout w:type="fixed"/>
        <w:tblLook w:val="0400" w:firstRow="0" w:lastRow="0" w:firstColumn="0" w:lastColumn="0" w:noHBand="0" w:noVBand="1"/>
      </w:tblPr>
      <w:tblGrid>
        <w:gridCol w:w="2281"/>
        <w:gridCol w:w="1704"/>
        <w:gridCol w:w="2826"/>
        <w:gridCol w:w="2668"/>
        <w:gridCol w:w="2875"/>
        <w:gridCol w:w="1428"/>
      </w:tblGrid>
      <w:tr w:rsidR="00D14804" w:rsidTr="00721DEF">
        <w:trPr>
          <w:trHeight w:val="964"/>
        </w:trPr>
        <w:tc>
          <w:tcPr>
            <w:tcW w:w="2281"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Naziv zakona / SL</w:t>
            </w:r>
          </w:p>
        </w:tc>
        <w:tc>
          <w:tcPr>
            <w:tcW w:w="1704"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Nadležna institucija</w:t>
            </w:r>
          </w:p>
        </w:tc>
        <w:tc>
          <w:tcPr>
            <w:tcW w:w="2826"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Šta uređuje:</w:t>
            </w:r>
          </w:p>
        </w:tc>
        <w:tc>
          <w:tcPr>
            <w:tcW w:w="2668"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Problemi u praksi</w:t>
            </w:r>
          </w:p>
        </w:tc>
        <w:tc>
          <w:tcPr>
            <w:tcW w:w="2875"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Konflikti u normativi</w:t>
            </w:r>
          </w:p>
        </w:tc>
        <w:tc>
          <w:tcPr>
            <w:tcW w:w="1428"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Veza sa KM-GBF</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zaštiti prirode („SL CG“ 54/16, 18/19)</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 upravljaci</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Osnovni pravni okvir,</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Zaštićena područja, Ekološku mrežu- Natura 2000, monitoring, izradu Strategije biodiverziteta</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Lokalne AP biodiverziteta</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Crvene liste</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Nedovoljni kapaciteti, slab monitoring, slaba integracija sektora biodiverziteta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izuzeci zahtijevaju strogu kontrolu i primjenu ovog Zakona u izradi planova i programa kada mogu imati negativni uticaj</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T1–T5, T12, T14,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životnoj sredini („SL CG“ 52/16)</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 Opštine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Horizontalni okvir,</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zaštita resursa instrumenti zaštite SPU i PU, control zagađenja, uspostavljanje informacionog sistema/monitoring</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Normativno usklađen; izazovi u implementaciji, Nepotpuni podaci, posebno u izradi procjena, slab monitoring</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konflikta -, sektorski pritisci na ekosisteme kroz neplanske zahvate</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procjeni uticaja („SL CG“ 75/18, 59/21)</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Postupak PU, izrada Elaborata, alternativna rješenja, uticaji na vrste i staništa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Neprecizni kriterijumi, slabi elaborati, slab monitoring, nedostaci podataka za nulto satnje</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konflikt -Nedovoljno definisani kriterijumi “značajnog uticaja”, formalne javne konsultacije, nedosljednost I neprecizna definisanost u praćenju projekta I primjeni mjera zaštite</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strateškoj procjeni („SL CG“ 94/24)</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Izrada SPU za planove, programe i strategije, procjena dugoročnog uticaja na prirodu, varijantna rješenja, javnost</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Nejasni kriterijumi, nedovoljno razrađene varijante, slab monitoring, nedostatak stručnosti u izradi</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konflikt - nedostaju standardi nultog stanja, kriterijumi značajnog uticaja, varijantna rješenja – varijanta nerealizovanja, praćenje uticaja nije dovoljno razrađeno</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T14–T15,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zaštiti morske sredine (“SL CG” 73/19)</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Zaštitu morske sredine, očuvanje zaštićenih područja u moru, Natura 2000, Barselonska Konvencija, MSFD, Strategija zaštite morske sredine</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Izazovi u implementaciji i primjeni, monitoring, primjeni IUOP, Plana hitnog djelovanja, medjusektorska kordinacija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konflikta - normativno usklađen, komplementaran - zakon je zaštitnog karaktera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T8, T11-12</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lastRenderedPageBreak/>
              <w:t>Zakon o nacionalnim parkovima („SL CG“ 39/16)</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JPNPCG; MERS</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Zaštita i upravljanje NP, planovi upravljanja, monitoring, režimi zaštite područja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Slab monitoring, pritisci turizma, ograničeni kapaciteti upravljača, nezavrsena </w:t>
            </w:r>
            <w:r>
              <w:rPr>
                <w:rFonts w:ascii="Arial" w:eastAsia="Arial" w:hAnsi="Arial" w:cs="Arial"/>
                <w:sz w:val="18"/>
                <w:szCs w:val="18"/>
              </w:rPr>
              <w:t>transformacija pravnog statusa preduzeca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konflikta - široko definisane djelatnosti, nedostatak buffer zona, upravljanje preko privrednog društva-zavisnost od prihoda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T7–T11,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vodama („SL RCG 27/07; SL CG 32/11…84/24“)</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 Uprava za vode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Upravljanje i zaštita voda, priobalnih ekosistema, ekološki protok, upravljanje slivovima, planovi upravljanja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Slaba primjena eko loškog protoka, fragmentacija ekosistema usljed hidroloških objekata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Privredne djelatnosti, Monitoring ekološkog statusa, nedovoljno definisana zaštita  vrsta i staništa, kompromis između razvoja i infrastrukture</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šumama („SL CG“ 77/24, 92/25)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 Uprava za šume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Zaštita i očuvanje, Gazdovanje šumama, definiše zaštitne šume, monitoring stanja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Bespravne sječe, slab nadzor, fragmentacija, ekonomski uticaji imaju prednost nad ekološkim funkcijama šuma, nedostatak monitoringa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Privredne djelatnosti, mmogućnost krčenja, sječe velikog intenziteta, prenamjene šuma, nedovoljno definisane ekosistemske usluge,</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T7–T11,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poljoprivredi („SL CG“ 56/09…59/21)</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 Savjetodavne službe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Razvoj poljoprivrede I ruralnih područja, agroekologija, genetički resursi</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Prekomjerna hemija, slaba primjena agro-mjera, usitnjenost posjeda, intenzivna poljoprivreda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Privredne djelatnosti, nedovoljno razrađene ekološke mjere za zaštitu vrsta I staništa, samnjenje poljoprivrednih površina u odnosu na zaštitu biodiverziteta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divljači i lovstvu („SL CG“ 52/08…51/25)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 Uprava za šume; Lovački savez</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Gazdovanje divljači, korišćenje lovišta, lovni planovi, odnos lovstva sa zaštićenim vrstama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Ograničeni kapaciteti, slab monitoring, konflikti interesa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Izuzeća za odstrel, prenesene funkcije korisnicima lovišta – preširoke nadležnosti, nedostatak revizije pdoataka o brojnosti</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stranim i invazivnim vrstama („SL CG“ 18/19)</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 Inspekcija</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Sprječavanje unošenja, uzgoja, držanja, stavljanja u promet rizici, zabrane, eradikacija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Ograničeni kapaciteti, dostupnost podataka, rano upozoravanje I odgovor</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 zakon je zaštitnog karaktera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T6, T1–T4,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Zakona o klimatskim promjenama</w:t>
            </w:r>
            <w:r>
              <w:rPr>
                <w:rFonts w:ascii="Arial" w:eastAsia="Arial" w:hAnsi="Arial" w:cs="Arial"/>
                <w:b/>
                <w:bCs/>
                <w:sz w:val="18"/>
                <w:szCs w:val="18"/>
              </w:rPr>
              <w:t xml:space="preserve"> („SL CG“, br. 149/2025)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Zaštita od negativnog uticaja KP, Mitigacija, adaptacija, klimatska neutralnost</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Slaba koordinacija, nedovoljno podataka, kapaciteti, integracija u sektorske politike, dostupnost podataka o emisijama, ponorima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 zakon je zaštitnog karaktera – čak je eksplicitno normirana zaštita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T7–T9, T1–T4, T8, T11–T12T19–T20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upravljanju otpadom („SL CG“ 34/24, 92/24)</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MERS; Agencija ZŽS; Opštine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Upravljanje otpadom, hijerarhija otpada, EPR, PRO, ciljevi sakupljanja, pripreme i reciklaže, sprječavanje nastanka i smanjenje deponovanja otpada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Slab nadzor, nedovoljna infrastruktura, divlje deponije, nepostojanje selektivnog prikupljanja u domaćinstvima,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 zakon je zaštitnog karaktera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T7–T9, T1–T4,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lastRenderedPageBreak/>
              <w:t>Zakon o uređenju prostora („SL CG“ 19/_25)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MPPDI; opštine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Planiranje prostora, izrada planskih dokumenata višeg I nižeg reda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Nejasni standardi ekoloških podloga, nedostatak podatak, slab uticaj SPU</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Nedostatak varijantnih rješenja, mehanizama kontrole primjene mjera zaštite u fazi sprovođenja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T14</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izgradnji objekata („SL CG“ 19/25)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MPPDI; Opštine; opštine; inspekcija</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Načini i uslovi građenja, izrada PU</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Biodiverzitet se rzmatra tek u procesu izrade PU, podaci zavise od ekoloških podloa I kavliteta Elaborata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Kvaliteta elaborate je ključan radi izbjegavanja konflikta ekonomskih nad ekološkim interesima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T7–T9,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morskom dobru (“SL CG” 14/92…40/11)</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JPUMD, MERS, MPŠV</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upravljanje, korišćenje, unapređenje i zaštitu morskog dobra (obala, morsko dno, unutrašnje, teritorijane vode, podmorje), upravljanje kroz javno preduzeće,</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Gradanja infrastructure u zoni morskog dobra bez postovanja linije obalnog odmaka, fragmentacija stanista, gubici morfoligije obale, pritisci anvrste</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Zastarelost I ne usklađenost sa savremenim propisima, od ICZM protokola pa nadalje, iako ima elemenata zastite koji se odnose na zabranu ispštanja štetnih materija, dozvoljava gradnju infrastructure u zoni morskog dobra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T7-T9</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Djelimicno</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energetici („SL CG“ 28/25)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MER; Reg AE</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Planiranje i razvoj energetskog sektora, izrada NECP</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Pritisci na staništa, vrste, ekosistem, slaba integracija ekoloških podataka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eksplicitnih odredbi o zaštiti staništa, vrsta I ekosistema; nema kumulativnih procjena uticaja velikih projekata</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T7–T9, T1–T4, potenc. T14–T15, T19–T20</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b/>
                <w:bCs/>
                <w:color w:val="000000"/>
                <w:sz w:val="18"/>
                <w:szCs w:val="18"/>
              </w:rPr>
              <w:t>Zakon o morskom ribarstvu (“SL CG” 69/25)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 IZBM; JPUMD; MP</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upravljanje, očuvanje i održivo korišćenje morskih živih resursa, uslove ribolova, ribolovnu flotu, sljedljivost proizvoda, zabrane i ograničenja radi zaštite ekosistema te posebne režime upravljanja na osjetljivim područjima</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Nadzor I kontrola ribolovne aktivnosti; operativnosti sistema monitoring; dostupnosti finansijskih i tehničkih resursa za praćenje stanja stokova i staništa</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u suštini, ali se posmatra kao privredna djelatnost</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T5-T6,</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T7-T9,</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 T11-T12, T19-T29</w:t>
            </w:r>
          </w:p>
        </w:tc>
      </w:tr>
      <w:tr w:rsidR="00D14804">
        <w:trPr>
          <w:trHeight w:val="964"/>
        </w:trPr>
        <w:tc>
          <w:tcPr>
            <w:tcW w:w="2281"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b/>
                <w:bCs/>
                <w:color w:val="000000"/>
                <w:sz w:val="18"/>
                <w:szCs w:val="18"/>
              </w:rPr>
            </w:pPr>
            <w:r>
              <w:rPr>
                <w:rFonts w:ascii="Arial" w:eastAsia="Arial" w:hAnsi="Arial" w:cs="Arial"/>
                <w:b/>
                <w:bCs/>
                <w:color w:val="000000"/>
                <w:sz w:val="18"/>
                <w:szCs w:val="18"/>
              </w:rPr>
              <w:t>Zakon o slatkovodnom ribarstvu I akvakulturi (“SL CG”</w:t>
            </w:r>
            <w:hyperlink r:id="rId42">
              <w:r>
                <w:rPr>
                  <w:rFonts w:ascii="Arial" w:eastAsia="Arial" w:hAnsi="Arial" w:cs="Arial"/>
                  <w:b/>
                  <w:bCs/>
                  <w:color w:val="1155CC"/>
                  <w:sz w:val="18"/>
                  <w:szCs w:val="18"/>
                  <w:u w:val="single"/>
                </w:rPr>
                <w:t xml:space="preserve"> </w:t>
              </w:r>
            </w:hyperlink>
            <w:r>
              <w:rPr>
                <w:rFonts w:ascii="Arial" w:eastAsia="Arial" w:hAnsi="Arial" w:cs="Arial"/>
                <w:b/>
                <w:bCs/>
                <w:color w:val="000000"/>
                <w:sz w:val="18"/>
                <w:szCs w:val="18"/>
              </w:rPr>
              <w:t> 17/18 i 69/25</w:t>
            </w:r>
          </w:p>
        </w:tc>
        <w:tc>
          <w:tcPr>
            <w:tcW w:w="1704"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MPŠV;</w:t>
            </w:r>
          </w:p>
        </w:tc>
        <w:tc>
          <w:tcPr>
            <w:tcW w:w="2826"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korišćenje, zaštita, očuvanje i ulova riba i drugih vodenih organizama u ribolovnim vodama, uslove za obavljanje akvakulture, upravljanje ribolovnim područjima, zabrane i zaštitne mjere</w:t>
            </w:r>
          </w:p>
        </w:tc>
        <w:tc>
          <w:tcPr>
            <w:tcW w:w="266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funkcionalne i opremljene ribočuvarske službe, nadzora, registri, koordinacija aktera, ilegalni ribolov, poribljavanje</w:t>
            </w:r>
          </w:p>
        </w:tc>
        <w:tc>
          <w:tcPr>
            <w:tcW w:w="2875"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Nema konflikata u suštini, ali se posmatra kao privredna djelatnost</w:t>
            </w:r>
          </w:p>
        </w:tc>
        <w:tc>
          <w:tcPr>
            <w:tcW w:w="1428" w:type="dxa"/>
            <w:tcBorders>
              <w:top w:val="single" w:sz="8" w:space="0" w:color="BFBFBF"/>
              <w:left w:val="single" w:sz="8" w:space="0" w:color="BFBFBF"/>
              <w:bottom w:val="single" w:sz="8" w:space="0" w:color="BFBFBF"/>
              <w:right w:val="single" w:sz="8" w:space="0" w:color="BFBFBF"/>
            </w:tcBorders>
            <w:tcMar>
              <w:top w:w="0" w:type="dxa"/>
              <w:left w:w="100" w:type="dxa"/>
              <w:bottom w:w="0" w:type="dxa"/>
              <w:right w:w="100" w:type="dxa"/>
            </w:tcMar>
          </w:tcPr>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T1–T4,</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T5-T9,</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T11-T12,</w:t>
            </w:r>
          </w:p>
          <w:p w:rsidR="00D14804" w:rsidRDefault="00E47E1B">
            <w:pPr>
              <w:pBdr>
                <w:top w:val="nil"/>
                <w:left w:val="nil"/>
                <w:bottom w:val="nil"/>
                <w:right w:val="nil"/>
                <w:between w:val="nil"/>
              </w:pBdr>
              <w:spacing w:after="0" w:line="240" w:lineRule="auto"/>
              <w:rPr>
                <w:rFonts w:ascii="Arial" w:eastAsia="Arial" w:hAnsi="Arial" w:cs="Arial"/>
                <w:color w:val="000000"/>
                <w:sz w:val="18"/>
                <w:szCs w:val="18"/>
              </w:rPr>
            </w:pPr>
            <w:r>
              <w:rPr>
                <w:rFonts w:ascii="Arial" w:eastAsia="Arial" w:hAnsi="Arial" w:cs="Arial"/>
                <w:color w:val="000000"/>
                <w:sz w:val="18"/>
                <w:szCs w:val="18"/>
              </w:rPr>
              <w:t>T19-T20</w:t>
            </w:r>
          </w:p>
        </w:tc>
      </w:tr>
    </w:tbl>
    <w:p w:rsidR="00D14804" w:rsidRDefault="00D14804">
      <w:pPr>
        <w:pBdr>
          <w:top w:val="nil"/>
          <w:left w:val="nil"/>
          <w:bottom w:val="nil"/>
          <w:right w:val="nil"/>
          <w:between w:val="nil"/>
        </w:pBdr>
        <w:spacing w:after="0"/>
        <w:rPr>
          <w:rFonts w:ascii="Arial" w:eastAsia="Arial" w:hAnsi="Arial" w:cs="Arial"/>
          <w:color w:val="000000"/>
          <w:sz w:val="18"/>
          <w:szCs w:val="18"/>
        </w:rPr>
      </w:pPr>
    </w:p>
    <w:p w:rsidR="00C90628" w:rsidRDefault="00C90628">
      <w:pPr>
        <w:spacing w:before="280" w:after="280" w:line="240" w:lineRule="auto"/>
        <w:rPr>
          <w:rFonts w:ascii="Arial" w:eastAsia="Arial" w:hAnsi="Arial" w:cs="Arial"/>
          <w:sz w:val="24"/>
          <w:szCs w:val="24"/>
        </w:rPr>
        <w:sectPr w:rsidR="00C90628">
          <w:pgSz w:w="16838" w:h="11906" w:orient="landscape"/>
          <w:pgMar w:top="1440" w:right="1440" w:bottom="1440" w:left="1440" w:header="708" w:footer="708" w:gutter="0"/>
          <w:pgNumType w:start="1"/>
          <w:cols w:space="720"/>
        </w:sectPr>
      </w:pPr>
    </w:p>
    <w:p w:rsidR="00D14804" w:rsidRDefault="00D14804">
      <w:pPr>
        <w:spacing w:before="280" w:after="280" w:line="240" w:lineRule="auto"/>
        <w:rPr>
          <w:rFonts w:ascii="Arial" w:eastAsia="Arial" w:hAnsi="Arial" w:cs="Arial"/>
          <w:sz w:val="24"/>
          <w:szCs w:val="24"/>
        </w:rPr>
      </w:pPr>
    </w:p>
    <w:p w:rsidR="00D14804" w:rsidRPr="00B462FA" w:rsidRDefault="005146B8" w:rsidP="005514DB">
      <w:pPr>
        <w:pStyle w:val="Heading2"/>
        <w:rPr>
          <w:rFonts w:ascii="Arial" w:hAnsi="Arial" w:cs="Arial"/>
          <w:sz w:val="32"/>
          <w:szCs w:val="32"/>
        </w:rPr>
      </w:pPr>
      <w:bookmarkStart w:id="51" w:name="_Toc222754400"/>
      <w:r w:rsidRPr="00B462FA">
        <w:rPr>
          <w:rFonts w:ascii="Arial" w:hAnsi="Arial" w:cs="Arial"/>
          <w:sz w:val="32"/>
          <w:szCs w:val="32"/>
        </w:rPr>
        <w:t xml:space="preserve">Prilog </w:t>
      </w:r>
      <w:r w:rsidR="0041151F">
        <w:rPr>
          <w:rFonts w:ascii="Arial" w:hAnsi="Arial" w:cs="Arial"/>
          <w:sz w:val="32"/>
          <w:szCs w:val="32"/>
        </w:rPr>
        <w:t>V</w:t>
      </w:r>
      <w:bookmarkEnd w:id="51"/>
    </w:p>
    <w:p w:rsidR="005146B8" w:rsidRPr="00B462FA" w:rsidRDefault="005146B8" w:rsidP="00B462FA">
      <w:pPr>
        <w:pStyle w:val="Heading3"/>
        <w:rPr>
          <w:rFonts w:ascii="Arial" w:hAnsi="Arial" w:cs="Arial"/>
          <w:sz w:val="26"/>
          <w:szCs w:val="26"/>
        </w:rPr>
      </w:pPr>
      <w:bookmarkStart w:id="52" w:name="_Toc222754401"/>
      <w:r w:rsidRPr="00B462FA">
        <w:rPr>
          <w:rFonts w:ascii="Arial" w:hAnsi="Arial" w:cs="Arial"/>
          <w:sz w:val="26"/>
          <w:szCs w:val="26"/>
        </w:rPr>
        <w:t xml:space="preserve">Tabela </w:t>
      </w:r>
      <w:r w:rsidR="00800757">
        <w:rPr>
          <w:rFonts w:ascii="Arial" w:hAnsi="Arial" w:cs="Arial"/>
          <w:sz w:val="26"/>
          <w:szCs w:val="26"/>
        </w:rPr>
        <w:t>0</w:t>
      </w:r>
      <w:r w:rsidRPr="00B462FA">
        <w:rPr>
          <w:rFonts w:ascii="Arial" w:hAnsi="Arial" w:cs="Arial"/>
          <w:sz w:val="26"/>
          <w:szCs w:val="26"/>
        </w:rPr>
        <w:t>3–</w:t>
      </w:r>
      <w:r w:rsidR="00B462FA">
        <w:rPr>
          <w:rFonts w:ascii="Arial" w:hAnsi="Arial" w:cs="Arial"/>
          <w:sz w:val="26"/>
          <w:szCs w:val="26"/>
        </w:rPr>
        <w:t xml:space="preserve"> Drvo problema -</w:t>
      </w:r>
      <w:r w:rsidRPr="00B462FA">
        <w:rPr>
          <w:rFonts w:ascii="Arial" w:hAnsi="Arial" w:cs="Arial"/>
          <w:sz w:val="26"/>
          <w:szCs w:val="26"/>
        </w:rPr>
        <w:t xml:space="preserve"> tabelarni prikaz</w:t>
      </w:r>
      <w:bookmarkEnd w:id="52"/>
    </w:p>
    <w:p w:rsidR="005514DB" w:rsidRDefault="005514DB" w:rsidP="005514DB">
      <w:pPr>
        <w:widowControl w:val="0"/>
        <w:pBdr>
          <w:top w:val="nil"/>
          <w:left w:val="nil"/>
          <w:bottom w:val="nil"/>
          <w:right w:val="nil"/>
          <w:between w:val="nil"/>
        </w:pBdr>
        <w:spacing w:after="0" w:line="276" w:lineRule="auto"/>
        <w:rPr>
          <w:rFonts w:ascii="Arial" w:eastAsia="Arial" w:hAnsi="Arial" w:cs="Arial"/>
          <w:color w:val="000000"/>
        </w:rPr>
      </w:pPr>
    </w:p>
    <w:tbl>
      <w:tblPr>
        <w:tblW w:w="13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9"/>
        <w:gridCol w:w="4913"/>
        <w:gridCol w:w="4762"/>
      </w:tblGrid>
      <w:tr w:rsidR="005514DB" w:rsidTr="005514DB">
        <w:tc>
          <w:tcPr>
            <w:tcW w:w="13994" w:type="dxa"/>
            <w:gridSpan w:val="3"/>
            <w:shd w:val="clear" w:color="auto" w:fill="E7E6E6" w:themeFill="background2"/>
          </w:tcPr>
          <w:p w:rsidR="005514DB" w:rsidRDefault="005514DB" w:rsidP="005514DB">
            <w:pPr>
              <w:spacing w:line="240" w:lineRule="auto"/>
              <w:rPr>
                <w:b/>
                <w:bCs/>
                <w:sz w:val="20"/>
                <w:szCs w:val="20"/>
              </w:rPr>
            </w:pPr>
            <w:r>
              <w:rPr>
                <w:b/>
                <w:bCs/>
                <w:sz w:val="20"/>
                <w:szCs w:val="20"/>
              </w:rPr>
              <w:t>DRVO PROBLEMA - TABELARNI PRIKAZ</w:t>
            </w:r>
          </w:p>
        </w:tc>
      </w:tr>
      <w:tr w:rsidR="005514DB" w:rsidTr="005514DB">
        <w:tc>
          <w:tcPr>
            <w:tcW w:w="13994" w:type="dxa"/>
            <w:gridSpan w:val="3"/>
            <w:shd w:val="clear" w:color="auto" w:fill="BDD7EE"/>
          </w:tcPr>
          <w:p w:rsidR="005514DB" w:rsidRDefault="005514DB" w:rsidP="005514DB">
            <w:pPr>
              <w:spacing w:line="240" w:lineRule="auto"/>
              <w:rPr>
                <w:b/>
                <w:bCs/>
                <w:sz w:val="20"/>
                <w:szCs w:val="20"/>
              </w:rPr>
            </w:pPr>
            <w:bookmarkStart w:id="53" w:name="_heading=h.e4l0ayxvbrt4" w:colFirst="0" w:colLast="0"/>
            <w:bookmarkEnd w:id="53"/>
            <w:r>
              <w:rPr>
                <w:b/>
                <w:bCs/>
                <w:sz w:val="20"/>
                <w:szCs w:val="20"/>
              </w:rPr>
              <w:t>POSLJEDICE HORIZONTALNOG PROBLEMA</w:t>
            </w:r>
          </w:p>
        </w:tc>
      </w:tr>
      <w:tr w:rsidR="005514DB" w:rsidTr="005514DB">
        <w:tc>
          <w:tcPr>
            <w:tcW w:w="13994" w:type="dxa"/>
            <w:gridSpan w:val="3"/>
            <w:shd w:val="clear" w:color="auto" w:fill="BDD7EE"/>
          </w:tcPr>
          <w:p w:rsidR="005514DB" w:rsidRPr="00092CEF" w:rsidRDefault="00A26374" w:rsidP="008166A6">
            <w:pPr>
              <w:numPr>
                <w:ilvl w:val="0"/>
                <w:numId w:val="3"/>
              </w:numPr>
              <w:pBdr>
                <w:top w:val="nil"/>
                <w:left w:val="nil"/>
                <w:bottom w:val="nil"/>
                <w:right w:val="nil"/>
                <w:between w:val="nil"/>
              </w:pBdr>
              <w:spacing w:after="0" w:line="240" w:lineRule="auto"/>
              <w:ind w:left="357" w:hanging="357"/>
              <w:rPr>
                <w:color w:val="000000"/>
                <w:sz w:val="20"/>
                <w:szCs w:val="20"/>
              </w:rPr>
            </w:pPr>
            <w:sdt>
              <w:sdtPr>
                <w:rPr>
                  <w:sz w:val="20"/>
                  <w:szCs w:val="20"/>
                </w:rPr>
                <w:tag w:val="goog_rdk_1"/>
                <w:id w:val="613228449"/>
              </w:sdtPr>
              <w:sdtEndPr/>
              <w:sdtContent>
                <w:r w:rsidR="005514DB" w:rsidRPr="00092CEF">
                  <w:rPr>
                    <w:color w:val="000000"/>
                    <w:sz w:val="20"/>
                    <w:szCs w:val="20"/>
                  </w:rPr>
                  <w:t xml:space="preserve">Neefektivno, neinkluzivno i nepravedno </w:t>
                </w:r>
              </w:sdtContent>
            </w:sdt>
            <w:r w:rsidR="005514DB" w:rsidRPr="00092CEF">
              <w:rPr>
                <w:color w:val="000000"/>
                <w:sz w:val="20"/>
                <w:szCs w:val="20"/>
              </w:rPr>
              <w:t>upravljanje biodiverzitetom i prirodnim resursima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sz w:val="20"/>
                <w:szCs w:val="20"/>
              </w:rPr>
              <w:t>Smanjenje ekonomskih i društvenih koristi usljed gubitka staništa i vrsta te narušavanja ekosistemskih usluga.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 xml:space="preserve">Ograničena sposobnost države da ispuni nacionalne i međunarodne </w:t>
            </w:r>
            <w:sdt>
              <w:sdtPr>
                <w:rPr>
                  <w:sz w:val="20"/>
                  <w:szCs w:val="20"/>
                </w:rPr>
                <w:tag w:val="goog_rdk_6"/>
                <w:id w:val="75132944"/>
              </w:sdtPr>
              <w:sdtEndPr/>
              <w:sdtContent>
                <w:r w:rsidRPr="00092CEF">
                  <w:rPr>
                    <w:color w:val="000000"/>
                    <w:sz w:val="20"/>
                    <w:szCs w:val="20"/>
                  </w:rPr>
                  <w:t xml:space="preserve">ciljeve </w:t>
                </w:r>
              </w:sdtContent>
            </w:sdt>
            <w:r w:rsidRPr="00092CEF">
              <w:rPr>
                <w:sz w:val="20"/>
                <w:szCs w:val="20"/>
              </w:rPr>
              <w:t>i</w:t>
            </w:r>
            <w:r w:rsidRPr="00092CEF">
              <w:rPr>
                <w:color w:val="000000"/>
                <w:sz w:val="20"/>
                <w:szCs w:val="20"/>
              </w:rPr>
              <w:t xml:space="preserve"> obaveze u oblasti biodiverziteta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Povećani rizici od neodrživih razvojnih odluka i dugoročnih ekoloških i ekonomskih troškova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Nedovoljno učešće javnosti, lokalnih zajednica i ranjivih grupa u procesima odlučivanja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Učestali konflikti između institucija i građana/ki koji proizilaze iz načina donošenja odluka o korišćenju prirodnih resursa</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Produbljivanje nepovjerenja javnosti i ključnih aktera u institucije</w:t>
            </w:r>
          </w:p>
          <w:p w:rsidR="005514DB" w:rsidRPr="00092CEF" w:rsidRDefault="005514DB" w:rsidP="008166A6">
            <w:pPr>
              <w:numPr>
                <w:ilvl w:val="0"/>
                <w:numId w:val="3"/>
              </w:numPr>
              <w:pBdr>
                <w:top w:val="nil"/>
                <w:left w:val="nil"/>
                <w:bottom w:val="nil"/>
                <w:right w:val="nil"/>
                <w:between w:val="nil"/>
              </w:pBdr>
              <w:spacing w:after="0" w:line="240" w:lineRule="auto"/>
              <w:ind w:left="357" w:hanging="357"/>
              <w:rPr>
                <w:color w:val="000000"/>
                <w:sz w:val="20"/>
                <w:szCs w:val="20"/>
              </w:rPr>
            </w:pPr>
            <w:r w:rsidRPr="00092CEF">
              <w:rPr>
                <w:color w:val="000000"/>
                <w:sz w:val="20"/>
                <w:szCs w:val="20"/>
              </w:rPr>
              <w:t>Povećana društvena nejednakost i nepravedna raspodjela koristi</w:t>
            </w:r>
            <w:sdt>
              <w:sdtPr>
                <w:rPr>
                  <w:sz w:val="20"/>
                  <w:szCs w:val="20"/>
                </w:rPr>
                <w:tag w:val="goog_rdk_9"/>
                <w:id w:val="1483331193"/>
              </w:sdtPr>
              <w:sdtEndPr/>
              <w:sdtContent>
                <w:r>
                  <w:rPr>
                    <w:color w:val="000000"/>
                    <w:sz w:val="20"/>
                    <w:szCs w:val="20"/>
                  </w:rPr>
                  <w:t xml:space="preserve">, </w:t>
                </w:r>
                <w:r w:rsidRPr="00092CEF">
                  <w:rPr>
                    <w:color w:val="000000"/>
                    <w:sz w:val="20"/>
                    <w:szCs w:val="20"/>
                  </w:rPr>
                  <w:t>smanjenje društvene kohezije</w:t>
                </w:r>
              </w:sdtContent>
            </w:sdt>
          </w:p>
          <w:p w:rsidR="005514DB" w:rsidRDefault="005514DB" w:rsidP="005514DB">
            <w:pPr>
              <w:spacing w:after="0" w:line="240" w:lineRule="auto"/>
              <w:rPr>
                <w:sz w:val="20"/>
                <w:szCs w:val="20"/>
              </w:rPr>
            </w:pPr>
          </w:p>
        </w:tc>
      </w:tr>
      <w:tr w:rsidR="005514DB" w:rsidTr="005514DB">
        <w:trPr>
          <w:trHeight w:val="841"/>
        </w:trPr>
        <w:tc>
          <w:tcPr>
            <w:tcW w:w="4319" w:type="dxa"/>
            <w:shd w:val="clear" w:color="auto" w:fill="DEEBF6"/>
            <w:vAlign w:val="center"/>
          </w:tcPr>
          <w:p w:rsidR="005514DB" w:rsidRDefault="005514DB" w:rsidP="005514DB">
            <w:pPr>
              <w:spacing w:line="240" w:lineRule="auto"/>
              <w:jc w:val="center"/>
              <w:rPr>
                <w:b/>
                <w:bCs/>
                <w:sz w:val="20"/>
                <w:szCs w:val="20"/>
              </w:rPr>
            </w:pPr>
            <w:r>
              <w:rPr>
                <w:b/>
                <w:bCs/>
                <w:sz w:val="20"/>
                <w:szCs w:val="20"/>
              </w:rPr>
              <w:t>POSLJEDICE PROBLEMA 1</w:t>
            </w:r>
          </w:p>
        </w:tc>
        <w:tc>
          <w:tcPr>
            <w:tcW w:w="4913" w:type="dxa"/>
            <w:shd w:val="clear" w:color="auto" w:fill="DEEBF6"/>
            <w:vAlign w:val="center"/>
          </w:tcPr>
          <w:p w:rsidR="005514DB" w:rsidRDefault="005514DB" w:rsidP="005514DB">
            <w:pPr>
              <w:spacing w:line="240" w:lineRule="auto"/>
              <w:jc w:val="center"/>
              <w:rPr>
                <w:b/>
                <w:bCs/>
                <w:sz w:val="20"/>
                <w:szCs w:val="20"/>
                <w:u w:val="single"/>
              </w:rPr>
            </w:pPr>
            <w:r>
              <w:rPr>
                <w:b/>
                <w:bCs/>
                <w:sz w:val="20"/>
                <w:szCs w:val="20"/>
              </w:rPr>
              <w:t>POSLJEDICE PROBLEMA 2</w:t>
            </w:r>
          </w:p>
        </w:tc>
        <w:tc>
          <w:tcPr>
            <w:tcW w:w="4762" w:type="dxa"/>
            <w:shd w:val="clear" w:color="auto" w:fill="DEEBF6"/>
            <w:vAlign w:val="center"/>
          </w:tcPr>
          <w:p w:rsidR="005514DB" w:rsidRDefault="005514DB" w:rsidP="005514DB">
            <w:pPr>
              <w:spacing w:line="240" w:lineRule="auto"/>
              <w:jc w:val="center"/>
              <w:rPr>
                <w:b/>
                <w:bCs/>
                <w:sz w:val="20"/>
                <w:szCs w:val="20"/>
              </w:rPr>
            </w:pPr>
            <w:r>
              <w:rPr>
                <w:b/>
                <w:bCs/>
                <w:sz w:val="20"/>
                <w:szCs w:val="20"/>
              </w:rPr>
              <w:t>POSLJEDICE PROBLEMA 3</w:t>
            </w:r>
          </w:p>
        </w:tc>
      </w:tr>
      <w:tr w:rsidR="005514DB" w:rsidTr="005514DB">
        <w:trPr>
          <w:trHeight w:val="841"/>
        </w:trPr>
        <w:tc>
          <w:tcPr>
            <w:tcW w:w="4319" w:type="dxa"/>
            <w:shd w:val="clear" w:color="auto" w:fill="DEEBF6"/>
          </w:tcPr>
          <w:p w:rsidR="005514DB" w:rsidRDefault="005514DB" w:rsidP="005514DB">
            <w:pPr>
              <w:spacing w:line="240" w:lineRule="auto"/>
              <w:rPr>
                <w:b/>
                <w:bCs/>
                <w:sz w:val="20"/>
                <w:szCs w:val="20"/>
                <w:u w:val="single"/>
              </w:rPr>
            </w:pPr>
            <w:r>
              <w:rPr>
                <w:b/>
                <w:bCs/>
                <w:sz w:val="20"/>
                <w:szCs w:val="20"/>
                <w:u w:val="single"/>
              </w:rPr>
              <w:t>Direktne posljedice</w:t>
            </w:r>
          </w:p>
          <w:p w:rsidR="005514DB" w:rsidRDefault="005514DB" w:rsidP="005514DB">
            <w:pPr>
              <w:spacing w:after="0" w:line="240" w:lineRule="auto"/>
              <w:rPr>
                <w:sz w:val="20"/>
                <w:szCs w:val="20"/>
              </w:rPr>
            </w:pPr>
            <w:r>
              <w:rPr>
                <w:sz w:val="20"/>
                <w:szCs w:val="20"/>
              </w:rPr>
              <w:t>– Gubitak, degradacija i fragmentacija rijetkih i ekološki značajnih ekosistema (kopnenih, slatkovodnih, obalnih i morskih)</w:t>
            </w:r>
            <w:r>
              <w:rPr>
                <w:sz w:val="20"/>
                <w:szCs w:val="20"/>
              </w:rPr>
              <w:br/>
              <w:t>– Smanjenje populacija konzervaciono značajnih vrsta, uključujući lokalna i regionalna izumiranja</w:t>
            </w:r>
            <w:r>
              <w:rPr>
                <w:sz w:val="20"/>
                <w:szCs w:val="20"/>
              </w:rPr>
              <w:br/>
              <w:t>– Smanjenje genetskog diverziteta divljih vrsta, posebno endemičnih i ugroženih</w:t>
            </w:r>
          </w:p>
          <w:p w:rsidR="005514DB" w:rsidRDefault="005514DB" w:rsidP="005514DB">
            <w:pPr>
              <w:spacing w:after="0" w:line="240" w:lineRule="auto"/>
              <w:rPr>
                <w:sz w:val="20"/>
                <w:szCs w:val="20"/>
              </w:rPr>
            </w:pPr>
            <w:r>
              <w:rPr>
                <w:sz w:val="20"/>
                <w:szCs w:val="20"/>
              </w:rPr>
              <w:lastRenderedPageBreak/>
              <w:t>– Poremećaj ekoloških interakcija i lanaca ishrane</w:t>
            </w:r>
            <w:r>
              <w:rPr>
                <w:sz w:val="20"/>
                <w:szCs w:val="20"/>
              </w:rPr>
              <w:br/>
              <w:t>– Smanjenje genetskog diverziteta domestifikovanih i autohtonih sorti i rasa</w:t>
            </w:r>
          </w:p>
          <w:p w:rsidR="005514DB" w:rsidRDefault="005514DB" w:rsidP="005514DB">
            <w:pPr>
              <w:spacing w:line="240" w:lineRule="auto"/>
              <w:rPr>
                <w:sz w:val="20"/>
                <w:szCs w:val="20"/>
              </w:rPr>
            </w:pPr>
          </w:p>
          <w:p w:rsidR="005514DB" w:rsidRDefault="005514DB" w:rsidP="005514DB">
            <w:pPr>
              <w:spacing w:line="240" w:lineRule="auto"/>
              <w:rPr>
                <w:b/>
                <w:bCs/>
                <w:sz w:val="20"/>
                <w:szCs w:val="20"/>
                <w:u w:val="single"/>
              </w:rPr>
            </w:pPr>
            <w:r>
              <w:rPr>
                <w:b/>
                <w:bCs/>
                <w:sz w:val="20"/>
                <w:szCs w:val="20"/>
                <w:u w:val="single"/>
              </w:rPr>
              <w:t>Krajnje posljedice</w:t>
            </w:r>
          </w:p>
          <w:p w:rsidR="005514DB" w:rsidRDefault="005514DB" w:rsidP="005514DB">
            <w:pPr>
              <w:spacing w:after="200" w:line="240" w:lineRule="auto"/>
              <w:rPr>
                <w:b/>
                <w:bCs/>
                <w:sz w:val="20"/>
                <w:szCs w:val="20"/>
              </w:rPr>
            </w:pPr>
            <w:r>
              <w:rPr>
                <w:sz w:val="20"/>
                <w:szCs w:val="20"/>
              </w:rPr>
              <w:t>– Trajno narušavanje strukture i funkcija ekosistema</w:t>
            </w:r>
            <w:r>
              <w:rPr>
                <w:sz w:val="20"/>
                <w:szCs w:val="20"/>
              </w:rPr>
              <w:br/>
              <w:t>– Gubitak prirodnog kapitala i smanjena otpornost ekosistema na klimatske promjene</w:t>
            </w:r>
            <w:r>
              <w:rPr>
                <w:sz w:val="20"/>
                <w:szCs w:val="20"/>
              </w:rPr>
              <w:br/>
              <w:t>– Dugoročno smanjenje ekološke stabilnosti i kapaciteta za prirodnu obnovu</w:t>
            </w:r>
          </w:p>
        </w:tc>
        <w:tc>
          <w:tcPr>
            <w:tcW w:w="4913" w:type="dxa"/>
            <w:shd w:val="clear" w:color="auto" w:fill="DEEBF6"/>
          </w:tcPr>
          <w:p w:rsidR="005514DB" w:rsidRDefault="005514DB" w:rsidP="005514DB">
            <w:pPr>
              <w:spacing w:line="240" w:lineRule="auto"/>
              <w:rPr>
                <w:b/>
                <w:bCs/>
                <w:sz w:val="20"/>
                <w:szCs w:val="20"/>
              </w:rPr>
            </w:pPr>
            <w:r>
              <w:rPr>
                <w:b/>
                <w:bCs/>
                <w:sz w:val="20"/>
                <w:szCs w:val="20"/>
                <w:u w:val="single"/>
              </w:rPr>
              <w:lastRenderedPageBreak/>
              <w:t>Direktne posljedice</w:t>
            </w:r>
          </w:p>
          <w:p w:rsidR="005514DB" w:rsidRDefault="005514DB" w:rsidP="005514DB">
            <w:pPr>
              <w:spacing w:after="0" w:line="240" w:lineRule="auto"/>
              <w:rPr>
                <w:sz w:val="20"/>
                <w:szCs w:val="20"/>
              </w:rPr>
            </w:pPr>
            <w:r>
              <w:rPr>
                <w:sz w:val="20"/>
                <w:szCs w:val="20"/>
              </w:rPr>
              <w:t>– Neostvarivanje ciljeva očuvanja vrsta, staništa i ekosistemskih funkcija u okviru formalnog sistema zaštite</w:t>
            </w:r>
            <w:r>
              <w:rPr>
                <w:sz w:val="20"/>
                <w:szCs w:val="20"/>
              </w:rPr>
              <w:br/>
              <w:t>– Slaba sposobnost sistema zaštite da odgovori na kumulativne antropogene pritiske i klimatske promjene</w:t>
            </w:r>
            <w:r>
              <w:rPr>
                <w:sz w:val="20"/>
                <w:szCs w:val="20"/>
              </w:rPr>
              <w:br/>
              <w:t>– Nedovoljna obnova degradiranih ekosistema</w:t>
            </w:r>
          </w:p>
          <w:p w:rsidR="005514DB" w:rsidRDefault="005514DB" w:rsidP="005514DB">
            <w:pPr>
              <w:spacing w:after="0" w:line="240" w:lineRule="auto"/>
              <w:rPr>
                <w:sz w:val="20"/>
                <w:szCs w:val="20"/>
              </w:rPr>
            </w:pPr>
            <w:r>
              <w:rPr>
                <w:sz w:val="20"/>
                <w:szCs w:val="20"/>
              </w:rPr>
              <w:t>– Mreža zaštićenih područja nije dovoljno reprezentativna, povezana i ekološki koherentna</w:t>
            </w:r>
          </w:p>
          <w:p w:rsidR="005514DB" w:rsidRDefault="005514DB" w:rsidP="005514DB">
            <w:pPr>
              <w:spacing w:line="240" w:lineRule="auto"/>
              <w:rPr>
                <w:b/>
                <w:bCs/>
                <w:sz w:val="20"/>
                <w:szCs w:val="20"/>
                <w:u w:val="single"/>
              </w:rPr>
            </w:pPr>
          </w:p>
          <w:p w:rsidR="005514DB" w:rsidRDefault="005514DB" w:rsidP="005514DB">
            <w:pPr>
              <w:spacing w:line="240" w:lineRule="auto"/>
              <w:rPr>
                <w:b/>
                <w:bCs/>
                <w:sz w:val="20"/>
                <w:szCs w:val="20"/>
                <w:u w:val="single"/>
              </w:rPr>
            </w:pPr>
          </w:p>
          <w:p w:rsidR="005514DB" w:rsidRDefault="005514DB" w:rsidP="005514DB">
            <w:pPr>
              <w:spacing w:line="240" w:lineRule="auto"/>
              <w:rPr>
                <w:b/>
                <w:bCs/>
                <w:sz w:val="20"/>
                <w:szCs w:val="20"/>
                <w:u w:val="single"/>
              </w:rPr>
            </w:pPr>
            <w:r>
              <w:rPr>
                <w:b/>
                <w:bCs/>
                <w:sz w:val="20"/>
                <w:szCs w:val="20"/>
                <w:u w:val="single"/>
              </w:rPr>
              <w:t>Krajnje posljedice</w:t>
            </w:r>
          </w:p>
          <w:p w:rsidR="005514DB" w:rsidRDefault="005514DB" w:rsidP="005514DB">
            <w:pPr>
              <w:spacing w:after="0" w:line="240" w:lineRule="auto"/>
              <w:rPr>
                <w:sz w:val="20"/>
                <w:szCs w:val="20"/>
              </w:rPr>
            </w:pPr>
            <w:r>
              <w:rPr>
                <w:sz w:val="20"/>
                <w:szCs w:val="20"/>
              </w:rPr>
              <w:t>– Smanjena efektivnost i legitimnost sistema zaštite prirode</w:t>
            </w:r>
            <w:r>
              <w:rPr>
                <w:sz w:val="20"/>
                <w:szCs w:val="20"/>
              </w:rPr>
              <w:br/>
              <w:t>– Gubitak povjerenja ključnih aktera u politike i mjere zaštite prirode</w:t>
            </w:r>
            <w:r>
              <w:rPr>
                <w:sz w:val="20"/>
                <w:szCs w:val="20"/>
              </w:rPr>
              <w:br/>
              <w:t>– Dugoročno slabljenje institucionalne uloge sistema zaštite prirode</w:t>
            </w:r>
          </w:p>
          <w:p w:rsidR="005514DB" w:rsidRDefault="005514DB" w:rsidP="005514DB">
            <w:pPr>
              <w:spacing w:after="0" w:line="240" w:lineRule="auto"/>
              <w:rPr>
                <w:sz w:val="20"/>
                <w:szCs w:val="20"/>
              </w:rPr>
            </w:pPr>
            <w:r>
              <w:rPr>
                <w:sz w:val="20"/>
                <w:szCs w:val="20"/>
              </w:rPr>
              <w:t>– Ograničena primjena mjera adaptacije na klimatske promjene u zaštićenim i osjetljivim područjima</w:t>
            </w:r>
          </w:p>
        </w:tc>
        <w:tc>
          <w:tcPr>
            <w:tcW w:w="4762" w:type="dxa"/>
            <w:shd w:val="clear" w:color="auto" w:fill="DEEBF6"/>
          </w:tcPr>
          <w:p w:rsidR="005514DB" w:rsidRDefault="005514DB" w:rsidP="005514DB">
            <w:pPr>
              <w:spacing w:line="240" w:lineRule="auto"/>
              <w:rPr>
                <w:b/>
                <w:bCs/>
                <w:sz w:val="20"/>
                <w:szCs w:val="20"/>
                <w:u w:val="single"/>
              </w:rPr>
            </w:pPr>
            <w:r>
              <w:rPr>
                <w:b/>
                <w:bCs/>
                <w:sz w:val="20"/>
                <w:szCs w:val="20"/>
                <w:u w:val="single"/>
              </w:rPr>
              <w:lastRenderedPageBreak/>
              <w:t>Direktne posljedice</w:t>
            </w:r>
          </w:p>
          <w:p w:rsidR="005514DB" w:rsidRDefault="005514DB" w:rsidP="005514DB">
            <w:pPr>
              <w:spacing w:line="240" w:lineRule="auto"/>
              <w:rPr>
                <w:sz w:val="20"/>
                <w:szCs w:val="20"/>
              </w:rPr>
            </w:pPr>
            <w:r>
              <w:rPr>
                <w:sz w:val="20"/>
                <w:szCs w:val="20"/>
              </w:rPr>
              <w:t>– Smanjenje populacija komercijalno značajnih vrsta</w:t>
            </w:r>
            <w:r>
              <w:rPr>
                <w:sz w:val="20"/>
                <w:szCs w:val="20"/>
              </w:rPr>
              <w:br/>
              <w:t>– Smanjenje resursne baze i produktivnosti ekosistema</w:t>
            </w:r>
            <w:r>
              <w:rPr>
                <w:sz w:val="20"/>
                <w:szCs w:val="20"/>
              </w:rPr>
              <w:br/>
              <w:t>– Smanjena sposobnost ekosistema da pružaju usluge snabdijevanja (hrana, sirovine, voda)</w:t>
            </w:r>
            <w:r>
              <w:rPr>
                <w:sz w:val="20"/>
                <w:szCs w:val="20"/>
              </w:rPr>
              <w:br/>
              <w:t>– Smanjena sposobnost ekosistema da pružaju regulacione i zaštitne usluge (zaštita od poplava, suša, erozije)</w:t>
            </w:r>
          </w:p>
          <w:p w:rsidR="005514DB" w:rsidRDefault="005514DB" w:rsidP="005514DB">
            <w:pPr>
              <w:spacing w:line="240" w:lineRule="auto"/>
              <w:rPr>
                <w:b/>
                <w:bCs/>
                <w:sz w:val="20"/>
                <w:szCs w:val="20"/>
                <w:u w:val="single"/>
              </w:rPr>
            </w:pPr>
          </w:p>
          <w:p w:rsidR="005514DB" w:rsidRDefault="005514DB" w:rsidP="005514DB">
            <w:pPr>
              <w:spacing w:line="240" w:lineRule="auto"/>
              <w:rPr>
                <w:b/>
                <w:bCs/>
                <w:sz w:val="20"/>
                <w:szCs w:val="20"/>
                <w:u w:val="single"/>
              </w:rPr>
            </w:pPr>
          </w:p>
          <w:p w:rsidR="005514DB" w:rsidRDefault="005514DB" w:rsidP="005514DB">
            <w:pPr>
              <w:spacing w:line="240" w:lineRule="auto"/>
              <w:rPr>
                <w:b/>
                <w:bCs/>
                <w:sz w:val="20"/>
                <w:szCs w:val="20"/>
                <w:u w:val="single"/>
              </w:rPr>
            </w:pPr>
            <w:r>
              <w:rPr>
                <w:b/>
                <w:bCs/>
                <w:sz w:val="20"/>
                <w:szCs w:val="20"/>
                <w:u w:val="single"/>
              </w:rPr>
              <w:t>Krajnje posljedice</w:t>
            </w:r>
          </w:p>
          <w:p w:rsidR="005514DB" w:rsidRDefault="005514DB" w:rsidP="005514DB">
            <w:pPr>
              <w:spacing w:after="0" w:line="240" w:lineRule="auto"/>
              <w:rPr>
                <w:sz w:val="20"/>
                <w:szCs w:val="20"/>
              </w:rPr>
            </w:pPr>
            <w:r>
              <w:rPr>
                <w:sz w:val="20"/>
                <w:szCs w:val="20"/>
              </w:rPr>
              <w:t>– Smanjeni ekonomski i društveni potencijali razvoja zasnovani na održivom korišćenju biodiverziteta</w:t>
            </w:r>
            <w:r>
              <w:rPr>
                <w:sz w:val="20"/>
                <w:szCs w:val="20"/>
              </w:rPr>
              <w:br/>
              <w:t>– Povećani dugoročni troškovi degradacije ekosistema i sanacije šteta</w:t>
            </w:r>
            <w:r>
              <w:rPr>
                <w:sz w:val="20"/>
                <w:szCs w:val="20"/>
              </w:rPr>
              <w:br/>
              <w:t>– Povećana ranjivost društva i ekonomije na klimatske promjene i prirodne nepogode</w:t>
            </w:r>
          </w:p>
          <w:p w:rsidR="005514DB" w:rsidRDefault="005514DB" w:rsidP="005514DB">
            <w:pPr>
              <w:spacing w:after="0" w:line="240" w:lineRule="auto"/>
              <w:rPr>
                <w:sz w:val="20"/>
                <w:szCs w:val="20"/>
              </w:rPr>
            </w:pPr>
            <w:r>
              <w:rPr>
                <w:sz w:val="20"/>
                <w:szCs w:val="20"/>
              </w:rPr>
              <w:t xml:space="preserve">– Smanjena otpornost lokalnih </w:t>
            </w:r>
            <w:sdt>
              <w:sdtPr>
                <w:tag w:val="goog_rdk_13"/>
                <w:id w:val="-2073108410"/>
              </w:sdtPr>
              <w:sdtEndPr/>
              <w:sdtContent>
                <w:r>
                  <w:rPr>
                    <w:sz w:val="20"/>
                    <w:szCs w:val="20"/>
                  </w:rPr>
                  <w:t>z</w:t>
                </w:r>
              </w:sdtContent>
            </w:sdt>
            <w:r>
              <w:rPr>
                <w:sz w:val="20"/>
                <w:szCs w:val="20"/>
              </w:rPr>
              <w:t>ajednica i ekonomija zavisnih od prirodnih resursa</w:t>
            </w:r>
          </w:p>
          <w:p w:rsidR="005514DB" w:rsidRDefault="005514DB" w:rsidP="005514DB">
            <w:pPr>
              <w:spacing w:after="200" w:line="240" w:lineRule="auto"/>
              <w:rPr>
                <w:sz w:val="20"/>
                <w:szCs w:val="20"/>
              </w:rPr>
            </w:pPr>
          </w:p>
        </w:tc>
      </w:tr>
      <w:tr w:rsidR="005514DB" w:rsidTr="005514DB">
        <w:tc>
          <w:tcPr>
            <w:tcW w:w="13994" w:type="dxa"/>
            <w:gridSpan w:val="3"/>
            <w:shd w:val="clear" w:color="auto" w:fill="F7CBAC"/>
            <w:vAlign w:val="center"/>
          </w:tcPr>
          <w:p w:rsidR="005514DB" w:rsidRDefault="005514DB" w:rsidP="005514DB">
            <w:pPr>
              <w:spacing w:after="200" w:line="276" w:lineRule="auto"/>
              <w:jc w:val="center"/>
              <w:rPr>
                <w:b/>
                <w:bCs/>
                <w:sz w:val="20"/>
                <w:szCs w:val="20"/>
                <w:u w:val="single"/>
              </w:rPr>
            </w:pPr>
            <w:r>
              <w:rPr>
                <w:b/>
                <w:bCs/>
                <w:sz w:val="20"/>
                <w:szCs w:val="20"/>
                <w:u w:val="single"/>
              </w:rPr>
              <w:lastRenderedPageBreak/>
              <w:t xml:space="preserve">KROVNI PROBLEM </w:t>
            </w:r>
          </w:p>
        </w:tc>
      </w:tr>
      <w:tr w:rsidR="005514DB" w:rsidTr="005514DB">
        <w:tc>
          <w:tcPr>
            <w:tcW w:w="13994" w:type="dxa"/>
            <w:gridSpan w:val="3"/>
            <w:shd w:val="clear" w:color="auto" w:fill="F7CBAC"/>
          </w:tcPr>
          <w:p w:rsidR="005514DB" w:rsidRDefault="005514DB" w:rsidP="005514DB">
            <w:pPr>
              <w:spacing w:line="276" w:lineRule="auto"/>
              <w:jc w:val="center"/>
              <w:rPr>
                <w:b/>
                <w:bCs/>
                <w:sz w:val="23"/>
                <w:szCs w:val="23"/>
              </w:rPr>
            </w:pPr>
            <w:r>
              <w:rPr>
                <w:b/>
                <w:bCs/>
                <w:sz w:val="23"/>
                <w:szCs w:val="23"/>
              </w:rPr>
              <w:t>Biodiverzitet Crne Gore bilježi trend smanjenja na genetičkom nivou, kao i na nivou vrsta i ekosistema, što dovodi do slabljenja ekosistemskih funkcija, njihove otpornosti i sposobnosti da obezbijede usluge od značaja za održivi razvoj društva</w:t>
            </w:r>
          </w:p>
        </w:tc>
      </w:tr>
      <w:tr w:rsidR="005514DB" w:rsidTr="005514DB">
        <w:tc>
          <w:tcPr>
            <w:tcW w:w="4319" w:type="dxa"/>
            <w:shd w:val="clear" w:color="auto" w:fill="FBE5D5"/>
            <w:vAlign w:val="center"/>
          </w:tcPr>
          <w:p w:rsidR="005514DB" w:rsidRDefault="005514DB" w:rsidP="005514DB">
            <w:pPr>
              <w:spacing w:after="200" w:line="276" w:lineRule="auto"/>
              <w:jc w:val="center"/>
              <w:rPr>
                <w:b/>
                <w:bCs/>
                <w:sz w:val="20"/>
                <w:szCs w:val="20"/>
                <w:u w:val="single"/>
              </w:rPr>
            </w:pPr>
            <w:r>
              <w:rPr>
                <w:b/>
                <w:bCs/>
                <w:sz w:val="20"/>
                <w:szCs w:val="20"/>
                <w:u w:val="single"/>
              </w:rPr>
              <w:t>PROBLEM 1</w:t>
            </w:r>
          </w:p>
        </w:tc>
        <w:tc>
          <w:tcPr>
            <w:tcW w:w="4913" w:type="dxa"/>
            <w:shd w:val="clear" w:color="auto" w:fill="FBE5D5"/>
            <w:vAlign w:val="center"/>
          </w:tcPr>
          <w:p w:rsidR="005514DB" w:rsidRDefault="005514DB" w:rsidP="005514DB">
            <w:pPr>
              <w:spacing w:after="200" w:line="276" w:lineRule="auto"/>
              <w:jc w:val="center"/>
              <w:rPr>
                <w:b/>
                <w:bCs/>
                <w:sz w:val="20"/>
                <w:szCs w:val="20"/>
                <w:u w:val="single"/>
              </w:rPr>
            </w:pPr>
            <w:r>
              <w:rPr>
                <w:b/>
                <w:bCs/>
                <w:sz w:val="20"/>
                <w:szCs w:val="20"/>
                <w:u w:val="single"/>
              </w:rPr>
              <w:t>PROBLEM 2</w:t>
            </w:r>
          </w:p>
        </w:tc>
        <w:tc>
          <w:tcPr>
            <w:tcW w:w="4762" w:type="dxa"/>
            <w:shd w:val="clear" w:color="auto" w:fill="FBE5D5"/>
            <w:vAlign w:val="center"/>
          </w:tcPr>
          <w:p w:rsidR="005514DB" w:rsidRDefault="005514DB" w:rsidP="005514DB">
            <w:pPr>
              <w:spacing w:after="200" w:line="276" w:lineRule="auto"/>
              <w:jc w:val="center"/>
              <w:rPr>
                <w:b/>
                <w:bCs/>
                <w:sz w:val="20"/>
                <w:szCs w:val="20"/>
                <w:u w:val="single"/>
              </w:rPr>
            </w:pPr>
            <w:r>
              <w:rPr>
                <w:b/>
                <w:bCs/>
                <w:sz w:val="20"/>
                <w:szCs w:val="20"/>
                <w:u w:val="single"/>
              </w:rPr>
              <w:t>PROBLEM 3</w:t>
            </w:r>
          </w:p>
        </w:tc>
      </w:tr>
      <w:tr w:rsidR="005514DB" w:rsidTr="005514DB">
        <w:tc>
          <w:tcPr>
            <w:tcW w:w="4319" w:type="dxa"/>
            <w:shd w:val="clear" w:color="auto" w:fill="FBE5D5"/>
          </w:tcPr>
          <w:p w:rsidR="005514DB" w:rsidRPr="00BB3E47" w:rsidRDefault="005514DB" w:rsidP="008166A6">
            <w:pPr>
              <w:pStyle w:val="ListParagraph"/>
              <w:numPr>
                <w:ilvl w:val="0"/>
                <w:numId w:val="45"/>
              </w:numPr>
              <w:spacing w:after="160" w:line="240" w:lineRule="auto"/>
              <w:rPr>
                <w:b/>
                <w:bCs/>
              </w:rPr>
            </w:pPr>
            <w:r w:rsidRPr="00BB3E47">
              <w:rPr>
                <w:b/>
                <w:bCs/>
              </w:rPr>
              <w:t>Kontinuirani gubitak biodiverziteta i degradacija ekosistema, vrsta i genetske raznovrsnosti</w:t>
            </w:r>
          </w:p>
        </w:tc>
        <w:tc>
          <w:tcPr>
            <w:tcW w:w="4913" w:type="dxa"/>
            <w:shd w:val="clear" w:color="auto" w:fill="FBE5D5"/>
          </w:tcPr>
          <w:p w:rsidR="005514DB" w:rsidRPr="00BB3E47" w:rsidRDefault="005514DB" w:rsidP="008166A6">
            <w:pPr>
              <w:pStyle w:val="ListParagraph"/>
              <w:numPr>
                <w:ilvl w:val="0"/>
                <w:numId w:val="45"/>
              </w:numPr>
              <w:rPr>
                <w:b/>
                <w:bCs/>
              </w:rPr>
            </w:pPr>
            <w:r w:rsidRPr="00BB3E47">
              <w:rPr>
                <w:b/>
                <w:bCs/>
              </w:rPr>
              <w:t>Nedovoljna efektivnost sistema zaštite prirode i upravljanja zaštićenim područjima i vrstama i ekosistemima</w:t>
            </w:r>
          </w:p>
        </w:tc>
        <w:tc>
          <w:tcPr>
            <w:tcW w:w="4762" w:type="dxa"/>
            <w:shd w:val="clear" w:color="auto" w:fill="FBE5D5"/>
          </w:tcPr>
          <w:p w:rsidR="005514DB" w:rsidRPr="00BB3E47" w:rsidRDefault="005514DB" w:rsidP="008166A6">
            <w:pPr>
              <w:pStyle w:val="ListParagraph"/>
              <w:numPr>
                <w:ilvl w:val="0"/>
                <w:numId w:val="45"/>
              </w:numPr>
              <w:spacing w:after="160" w:line="240" w:lineRule="auto"/>
              <w:rPr>
                <w:b/>
                <w:bCs/>
              </w:rPr>
            </w:pPr>
            <w:r w:rsidRPr="00BB3E47">
              <w:rPr>
                <w:b/>
                <w:bCs/>
              </w:rPr>
              <w:t>Neodrživo korišćenje prirodnih resursa i nedovoljna integracija biodiverziteta u sektorske politike</w:t>
            </w:r>
          </w:p>
        </w:tc>
      </w:tr>
      <w:tr w:rsidR="005514DB" w:rsidTr="005514DB">
        <w:tc>
          <w:tcPr>
            <w:tcW w:w="4319" w:type="dxa"/>
            <w:shd w:val="clear" w:color="auto" w:fill="FFF2CC"/>
          </w:tcPr>
          <w:p w:rsidR="005514DB" w:rsidRDefault="00A26374" w:rsidP="005514DB">
            <w:pPr>
              <w:spacing w:after="0" w:line="240" w:lineRule="auto"/>
              <w:rPr>
                <w:b/>
                <w:bCs/>
                <w:sz w:val="20"/>
                <w:szCs w:val="20"/>
              </w:rPr>
            </w:pPr>
            <w:sdt>
              <w:sdtPr>
                <w:tag w:val="goog_rdk_15"/>
                <w:id w:val="-410429885"/>
              </w:sdtPr>
              <w:sdtEndPr/>
              <w:sdtContent/>
            </w:sdt>
            <w:sdt>
              <w:sdtPr>
                <w:tag w:val="goog_rdk_16"/>
                <w:id w:val="2109987719"/>
              </w:sdtPr>
              <w:sdtEndPr/>
              <w:sdtContent/>
            </w:sdt>
            <w:r w:rsidR="005514DB">
              <w:rPr>
                <w:b/>
                <w:bCs/>
                <w:sz w:val="20"/>
                <w:szCs w:val="20"/>
              </w:rPr>
              <w:t>DIREKTNI UZROCI</w:t>
            </w:r>
          </w:p>
          <w:p w:rsidR="005514DB" w:rsidRDefault="005514DB" w:rsidP="005514DB">
            <w:pPr>
              <w:spacing w:after="0" w:line="240" w:lineRule="auto"/>
              <w:rPr>
                <w:b/>
                <w:bCs/>
                <w:sz w:val="20"/>
                <w:szCs w:val="20"/>
              </w:rPr>
            </w:pPr>
          </w:p>
          <w:p w:rsidR="005514DB" w:rsidRDefault="005514DB" w:rsidP="005514DB">
            <w:pPr>
              <w:spacing w:after="0" w:line="240" w:lineRule="auto"/>
              <w:rPr>
                <w:b/>
                <w:bCs/>
                <w:sz w:val="20"/>
                <w:szCs w:val="20"/>
              </w:rPr>
            </w:pPr>
            <w:r>
              <w:rPr>
                <w:b/>
                <w:bCs/>
                <w:sz w:val="20"/>
                <w:szCs w:val="20"/>
              </w:rPr>
              <w:t xml:space="preserve">1. Gubitak i degradacija vrst, staništa i ekosistema usljed pritisaka neadekvatnog prostornog planiranja </w:t>
            </w:r>
          </w:p>
          <w:p w:rsidR="005514DB" w:rsidRPr="00BB3E47" w:rsidRDefault="005514DB" w:rsidP="008166A6">
            <w:pPr>
              <w:pStyle w:val="ListParagraph"/>
              <w:numPr>
                <w:ilvl w:val="0"/>
                <w:numId w:val="29"/>
              </w:numPr>
              <w:spacing w:after="0" w:line="240" w:lineRule="auto"/>
              <w:rPr>
                <w:sz w:val="20"/>
                <w:szCs w:val="20"/>
              </w:rPr>
            </w:pPr>
            <w:r w:rsidRPr="00BB3E47">
              <w:rPr>
                <w:sz w:val="20"/>
                <w:szCs w:val="20"/>
              </w:rPr>
              <w:t>Intenzivna, neplanska i nelegalna urbanizacija i izgradnja infrastrukture koja dovodi do gubitka, fragmentacije i degradacije ekosistema.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lastRenderedPageBreak/>
              <w:t>2. Zagađenje životne sredine</w:t>
            </w:r>
          </w:p>
          <w:p w:rsidR="005514DB" w:rsidRPr="00BB3E47" w:rsidRDefault="005514DB" w:rsidP="008166A6">
            <w:pPr>
              <w:pStyle w:val="ListParagraph"/>
              <w:numPr>
                <w:ilvl w:val="0"/>
                <w:numId w:val="34"/>
              </w:numPr>
              <w:spacing w:after="0" w:line="240" w:lineRule="auto"/>
              <w:rPr>
                <w:sz w:val="20"/>
                <w:szCs w:val="20"/>
              </w:rPr>
            </w:pPr>
            <w:r w:rsidRPr="00BB3E47">
              <w:rPr>
                <w:sz w:val="20"/>
                <w:szCs w:val="20"/>
              </w:rPr>
              <w:t>Zagađenje voda, vazduha, zemljišta i ekosistema usljed neadekvatnog upravljanja otpadnim vodama, čvrstim otpadom i drugih difuznih i tačkastih izvora zagađenja.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3. Invazivne strane vrste</w:t>
            </w:r>
          </w:p>
          <w:p w:rsidR="005514DB" w:rsidRPr="00BB3E47" w:rsidRDefault="005514DB" w:rsidP="008166A6">
            <w:pPr>
              <w:pStyle w:val="ListParagraph"/>
              <w:numPr>
                <w:ilvl w:val="0"/>
                <w:numId w:val="36"/>
              </w:numPr>
              <w:spacing w:after="0" w:line="240" w:lineRule="auto"/>
              <w:rPr>
                <w:sz w:val="20"/>
                <w:szCs w:val="20"/>
              </w:rPr>
            </w:pPr>
            <w:r w:rsidRPr="00BB3E47">
              <w:rPr>
                <w:sz w:val="20"/>
                <w:szCs w:val="20"/>
              </w:rPr>
              <w:t>Unošenje i širenje invazivnih stranih vrsta koje mijenjaju strukturu i funkciju ekosistema.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4. Promjene u korišćenju zemljišta i poljoprivrednim praksama</w:t>
            </w:r>
          </w:p>
          <w:p w:rsidR="005514DB" w:rsidRPr="00BB3E47" w:rsidRDefault="005514DB" w:rsidP="008166A6">
            <w:pPr>
              <w:pStyle w:val="ListParagraph"/>
              <w:numPr>
                <w:ilvl w:val="0"/>
                <w:numId w:val="35"/>
              </w:numPr>
              <w:spacing w:after="0" w:line="240" w:lineRule="auto"/>
              <w:rPr>
                <w:sz w:val="20"/>
                <w:szCs w:val="20"/>
              </w:rPr>
            </w:pPr>
            <w:r w:rsidRPr="00BB3E47">
              <w:rPr>
                <w:sz w:val="20"/>
                <w:szCs w:val="20"/>
              </w:rPr>
              <w:t>Napuštanje tradicionalnih praksi, intenziviranje poljoprivrede i prenamjena zemljišta, što dovodi do gubitka poluprirodnih staništa i agrobiodiverziteta ili promjena u strukturi ekosistema.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5. Klimatske promjene i ekstremni događaji</w:t>
            </w:r>
          </w:p>
          <w:p w:rsidR="005514DB" w:rsidRPr="00BB3E47" w:rsidRDefault="005514DB" w:rsidP="008166A6">
            <w:pPr>
              <w:pStyle w:val="ListParagraph"/>
              <w:numPr>
                <w:ilvl w:val="0"/>
                <w:numId w:val="37"/>
              </w:numPr>
              <w:spacing w:after="0" w:line="240" w:lineRule="auto"/>
              <w:rPr>
                <w:sz w:val="20"/>
                <w:szCs w:val="20"/>
              </w:rPr>
            </w:pPr>
            <w:r w:rsidRPr="00BB3E47">
              <w:rPr>
                <w:sz w:val="20"/>
                <w:szCs w:val="20"/>
              </w:rPr>
              <w:t>Klimatske promjene, suše, poplave i požari koji uzrokuju degradaciju staništa, smanjenje populacija osjetljivih vrsta i poremećaj ekosistemskih procesa.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INIREKTNI UZROCI</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6. Društveno-ekonomski prioriteti i percepcije</w:t>
            </w:r>
          </w:p>
          <w:p w:rsidR="005514DB" w:rsidRPr="00BB3E47" w:rsidRDefault="005514DB" w:rsidP="008166A6">
            <w:pPr>
              <w:pStyle w:val="ListParagraph"/>
              <w:numPr>
                <w:ilvl w:val="0"/>
                <w:numId w:val="38"/>
              </w:numPr>
              <w:spacing w:after="0" w:line="240" w:lineRule="auto"/>
              <w:rPr>
                <w:sz w:val="20"/>
                <w:szCs w:val="20"/>
              </w:rPr>
            </w:pPr>
            <w:r w:rsidRPr="00BB3E47">
              <w:rPr>
                <w:sz w:val="20"/>
                <w:szCs w:val="20"/>
              </w:rPr>
              <w:t>Nerazumijevanje vrijednosti biodiverziteta i ekosistemskih usluga u društvu.</w:t>
            </w:r>
          </w:p>
          <w:p w:rsidR="005514DB" w:rsidRPr="00BB3E47" w:rsidRDefault="005514DB" w:rsidP="008166A6">
            <w:pPr>
              <w:pStyle w:val="ListParagraph"/>
              <w:numPr>
                <w:ilvl w:val="0"/>
                <w:numId w:val="38"/>
              </w:numPr>
              <w:spacing w:after="0" w:line="240" w:lineRule="auto"/>
              <w:rPr>
                <w:b/>
                <w:bCs/>
                <w:sz w:val="20"/>
                <w:szCs w:val="20"/>
              </w:rPr>
            </w:pPr>
            <w:r w:rsidRPr="00BB3E47">
              <w:rPr>
                <w:sz w:val="20"/>
                <w:szCs w:val="20"/>
              </w:rPr>
              <w:t>Davanje prednosti kratkoročnom ekonomskom rastu u odnosu na dugoročno očuvanje prirodnog kapitala</w:t>
            </w:r>
            <w:r w:rsidRPr="00BB3E47">
              <w:rPr>
                <w:b/>
                <w:bCs/>
                <w:sz w:val="20"/>
                <w:szCs w:val="20"/>
              </w:rPr>
              <w:t>.</w:t>
            </w:r>
          </w:p>
          <w:p w:rsidR="005514DB" w:rsidRDefault="005514DB" w:rsidP="005514DB">
            <w:pPr>
              <w:spacing w:after="0" w:line="240" w:lineRule="auto"/>
              <w:rPr>
                <w:b/>
                <w:bCs/>
                <w:sz w:val="20"/>
                <w:szCs w:val="20"/>
              </w:rPr>
            </w:pPr>
          </w:p>
          <w:p w:rsidR="005514DB" w:rsidRDefault="005514DB" w:rsidP="005514DB">
            <w:pPr>
              <w:spacing w:after="0" w:line="240" w:lineRule="auto"/>
              <w:rPr>
                <w:b/>
                <w:bCs/>
                <w:sz w:val="20"/>
                <w:szCs w:val="20"/>
              </w:rPr>
            </w:pPr>
            <w:r>
              <w:rPr>
                <w:b/>
                <w:bCs/>
                <w:sz w:val="20"/>
                <w:szCs w:val="20"/>
              </w:rPr>
              <w:t>7. Demografske i prostorne promjene</w:t>
            </w:r>
          </w:p>
          <w:p w:rsidR="005514DB" w:rsidRPr="00BB3E47" w:rsidRDefault="005514DB" w:rsidP="008166A6">
            <w:pPr>
              <w:pStyle w:val="ListParagraph"/>
              <w:numPr>
                <w:ilvl w:val="0"/>
                <w:numId w:val="39"/>
              </w:numPr>
              <w:spacing w:after="0" w:line="240" w:lineRule="auto"/>
              <w:rPr>
                <w:sz w:val="20"/>
                <w:szCs w:val="20"/>
              </w:rPr>
            </w:pPr>
            <w:r w:rsidRPr="00BB3E47">
              <w:rPr>
                <w:sz w:val="20"/>
                <w:szCs w:val="20"/>
              </w:rPr>
              <w:lastRenderedPageBreak/>
              <w:t>Depopulacija ruralnih područja i promjene u načinu korišćenja zemljišta.</w:t>
            </w:r>
          </w:p>
          <w:p w:rsidR="005514DB" w:rsidRDefault="005514DB" w:rsidP="005514DB">
            <w:pPr>
              <w:spacing w:after="0" w:line="240" w:lineRule="auto"/>
              <w:rPr>
                <w:sz w:val="20"/>
                <w:szCs w:val="20"/>
              </w:rPr>
            </w:pPr>
          </w:p>
          <w:p w:rsidR="005514DB" w:rsidRDefault="005514DB" w:rsidP="005514DB">
            <w:pPr>
              <w:spacing w:after="0" w:line="240" w:lineRule="auto"/>
              <w:rPr>
                <w:b/>
                <w:bCs/>
                <w:sz w:val="20"/>
                <w:szCs w:val="20"/>
              </w:rPr>
            </w:pPr>
            <w:r>
              <w:rPr>
                <w:b/>
                <w:bCs/>
                <w:sz w:val="20"/>
                <w:szCs w:val="20"/>
              </w:rPr>
              <w:t xml:space="preserve">8. Nedovoljna integracija biodiverziteta u prostorno i sektorsko planiranje </w:t>
            </w:r>
          </w:p>
          <w:p w:rsidR="005514DB" w:rsidRPr="00BB3E47" w:rsidRDefault="005514DB" w:rsidP="008166A6">
            <w:pPr>
              <w:pStyle w:val="ListParagraph"/>
              <w:numPr>
                <w:ilvl w:val="0"/>
                <w:numId w:val="40"/>
              </w:numPr>
              <w:spacing w:after="0" w:line="240" w:lineRule="auto"/>
              <w:rPr>
                <w:b/>
                <w:bCs/>
                <w:sz w:val="20"/>
                <w:szCs w:val="20"/>
              </w:rPr>
            </w:pPr>
            <w:r w:rsidRPr="00BB3E47">
              <w:rPr>
                <w:sz w:val="20"/>
                <w:szCs w:val="20"/>
              </w:rPr>
              <w:t>Nedovoljno uključivanje ciljeva očuvanja biodiverziteta i ekosistemskih usluga u prostorne planove, razvojne politike i sektorske strategije.</w:t>
            </w:r>
          </w:p>
        </w:tc>
        <w:tc>
          <w:tcPr>
            <w:tcW w:w="4913" w:type="dxa"/>
            <w:shd w:val="clear" w:color="auto" w:fill="FFF2CC"/>
          </w:tcPr>
          <w:p w:rsidR="005514DB" w:rsidRPr="00525E8B" w:rsidRDefault="005514DB" w:rsidP="005514DB">
            <w:pPr>
              <w:spacing w:after="280" w:line="240" w:lineRule="auto"/>
              <w:rPr>
                <w:b/>
                <w:bCs/>
                <w:sz w:val="20"/>
                <w:szCs w:val="20"/>
              </w:rPr>
            </w:pPr>
            <w:r w:rsidRPr="00525E8B">
              <w:rPr>
                <w:b/>
                <w:bCs/>
                <w:sz w:val="20"/>
                <w:szCs w:val="20"/>
              </w:rPr>
              <w:lastRenderedPageBreak/>
              <w:t>DIREKTNI UZROCI</w:t>
            </w:r>
          </w:p>
          <w:p w:rsidR="005514DB" w:rsidRPr="00525E8B" w:rsidRDefault="005514DB" w:rsidP="005514DB">
            <w:pPr>
              <w:spacing w:after="0" w:line="240" w:lineRule="auto"/>
              <w:rPr>
                <w:sz w:val="20"/>
                <w:szCs w:val="20"/>
              </w:rPr>
            </w:pPr>
            <w:r w:rsidRPr="00525E8B">
              <w:rPr>
                <w:b/>
                <w:bCs/>
                <w:sz w:val="20"/>
                <w:szCs w:val="20"/>
              </w:rPr>
              <w:t>1</w:t>
            </w:r>
            <w:r w:rsidRPr="00525E8B">
              <w:rPr>
                <w:sz w:val="20"/>
                <w:szCs w:val="20"/>
              </w:rPr>
              <w:t xml:space="preserve">. </w:t>
            </w:r>
            <w:r w:rsidRPr="00525E8B">
              <w:rPr>
                <w:b/>
                <w:bCs/>
                <w:sz w:val="20"/>
                <w:szCs w:val="20"/>
              </w:rPr>
              <w:t>Slabi upravljački i planski mehanizmi</w:t>
            </w:r>
          </w:p>
          <w:p w:rsidR="005514DB" w:rsidRPr="00525E8B" w:rsidRDefault="005514DB" w:rsidP="008166A6">
            <w:pPr>
              <w:pStyle w:val="ListParagraph"/>
              <w:numPr>
                <w:ilvl w:val="0"/>
                <w:numId w:val="30"/>
              </w:numPr>
              <w:spacing w:after="0" w:line="240" w:lineRule="auto"/>
              <w:rPr>
                <w:sz w:val="20"/>
                <w:szCs w:val="20"/>
              </w:rPr>
            </w:pPr>
            <w:r w:rsidRPr="00525E8B">
              <w:rPr>
                <w:sz w:val="20"/>
                <w:szCs w:val="20"/>
              </w:rPr>
              <w:t>Nedostatak funkcionalnih upravljačkih struktura, planova upravljanja, monitoringa i evaluacije.</w:t>
            </w:r>
          </w:p>
          <w:p w:rsidR="005514DB" w:rsidRPr="00525E8B" w:rsidRDefault="005514DB" w:rsidP="008166A6">
            <w:pPr>
              <w:pStyle w:val="ListParagraph"/>
              <w:numPr>
                <w:ilvl w:val="0"/>
                <w:numId w:val="30"/>
              </w:numPr>
              <w:spacing w:after="0" w:line="240" w:lineRule="auto"/>
              <w:rPr>
                <w:sz w:val="20"/>
                <w:szCs w:val="20"/>
              </w:rPr>
            </w:pPr>
            <w:r w:rsidRPr="00525E8B">
              <w:rPr>
                <w:sz w:val="20"/>
                <w:szCs w:val="20"/>
              </w:rPr>
              <w:t>Nedovoljna primjena adaptivnog upravljanja zasnovanog na naučnim podacima</w:t>
            </w:r>
          </w:p>
          <w:p w:rsidR="005514DB" w:rsidRPr="00525E8B" w:rsidRDefault="005514DB" w:rsidP="008166A6">
            <w:pPr>
              <w:pStyle w:val="ListParagraph"/>
              <w:numPr>
                <w:ilvl w:val="0"/>
                <w:numId w:val="30"/>
              </w:numPr>
              <w:spacing w:after="0" w:line="240" w:lineRule="auto"/>
              <w:rPr>
                <w:sz w:val="20"/>
                <w:szCs w:val="20"/>
              </w:rPr>
            </w:pPr>
            <w:r w:rsidRPr="00525E8B">
              <w:rPr>
                <w:sz w:val="20"/>
                <w:szCs w:val="20"/>
              </w:rPr>
              <w:t>Ograničeni izvori finansiranja, nepodsticajan status i niska efikasnost i efektivnost upravljača zaštićenih područja</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b/>
                <w:bCs/>
                <w:sz w:val="20"/>
                <w:szCs w:val="20"/>
              </w:rPr>
            </w:pPr>
            <w:r w:rsidRPr="00525E8B">
              <w:rPr>
                <w:b/>
                <w:bCs/>
                <w:sz w:val="20"/>
                <w:szCs w:val="20"/>
              </w:rPr>
              <w:t>2.</w:t>
            </w:r>
            <w:r w:rsidRPr="00525E8B">
              <w:rPr>
                <w:sz w:val="20"/>
                <w:szCs w:val="20"/>
              </w:rPr>
              <w:t xml:space="preserve"> </w:t>
            </w:r>
            <w:r w:rsidRPr="00525E8B">
              <w:rPr>
                <w:b/>
                <w:bCs/>
                <w:sz w:val="20"/>
                <w:szCs w:val="20"/>
              </w:rPr>
              <w:t>Nedovoljna reprezentativnost, povezanost i obuhvat zaštite</w:t>
            </w:r>
          </w:p>
          <w:p w:rsidR="005514DB" w:rsidRPr="00525E8B" w:rsidRDefault="005514DB" w:rsidP="008166A6">
            <w:pPr>
              <w:pStyle w:val="ListParagraph"/>
              <w:numPr>
                <w:ilvl w:val="0"/>
                <w:numId w:val="33"/>
              </w:numPr>
              <w:spacing w:after="0" w:line="240" w:lineRule="auto"/>
              <w:rPr>
                <w:sz w:val="20"/>
                <w:szCs w:val="20"/>
              </w:rPr>
            </w:pPr>
            <w:r w:rsidRPr="00525E8B">
              <w:rPr>
                <w:sz w:val="20"/>
                <w:szCs w:val="20"/>
              </w:rPr>
              <w:t>Ograničena ekološka reprezentativnost i prostorna povezanost mreže zaštićenih područja i OECM.</w:t>
            </w:r>
          </w:p>
          <w:p w:rsidR="005514DB" w:rsidRPr="00525E8B" w:rsidRDefault="005514DB" w:rsidP="008166A6">
            <w:pPr>
              <w:pStyle w:val="ListParagraph"/>
              <w:numPr>
                <w:ilvl w:val="0"/>
                <w:numId w:val="33"/>
              </w:numPr>
              <w:spacing w:after="0" w:line="240" w:lineRule="auto"/>
              <w:rPr>
                <w:sz w:val="20"/>
                <w:szCs w:val="20"/>
              </w:rPr>
            </w:pPr>
            <w:r w:rsidRPr="00525E8B">
              <w:rPr>
                <w:sz w:val="20"/>
                <w:szCs w:val="20"/>
              </w:rPr>
              <w:t>Nedovoljna integracija zaštićenih područja i OECM u širi pejzažni i morski kontekst (koridori, pritisci iz okruženja).</w:t>
            </w:r>
          </w:p>
          <w:p w:rsidR="005514DB" w:rsidRPr="00525E8B" w:rsidRDefault="005514DB" w:rsidP="008166A6">
            <w:pPr>
              <w:pStyle w:val="ListParagraph"/>
              <w:numPr>
                <w:ilvl w:val="0"/>
                <w:numId w:val="33"/>
              </w:numPr>
              <w:spacing w:after="0" w:line="240" w:lineRule="auto"/>
              <w:rPr>
                <w:sz w:val="20"/>
                <w:szCs w:val="20"/>
              </w:rPr>
            </w:pPr>
            <w:r w:rsidRPr="00525E8B">
              <w:rPr>
                <w:sz w:val="20"/>
                <w:szCs w:val="20"/>
              </w:rPr>
              <w:t>Nerazvijen pravni i institucionalni okvir za OECM.</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sz w:val="20"/>
                <w:szCs w:val="20"/>
              </w:rPr>
            </w:pPr>
            <w:r w:rsidRPr="00525E8B">
              <w:rPr>
                <w:b/>
                <w:bCs/>
                <w:sz w:val="20"/>
                <w:szCs w:val="20"/>
              </w:rPr>
              <w:t>3.</w:t>
            </w:r>
            <w:r w:rsidRPr="00525E8B">
              <w:rPr>
                <w:sz w:val="20"/>
                <w:szCs w:val="20"/>
              </w:rPr>
              <w:t xml:space="preserve"> </w:t>
            </w:r>
            <w:r w:rsidRPr="00525E8B">
              <w:rPr>
                <w:b/>
                <w:bCs/>
                <w:sz w:val="20"/>
                <w:szCs w:val="20"/>
              </w:rPr>
              <w:t>Nedostatak sistematskih mjera očuvanja i obnove</w:t>
            </w:r>
          </w:p>
          <w:p w:rsidR="005514DB" w:rsidRPr="00525E8B" w:rsidRDefault="005514DB" w:rsidP="008166A6">
            <w:pPr>
              <w:pStyle w:val="ListParagraph"/>
              <w:numPr>
                <w:ilvl w:val="0"/>
                <w:numId w:val="32"/>
              </w:numPr>
              <w:spacing w:after="0" w:line="240" w:lineRule="auto"/>
              <w:rPr>
                <w:sz w:val="20"/>
                <w:szCs w:val="20"/>
              </w:rPr>
            </w:pPr>
            <w:r w:rsidRPr="00525E8B">
              <w:rPr>
                <w:sz w:val="20"/>
                <w:szCs w:val="20"/>
              </w:rPr>
              <w:t>Nepostojanje sistematskih in situ i ex situ mjera.</w:t>
            </w:r>
          </w:p>
          <w:p w:rsidR="005514DB" w:rsidRPr="00525E8B" w:rsidRDefault="005514DB" w:rsidP="008166A6">
            <w:pPr>
              <w:pStyle w:val="ListParagraph"/>
              <w:numPr>
                <w:ilvl w:val="0"/>
                <w:numId w:val="32"/>
              </w:numPr>
              <w:spacing w:after="0" w:line="240" w:lineRule="auto"/>
              <w:rPr>
                <w:sz w:val="20"/>
                <w:szCs w:val="20"/>
              </w:rPr>
            </w:pPr>
            <w:r w:rsidRPr="00525E8B">
              <w:rPr>
                <w:sz w:val="20"/>
                <w:szCs w:val="20"/>
              </w:rPr>
              <w:t>Nedostatak dugoročnih programa restauracije ekosistema.</w:t>
            </w:r>
          </w:p>
          <w:p w:rsidR="005514DB" w:rsidRPr="00525E8B" w:rsidRDefault="005514DB" w:rsidP="008166A6">
            <w:pPr>
              <w:pStyle w:val="ListParagraph"/>
              <w:numPr>
                <w:ilvl w:val="0"/>
                <w:numId w:val="32"/>
              </w:numPr>
              <w:spacing w:after="0" w:line="240" w:lineRule="auto"/>
              <w:rPr>
                <w:sz w:val="20"/>
                <w:szCs w:val="20"/>
              </w:rPr>
            </w:pPr>
            <w:r w:rsidRPr="00525E8B">
              <w:rPr>
                <w:sz w:val="20"/>
                <w:szCs w:val="20"/>
              </w:rPr>
              <w:t>Nedovoljna integracija klimatske adaptacije u upravljanje zaštićenih područja.</w:t>
            </w:r>
          </w:p>
          <w:p w:rsidR="005514DB" w:rsidRPr="00525E8B" w:rsidRDefault="005514DB" w:rsidP="008166A6">
            <w:pPr>
              <w:numPr>
                <w:ilvl w:val="0"/>
                <w:numId w:val="32"/>
              </w:numPr>
              <w:spacing w:after="0" w:line="240" w:lineRule="auto"/>
              <w:rPr>
                <w:sz w:val="20"/>
                <w:szCs w:val="20"/>
              </w:rPr>
            </w:pPr>
            <w:r w:rsidRPr="00525E8B">
              <w:rPr>
                <w:sz w:val="20"/>
                <w:szCs w:val="20"/>
              </w:rPr>
              <w:t>Nedovoljna transdisciplina i mulit - sektor - akter - nivo koordinacija</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b/>
                <w:bCs/>
                <w:sz w:val="20"/>
                <w:szCs w:val="20"/>
              </w:rPr>
            </w:pPr>
            <w:r w:rsidRPr="00525E8B">
              <w:rPr>
                <w:b/>
                <w:bCs/>
                <w:sz w:val="20"/>
                <w:szCs w:val="20"/>
              </w:rPr>
              <w:t>INIREKTNI UZROCI</w:t>
            </w:r>
          </w:p>
          <w:p w:rsidR="005514DB" w:rsidRPr="00525E8B" w:rsidRDefault="005514DB" w:rsidP="005514DB">
            <w:pPr>
              <w:spacing w:after="0" w:line="240" w:lineRule="auto"/>
              <w:rPr>
                <w:b/>
                <w:bCs/>
                <w:sz w:val="20"/>
                <w:szCs w:val="20"/>
              </w:rPr>
            </w:pPr>
          </w:p>
          <w:p w:rsidR="005514DB" w:rsidRPr="00525E8B" w:rsidRDefault="005514DB" w:rsidP="005514DB">
            <w:pPr>
              <w:spacing w:after="0" w:line="240" w:lineRule="auto"/>
              <w:rPr>
                <w:sz w:val="20"/>
                <w:szCs w:val="20"/>
              </w:rPr>
            </w:pPr>
            <w:r w:rsidRPr="00525E8B">
              <w:rPr>
                <w:b/>
                <w:bCs/>
                <w:sz w:val="20"/>
                <w:szCs w:val="20"/>
              </w:rPr>
              <w:t>4</w:t>
            </w:r>
            <w:r w:rsidRPr="00525E8B">
              <w:rPr>
                <w:sz w:val="20"/>
                <w:szCs w:val="20"/>
              </w:rPr>
              <w:t xml:space="preserve">. </w:t>
            </w:r>
            <w:r w:rsidRPr="00525E8B">
              <w:rPr>
                <w:b/>
                <w:bCs/>
                <w:sz w:val="20"/>
                <w:szCs w:val="20"/>
              </w:rPr>
              <w:t>Ograničeni kapaciteti, participacija i finansijska održivost</w:t>
            </w:r>
          </w:p>
          <w:p w:rsidR="005514DB" w:rsidRPr="00525E8B" w:rsidRDefault="005514DB" w:rsidP="008166A6">
            <w:pPr>
              <w:pStyle w:val="ListParagraph"/>
              <w:numPr>
                <w:ilvl w:val="0"/>
                <w:numId w:val="31"/>
              </w:numPr>
              <w:spacing w:after="0" w:line="240" w:lineRule="auto"/>
              <w:rPr>
                <w:sz w:val="20"/>
                <w:szCs w:val="20"/>
              </w:rPr>
            </w:pPr>
            <w:r w:rsidRPr="00525E8B">
              <w:rPr>
                <w:sz w:val="20"/>
                <w:szCs w:val="20"/>
              </w:rPr>
              <w:t>Nedovoljno razvijeni participativni i kolaborativni mehanizmi (lokalne zajednice, žene, mladi).</w:t>
            </w:r>
          </w:p>
          <w:p w:rsidR="005514DB" w:rsidRPr="00525E8B" w:rsidRDefault="005514DB" w:rsidP="008166A6">
            <w:pPr>
              <w:pStyle w:val="ListParagraph"/>
              <w:numPr>
                <w:ilvl w:val="0"/>
                <w:numId w:val="31"/>
              </w:numPr>
              <w:spacing w:after="0" w:line="240" w:lineRule="auto"/>
              <w:rPr>
                <w:sz w:val="20"/>
                <w:szCs w:val="20"/>
              </w:rPr>
            </w:pPr>
            <w:r w:rsidRPr="00525E8B">
              <w:rPr>
                <w:sz w:val="20"/>
                <w:szCs w:val="20"/>
              </w:rPr>
              <w:t>Nedovoljni institucionalni, tehnički i finansijski kapaciteti za dugoročno upravljanje.</w:t>
            </w:r>
          </w:p>
          <w:p w:rsidR="005514DB" w:rsidRPr="00525E8B" w:rsidRDefault="005514DB" w:rsidP="008166A6">
            <w:pPr>
              <w:pStyle w:val="ListParagraph"/>
              <w:numPr>
                <w:ilvl w:val="0"/>
                <w:numId w:val="31"/>
              </w:numPr>
              <w:spacing w:after="0" w:line="240" w:lineRule="auto"/>
              <w:rPr>
                <w:sz w:val="20"/>
                <w:szCs w:val="20"/>
              </w:rPr>
            </w:pPr>
            <w:r w:rsidRPr="00525E8B">
              <w:rPr>
                <w:sz w:val="20"/>
                <w:szCs w:val="20"/>
              </w:rPr>
              <w:t>Slabi sistemi razmjene podataka, izvještavanja i učenja.</w:t>
            </w:r>
          </w:p>
          <w:p w:rsidR="005514DB" w:rsidRPr="00525E8B" w:rsidRDefault="005514DB" w:rsidP="008166A6">
            <w:pPr>
              <w:pStyle w:val="ListParagraph"/>
              <w:numPr>
                <w:ilvl w:val="0"/>
                <w:numId w:val="31"/>
              </w:numPr>
              <w:spacing w:after="0" w:line="240" w:lineRule="auto"/>
              <w:rPr>
                <w:sz w:val="20"/>
                <w:szCs w:val="20"/>
              </w:rPr>
            </w:pPr>
            <w:r w:rsidRPr="00525E8B">
              <w:rPr>
                <w:sz w:val="20"/>
                <w:szCs w:val="20"/>
              </w:rPr>
              <w:t>Nedovoljno ukučivanje stručnog kadra na rukovodećim pozicijama i praktikovanje sistema odgovornosti, pravičnosti, transparentnosti, kazi i nagrada.</w:t>
            </w:r>
          </w:p>
          <w:p w:rsidR="005514DB" w:rsidRPr="00525E8B" w:rsidRDefault="005514DB" w:rsidP="005514DB">
            <w:pPr>
              <w:spacing w:after="0" w:line="240" w:lineRule="auto"/>
              <w:rPr>
                <w:sz w:val="20"/>
                <w:szCs w:val="20"/>
              </w:rPr>
            </w:pPr>
          </w:p>
        </w:tc>
        <w:tc>
          <w:tcPr>
            <w:tcW w:w="4762" w:type="dxa"/>
            <w:shd w:val="clear" w:color="auto" w:fill="FFF2CC"/>
          </w:tcPr>
          <w:p w:rsidR="005514DB" w:rsidRPr="00525E8B" w:rsidRDefault="005514DB" w:rsidP="005514DB">
            <w:pPr>
              <w:spacing w:after="0" w:line="240" w:lineRule="auto"/>
              <w:rPr>
                <w:b/>
                <w:bCs/>
                <w:sz w:val="20"/>
                <w:szCs w:val="20"/>
              </w:rPr>
            </w:pPr>
            <w:r w:rsidRPr="00525E8B">
              <w:rPr>
                <w:b/>
                <w:bCs/>
                <w:sz w:val="20"/>
                <w:szCs w:val="20"/>
              </w:rPr>
              <w:lastRenderedPageBreak/>
              <w:t>DIREKTNI UZROCI</w:t>
            </w:r>
          </w:p>
          <w:p w:rsidR="005514DB" w:rsidRPr="00525E8B" w:rsidRDefault="005514DB" w:rsidP="005514DB">
            <w:pPr>
              <w:spacing w:after="0" w:line="240" w:lineRule="auto"/>
              <w:rPr>
                <w:b/>
                <w:bCs/>
                <w:sz w:val="20"/>
                <w:szCs w:val="20"/>
              </w:rPr>
            </w:pPr>
          </w:p>
          <w:p w:rsidR="005514DB" w:rsidRPr="00525E8B" w:rsidRDefault="005514DB" w:rsidP="008166A6">
            <w:pPr>
              <w:numPr>
                <w:ilvl w:val="0"/>
                <w:numId w:val="41"/>
              </w:numPr>
              <w:pBdr>
                <w:top w:val="nil"/>
                <w:left w:val="nil"/>
                <w:bottom w:val="nil"/>
                <w:right w:val="nil"/>
                <w:between w:val="nil"/>
              </w:pBdr>
              <w:spacing w:after="0" w:line="240" w:lineRule="auto"/>
              <w:rPr>
                <w:b/>
                <w:bCs/>
                <w:sz w:val="20"/>
                <w:szCs w:val="20"/>
              </w:rPr>
            </w:pPr>
            <w:r w:rsidRPr="00525E8B">
              <w:rPr>
                <w:b/>
                <w:bCs/>
                <w:sz w:val="20"/>
                <w:szCs w:val="20"/>
              </w:rPr>
              <w:t>Nedovoljna integracija biodiverziteta u politike i odlučivanje</w:t>
            </w:r>
          </w:p>
          <w:p w:rsidR="005514DB" w:rsidRPr="00525E8B" w:rsidRDefault="005514DB" w:rsidP="008166A6">
            <w:pPr>
              <w:pStyle w:val="ListParagraph"/>
              <w:numPr>
                <w:ilvl w:val="0"/>
                <w:numId w:val="41"/>
              </w:numPr>
              <w:spacing w:after="0" w:line="240" w:lineRule="auto"/>
              <w:rPr>
                <w:sz w:val="20"/>
                <w:szCs w:val="20"/>
              </w:rPr>
            </w:pPr>
            <w:r w:rsidRPr="00525E8B">
              <w:rPr>
                <w:sz w:val="20"/>
                <w:szCs w:val="20"/>
              </w:rPr>
              <w:t>Nedovoljna ili neadekvatna integracija biodiverziteta u sektorske politike, planove i strategije.</w:t>
            </w:r>
          </w:p>
          <w:p w:rsidR="005514DB" w:rsidRPr="00525E8B" w:rsidRDefault="005514DB" w:rsidP="008166A6">
            <w:pPr>
              <w:pStyle w:val="ListParagraph"/>
              <w:numPr>
                <w:ilvl w:val="0"/>
                <w:numId w:val="41"/>
              </w:numPr>
              <w:spacing w:after="0" w:line="240" w:lineRule="auto"/>
              <w:rPr>
                <w:sz w:val="20"/>
                <w:szCs w:val="20"/>
              </w:rPr>
            </w:pPr>
            <w:r w:rsidRPr="00525E8B">
              <w:rPr>
                <w:sz w:val="20"/>
                <w:szCs w:val="20"/>
              </w:rPr>
              <w:t>Nedovoljno povezivanje biodiverziteta sa razvojnim, fiskalnim i sektorskim politikama.</w:t>
            </w:r>
          </w:p>
          <w:p w:rsidR="005514DB" w:rsidRPr="00525E8B" w:rsidRDefault="005514DB" w:rsidP="008166A6">
            <w:pPr>
              <w:numPr>
                <w:ilvl w:val="0"/>
                <w:numId w:val="41"/>
              </w:numPr>
              <w:spacing w:after="0" w:line="276" w:lineRule="auto"/>
              <w:rPr>
                <w:sz w:val="20"/>
                <w:szCs w:val="20"/>
              </w:rPr>
            </w:pPr>
            <w:r w:rsidRPr="00525E8B">
              <w:rPr>
                <w:sz w:val="20"/>
                <w:szCs w:val="20"/>
              </w:rPr>
              <w:lastRenderedPageBreak/>
              <w:t>Donosenja odluka koje nijesu zasnovane na adekvatnim podacima</w:t>
            </w:r>
          </w:p>
          <w:p w:rsidR="005514DB" w:rsidRPr="00525E8B" w:rsidRDefault="005514DB" w:rsidP="005514DB">
            <w:pPr>
              <w:spacing w:after="0" w:line="240" w:lineRule="auto"/>
              <w:rPr>
                <w:sz w:val="20"/>
                <w:szCs w:val="20"/>
              </w:rPr>
            </w:pPr>
          </w:p>
          <w:p w:rsidR="005514DB" w:rsidRPr="00525E8B" w:rsidRDefault="005514DB" w:rsidP="008166A6">
            <w:pPr>
              <w:numPr>
                <w:ilvl w:val="0"/>
                <w:numId w:val="41"/>
              </w:numPr>
              <w:pBdr>
                <w:top w:val="nil"/>
                <w:left w:val="nil"/>
                <w:bottom w:val="nil"/>
                <w:right w:val="nil"/>
                <w:between w:val="nil"/>
              </w:pBdr>
              <w:spacing w:after="0" w:line="240" w:lineRule="auto"/>
              <w:rPr>
                <w:b/>
                <w:bCs/>
                <w:sz w:val="20"/>
                <w:szCs w:val="20"/>
              </w:rPr>
            </w:pPr>
            <w:r w:rsidRPr="00525E8B">
              <w:rPr>
                <w:b/>
                <w:bCs/>
                <w:sz w:val="20"/>
                <w:szCs w:val="20"/>
              </w:rPr>
              <w:t>Ne</w:t>
            </w:r>
            <w:sdt>
              <w:sdtPr>
                <w:tag w:val="goog_rdk_21"/>
                <w:id w:val="-581230486"/>
              </w:sdtPr>
              <w:sdtEndPr/>
              <w:sdtContent>
                <w:r w:rsidRPr="00525E8B">
                  <w:rPr>
                    <w:b/>
                    <w:bCs/>
                    <w:sz w:val="20"/>
                    <w:szCs w:val="20"/>
                  </w:rPr>
                  <w:t>prepo</w:t>
                </w:r>
                <w:sdt>
                  <w:sdtPr>
                    <w:tag w:val="goog_rdk_22"/>
                    <w:id w:val="-255454336"/>
                  </w:sdtPr>
                  <w:sdtEndPr/>
                  <w:sdtContent>
                    <w:r w:rsidRPr="00525E8B">
                      <w:rPr>
                        <w:b/>
                        <w:bCs/>
                        <w:sz w:val="20"/>
                        <w:szCs w:val="20"/>
                      </w:rPr>
                      <w:t xml:space="preserve">znavanje pune </w:t>
                    </w:r>
                  </w:sdtContent>
                </w:sdt>
              </w:sdtContent>
            </w:sdt>
            <w:sdt>
              <w:sdtPr>
                <w:tag w:val="goog_rdk_24"/>
                <w:id w:val="547761067"/>
              </w:sdtPr>
              <w:sdtEndPr/>
              <w:sdtContent>
                <w:sdt>
                  <w:sdtPr>
                    <w:tag w:val="goog_rdk_25"/>
                    <w:id w:val="1157039747"/>
                  </w:sdtPr>
                  <w:sdtEndPr/>
                  <w:sdtContent>
                    <w:r w:rsidRPr="00525E8B">
                      <w:rPr>
                        <w:b/>
                        <w:bCs/>
                        <w:sz w:val="20"/>
                        <w:szCs w:val="20"/>
                      </w:rPr>
                      <w:t xml:space="preserve">vrijednosti </w:t>
                    </w:r>
                  </w:sdtContent>
                </w:sdt>
              </w:sdtContent>
            </w:sdt>
            <w:r w:rsidRPr="00525E8B">
              <w:rPr>
                <w:b/>
                <w:bCs/>
                <w:sz w:val="20"/>
                <w:szCs w:val="20"/>
              </w:rPr>
              <w:t>biodiverziteta i ekosistemskih usluga</w:t>
            </w:r>
          </w:p>
          <w:p w:rsidR="005514DB" w:rsidRPr="00525E8B" w:rsidRDefault="005514DB" w:rsidP="008166A6">
            <w:pPr>
              <w:pStyle w:val="ListParagraph"/>
              <w:numPr>
                <w:ilvl w:val="0"/>
                <w:numId w:val="41"/>
              </w:numPr>
              <w:pBdr>
                <w:top w:val="nil"/>
                <w:left w:val="nil"/>
                <w:bottom w:val="nil"/>
                <w:right w:val="nil"/>
                <w:between w:val="nil"/>
              </w:pBdr>
              <w:spacing w:after="0" w:line="240" w:lineRule="auto"/>
              <w:rPr>
                <w:b/>
                <w:bCs/>
                <w:sz w:val="20"/>
                <w:szCs w:val="20"/>
              </w:rPr>
            </w:pPr>
            <w:r w:rsidRPr="00525E8B">
              <w:rPr>
                <w:sz w:val="20"/>
                <w:szCs w:val="20"/>
              </w:rPr>
              <w:t>Neadekvatno vrednovanje biodiverziteta i ekosistemskih usluga u donošenju odluka, ograničena primjena ekonomskih i socioekonomskih metoda</w:t>
            </w:r>
          </w:p>
          <w:p w:rsidR="005514DB" w:rsidRPr="00525E8B" w:rsidRDefault="005514DB" w:rsidP="008166A6">
            <w:pPr>
              <w:pStyle w:val="ListParagraph"/>
              <w:numPr>
                <w:ilvl w:val="0"/>
                <w:numId w:val="41"/>
              </w:numPr>
              <w:pBdr>
                <w:top w:val="nil"/>
                <w:left w:val="nil"/>
                <w:bottom w:val="nil"/>
                <w:right w:val="nil"/>
                <w:between w:val="nil"/>
              </w:pBdr>
              <w:spacing w:after="0" w:line="240" w:lineRule="auto"/>
              <w:rPr>
                <w:b/>
                <w:bCs/>
                <w:sz w:val="20"/>
                <w:szCs w:val="20"/>
              </w:rPr>
            </w:pPr>
            <w:r w:rsidRPr="00525E8B">
              <w:rPr>
                <w:sz w:val="20"/>
                <w:szCs w:val="20"/>
              </w:rPr>
              <w:t>Procjene vrijednosti ekosistemskih usluga</w:t>
            </w:r>
            <w:r w:rsidRPr="00525E8B">
              <w:t xml:space="preserve"> </w:t>
            </w:r>
            <w:r w:rsidRPr="00525E8B">
              <w:rPr>
                <w:sz w:val="20"/>
                <w:szCs w:val="20"/>
              </w:rPr>
              <w:t>su rijetke, sistem nacionalnih računa ne prepoznaje njihov doprinos ekonomiji.</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sz w:val="20"/>
                <w:szCs w:val="20"/>
              </w:rPr>
            </w:pPr>
            <w:r w:rsidRPr="00525E8B">
              <w:rPr>
                <w:b/>
                <w:bCs/>
                <w:sz w:val="20"/>
                <w:szCs w:val="20"/>
              </w:rPr>
              <w:t>3.</w:t>
            </w:r>
            <w:r w:rsidRPr="00525E8B">
              <w:rPr>
                <w:sz w:val="20"/>
                <w:szCs w:val="20"/>
              </w:rPr>
              <w:t xml:space="preserve"> </w:t>
            </w:r>
            <w:r w:rsidRPr="00525E8B">
              <w:rPr>
                <w:b/>
                <w:bCs/>
                <w:sz w:val="20"/>
                <w:szCs w:val="20"/>
              </w:rPr>
              <w:t>Nepravedna raspodjela koristi od prirodnih resursa</w:t>
            </w:r>
          </w:p>
          <w:p w:rsidR="005514DB" w:rsidRPr="00525E8B" w:rsidRDefault="005514DB" w:rsidP="008166A6">
            <w:pPr>
              <w:pStyle w:val="ListParagraph"/>
              <w:numPr>
                <w:ilvl w:val="0"/>
                <w:numId w:val="42"/>
              </w:numPr>
              <w:spacing w:after="0" w:line="240" w:lineRule="auto"/>
              <w:rPr>
                <w:sz w:val="20"/>
                <w:szCs w:val="20"/>
              </w:rPr>
            </w:pPr>
            <w:r w:rsidRPr="00525E8B">
              <w:rPr>
                <w:sz w:val="20"/>
                <w:szCs w:val="20"/>
              </w:rPr>
              <w:t>Neravnomjerna raspodjela benefita od korišćenja prirodnih resursa, posebno u ruralnim područjima.</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b/>
                <w:bCs/>
                <w:sz w:val="20"/>
                <w:szCs w:val="20"/>
              </w:rPr>
            </w:pPr>
            <w:r w:rsidRPr="00525E8B">
              <w:rPr>
                <w:b/>
                <w:bCs/>
                <w:sz w:val="20"/>
                <w:szCs w:val="20"/>
              </w:rPr>
              <w:t>INDIREKTNI UZROCI</w:t>
            </w:r>
          </w:p>
          <w:p w:rsidR="005514DB" w:rsidRPr="00525E8B" w:rsidRDefault="005514DB" w:rsidP="005514DB">
            <w:pPr>
              <w:spacing w:after="0" w:line="240" w:lineRule="auto"/>
              <w:rPr>
                <w:sz w:val="20"/>
                <w:szCs w:val="20"/>
              </w:rPr>
            </w:pPr>
          </w:p>
          <w:p w:rsidR="005514DB" w:rsidRPr="00525E8B" w:rsidRDefault="005514DB" w:rsidP="005514DB">
            <w:pPr>
              <w:spacing w:after="0" w:line="240" w:lineRule="auto"/>
              <w:rPr>
                <w:b/>
                <w:bCs/>
                <w:sz w:val="20"/>
                <w:szCs w:val="20"/>
              </w:rPr>
            </w:pPr>
            <w:r w:rsidRPr="00525E8B">
              <w:rPr>
                <w:b/>
                <w:bCs/>
                <w:sz w:val="20"/>
                <w:szCs w:val="20"/>
              </w:rPr>
              <w:t>4. Neodrživo i nekontrolisano korišćenje prirodnih resursa</w:t>
            </w:r>
          </w:p>
          <w:p w:rsidR="005514DB" w:rsidRPr="00525E8B" w:rsidRDefault="005514DB" w:rsidP="008166A6">
            <w:pPr>
              <w:pStyle w:val="ListParagraph"/>
              <w:numPr>
                <w:ilvl w:val="0"/>
                <w:numId w:val="43"/>
              </w:numPr>
              <w:spacing w:after="0" w:line="240" w:lineRule="auto"/>
              <w:ind w:left="360"/>
              <w:rPr>
                <w:sz w:val="20"/>
                <w:szCs w:val="20"/>
              </w:rPr>
            </w:pPr>
            <w:r w:rsidRPr="00525E8B">
              <w:rPr>
                <w:sz w:val="20"/>
                <w:szCs w:val="20"/>
              </w:rPr>
              <w:t>Prekomjerno korišćenje prirodnih resursa bez adekvatnih mjera obnove, kontrole i nadzora.</w:t>
            </w:r>
          </w:p>
          <w:p w:rsidR="005514DB" w:rsidRPr="00525E8B" w:rsidRDefault="005514DB" w:rsidP="008166A6">
            <w:pPr>
              <w:pStyle w:val="ListParagraph"/>
              <w:numPr>
                <w:ilvl w:val="0"/>
                <w:numId w:val="43"/>
              </w:numPr>
              <w:spacing w:after="0"/>
              <w:ind w:left="360"/>
              <w:rPr>
                <w:sz w:val="20"/>
                <w:szCs w:val="20"/>
              </w:rPr>
            </w:pPr>
            <w:r w:rsidRPr="00525E8B">
              <w:rPr>
                <w:sz w:val="20"/>
                <w:szCs w:val="20"/>
              </w:rPr>
              <w:t>Nelegalne i neodržive prakse u šumarstvu, ribarstvu, lovstvu, eksploataciji mineralnih sirovina te korišćenju voda i prostora.</w:t>
            </w:r>
          </w:p>
          <w:p w:rsidR="005514DB" w:rsidRPr="00525E8B" w:rsidRDefault="005514DB" w:rsidP="008166A6">
            <w:pPr>
              <w:pStyle w:val="ListParagraph"/>
              <w:numPr>
                <w:ilvl w:val="0"/>
                <w:numId w:val="43"/>
              </w:numPr>
              <w:spacing w:after="0"/>
              <w:ind w:left="360"/>
              <w:rPr>
                <w:sz w:val="20"/>
                <w:szCs w:val="20"/>
              </w:rPr>
            </w:pPr>
            <w:r w:rsidRPr="00525E8B">
              <w:rPr>
                <w:sz w:val="20"/>
                <w:szCs w:val="20"/>
              </w:rPr>
              <w:t>Nedovoljno razvijeni i praktikovani multisektorski, dugoročni i održivi mehanizmi planiranja i korišćenja resursa.</w:t>
            </w:r>
          </w:p>
          <w:p w:rsidR="005514DB" w:rsidRPr="00525E8B" w:rsidRDefault="005514DB" w:rsidP="005514DB">
            <w:pPr>
              <w:spacing w:after="0" w:line="276" w:lineRule="auto"/>
              <w:rPr>
                <w:sz w:val="20"/>
                <w:szCs w:val="20"/>
              </w:rPr>
            </w:pPr>
          </w:p>
          <w:p w:rsidR="005514DB" w:rsidRPr="00525E8B" w:rsidRDefault="005514DB" w:rsidP="005514DB">
            <w:pPr>
              <w:spacing w:after="0" w:line="276" w:lineRule="auto"/>
              <w:rPr>
                <w:sz w:val="20"/>
                <w:szCs w:val="20"/>
              </w:rPr>
            </w:pPr>
          </w:p>
          <w:p w:rsidR="005514DB" w:rsidRPr="00525E8B" w:rsidRDefault="005514DB" w:rsidP="005514DB">
            <w:pPr>
              <w:spacing w:after="0" w:line="276" w:lineRule="auto"/>
              <w:rPr>
                <w:sz w:val="20"/>
                <w:szCs w:val="20"/>
              </w:rPr>
            </w:pPr>
          </w:p>
          <w:p w:rsidR="005514DB" w:rsidRPr="00525E8B" w:rsidRDefault="005514DB" w:rsidP="005514DB">
            <w:pPr>
              <w:spacing w:after="0" w:line="276" w:lineRule="auto"/>
              <w:rPr>
                <w:sz w:val="20"/>
                <w:szCs w:val="20"/>
              </w:rPr>
            </w:pPr>
          </w:p>
        </w:tc>
      </w:tr>
      <w:tr w:rsidR="005514DB" w:rsidTr="005514DB">
        <w:trPr>
          <w:trHeight w:val="285"/>
        </w:trPr>
        <w:tc>
          <w:tcPr>
            <w:tcW w:w="13994" w:type="dxa"/>
            <w:gridSpan w:val="3"/>
            <w:shd w:val="clear" w:color="auto" w:fill="FBE5D5"/>
            <w:vAlign w:val="center"/>
          </w:tcPr>
          <w:p w:rsidR="005514DB" w:rsidRDefault="005514DB" w:rsidP="005514DB">
            <w:pPr>
              <w:spacing w:after="200" w:line="276" w:lineRule="auto"/>
              <w:jc w:val="center"/>
              <w:rPr>
                <w:b/>
                <w:bCs/>
              </w:rPr>
            </w:pPr>
            <w:r>
              <w:rPr>
                <w:b/>
                <w:bCs/>
              </w:rPr>
              <w:lastRenderedPageBreak/>
              <w:t>HORIZONTALNI PROBLEM 4</w:t>
            </w:r>
          </w:p>
        </w:tc>
      </w:tr>
      <w:tr w:rsidR="005514DB" w:rsidTr="005514DB">
        <w:trPr>
          <w:trHeight w:val="618"/>
        </w:trPr>
        <w:tc>
          <w:tcPr>
            <w:tcW w:w="13994" w:type="dxa"/>
            <w:gridSpan w:val="3"/>
            <w:shd w:val="clear" w:color="auto" w:fill="FBE5D5"/>
            <w:vAlign w:val="center"/>
          </w:tcPr>
          <w:p w:rsidR="005514DB" w:rsidRPr="00875243" w:rsidRDefault="005514DB" w:rsidP="008166A6">
            <w:pPr>
              <w:pStyle w:val="ListParagraph"/>
              <w:numPr>
                <w:ilvl w:val="0"/>
                <w:numId w:val="28"/>
              </w:numPr>
              <w:rPr>
                <w:b/>
                <w:bCs/>
              </w:rPr>
            </w:pPr>
            <w:r w:rsidRPr="00875243">
              <w:rPr>
                <w:b/>
                <w:bCs/>
              </w:rPr>
              <w:t>Sistemski nedostatak kapaciteta, koordinacije i inkluzivnih mehanizama za efektivno upravljanje biodiverzitetom</w:t>
            </w:r>
          </w:p>
        </w:tc>
      </w:tr>
      <w:tr w:rsidR="005514DB" w:rsidTr="005514DB">
        <w:tc>
          <w:tcPr>
            <w:tcW w:w="13994" w:type="dxa"/>
            <w:gridSpan w:val="3"/>
            <w:shd w:val="clear" w:color="auto" w:fill="FFF2CC"/>
          </w:tcPr>
          <w:p w:rsidR="005514DB" w:rsidRDefault="00A26374" w:rsidP="005514DB">
            <w:pPr>
              <w:pBdr>
                <w:top w:val="nil"/>
                <w:left w:val="nil"/>
                <w:bottom w:val="nil"/>
                <w:right w:val="nil"/>
                <w:between w:val="nil"/>
              </w:pBdr>
              <w:spacing w:line="240" w:lineRule="auto"/>
              <w:rPr>
                <w:b/>
                <w:bCs/>
                <w:color w:val="000000"/>
                <w:sz w:val="20"/>
                <w:szCs w:val="20"/>
              </w:rPr>
            </w:pPr>
            <w:sdt>
              <w:sdtPr>
                <w:tag w:val="goog_rdk_33"/>
                <w:id w:val="-1383393440"/>
              </w:sdtPr>
              <w:sdtEndPr/>
              <w:sdtContent/>
            </w:sdt>
            <w:r w:rsidR="005514DB">
              <w:rPr>
                <w:b/>
                <w:bCs/>
                <w:color w:val="000000"/>
                <w:sz w:val="20"/>
                <w:szCs w:val="20"/>
              </w:rPr>
              <w:t>UZROCI</w:t>
            </w:r>
          </w:p>
        </w:tc>
      </w:tr>
      <w:tr w:rsidR="005514DB" w:rsidTr="005514DB">
        <w:tc>
          <w:tcPr>
            <w:tcW w:w="13994" w:type="dxa"/>
            <w:gridSpan w:val="3"/>
            <w:shd w:val="clear" w:color="auto" w:fill="FFF2CC"/>
          </w:tcPr>
          <w:sdt>
            <w:sdtPr>
              <w:tag w:val="goog_rdk_75"/>
              <w:id w:val="-947592582"/>
            </w:sdtPr>
            <w:sdtEndPr/>
            <w:sdtContent>
              <w:p w:rsidR="005514DB" w:rsidRDefault="00A26374" w:rsidP="008166A6">
                <w:pPr>
                  <w:numPr>
                    <w:ilvl w:val="0"/>
                    <w:numId w:val="44"/>
                  </w:numPr>
                  <w:spacing w:after="0" w:line="240" w:lineRule="auto"/>
                  <w:rPr>
                    <w:sz w:val="20"/>
                    <w:szCs w:val="20"/>
                  </w:rPr>
                </w:pPr>
                <w:sdt>
                  <w:sdtPr>
                    <w:tag w:val="goog_rdk_73"/>
                    <w:id w:val="1113343357"/>
                  </w:sdtPr>
                  <w:sdtEndPr/>
                  <w:sdtContent>
                    <w:sdt>
                      <w:sdtPr>
                        <w:tag w:val="goog_rdk_74"/>
                        <w:id w:val="-1153385655"/>
                      </w:sdtPr>
                      <w:sdtEndPr/>
                      <w:sdtContent>
                        <w:r w:rsidR="005514DB" w:rsidRPr="00875243">
                          <w:rPr>
                            <w:sz w:val="20"/>
                            <w:szCs w:val="20"/>
                          </w:rPr>
                          <w:t>Nedostatak političke volje i strateškog kontinuiteta u sprovođenju reformi, uz centralizovan i politizovan sistem odlučivanja.</w:t>
                        </w:r>
                      </w:sdtContent>
                    </w:sdt>
                  </w:sdtContent>
                </w:sdt>
              </w:p>
            </w:sdtContent>
          </w:sdt>
          <w:sdt>
            <w:sdtPr>
              <w:tag w:val="goog_rdk_78"/>
              <w:id w:val="845143920"/>
            </w:sdtPr>
            <w:sdtEndPr/>
            <w:sdtContent>
              <w:p w:rsidR="005514DB" w:rsidRDefault="00A26374" w:rsidP="008166A6">
                <w:pPr>
                  <w:numPr>
                    <w:ilvl w:val="0"/>
                    <w:numId w:val="44"/>
                  </w:numPr>
                  <w:spacing w:after="0" w:line="240" w:lineRule="auto"/>
                  <w:rPr>
                    <w:sz w:val="20"/>
                    <w:szCs w:val="20"/>
                  </w:rPr>
                </w:pPr>
                <w:sdt>
                  <w:sdtPr>
                    <w:tag w:val="goog_rdk_76"/>
                    <w:id w:val="946167405"/>
                  </w:sdtPr>
                  <w:sdtEndPr/>
                  <w:sdtContent>
                    <w:sdt>
                      <w:sdtPr>
                        <w:tag w:val="goog_rdk_77"/>
                        <w:id w:val="309897589"/>
                      </w:sdtPr>
                      <w:sdtEndPr/>
                      <w:sdtContent>
                        <w:r w:rsidR="005514DB" w:rsidRPr="00875243">
                          <w:rPr>
                            <w:sz w:val="20"/>
                            <w:szCs w:val="20"/>
                          </w:rPr>
                          <w:t>Fragmentisana i nedosljedna primjena važeće legislative i instrumenata politike zaštite prirode (EIA/SEA, uslovi zaštite, mitigacija/kompenzacija).</w:t>
                        </w:r>
                      </w:sdtContent>
                    </w:sdt>
                  </w:sdtContent>
                </w:sdt>
              </w:p>
            </w:sdtContent>
          </w:sdt>
          <w:sdt>
            <w:sdtPr>
              <w:tag w:val="goog_rdk_81"/>
              <w:id w:val="1372808995"/>
            </w:sdtPr>
            <w:sdtEndPr/>
            <w:sdtContent>
              <w:p w:rsidR="005514DB" w:rsidRDefault="00A26374" w:rsidP="008166A6">
                <w:pPr>
                  <w:numPr>
                    <w:ilvl w:val="0"/>
                    <w:numId w:val="44"/>
                  </w:numPr>
                  <w:spacing w:after="0" w:line="240" w:lineRule="auto"/>
                  <w:rPr>
                    <w:sz w:val="20"/>
                    <w:szCs w:val="20"/>
                  </w:rPr>
                </w:pPr>
                <w:sdt>
                  <w:sdtPr>
                    <w:tag w:val="goog_rdk_79"/>
                    <w:id w:val="1558075248"/>
                  </w:sdtPr>
                  <w:sdtEndPr/>
                  <w:sdtContent>
                    <w:sdt>
                      <w:sdtPr>
                        <w:tag w:val="goog_rdk_80"/>
                        <w:id w:val="-196431318"/>
                      </w:sdtPr>
                      <w:sdtEndPr/>
                      <w:sdtContent>
                        <w:r w:rsidR="005514DB" w:rsidRPr="00875243">
                          <w:rPr>
                            <w:sz w:val="20"/>
                            <w:szCs w:val="20"/>
                          </w:rPr>
                          <w:t>Slaba međuresorska koordinacija, uključujući ograničenu integraciju biodiverziteta i ekosistemskih usluga u sektorske i fiskalne politike.</w:t>
                        </w:r>
                      </w:sdtContent>
                    </w:sdt>
                  </w:sdtContent>
                </w:sdt>
              </w:p>
            </w:sdtContent>
          </w:sdt>
          <w:sdt>
            <w:sdtPr>
              <w:tag w:val="goog_rdk_86"/>
              <w:id w:val="1060121137"/>
            </w:sdtPr>
            <w:sdtEndPr/>
            <w:sdtContent>
              <w:p w:rsidR="005514DB" w:rsidRDefault="00A26374" w:rsidP="008166A6">
                <w:pPr>
                  <w:numPr>
                    <w:ilvl w:val="0"/>
                    <w:numId w:val="44"/>
                  </w:numPr>
                  <w:spacing w:after="0" w:line="240" w:lineRule="auto"/>
                  <w:rPr>
                    <w:sz w:val="20"/>
                    <w:szCs w:val="20"/>
                  </w:rPr>
                </w:pPr>
                <w:sdt>
                  <w:sdtPr>
                    <w:tag w:val="goog_rdk_82"/>
                    <w:id w:val="-595301239"/>
                  </w:sdtPr>
                  <w:sdtEndPr/>
                  <w:sdtContent>
                    <w:sdt>
                      <w:sdtPr>
                        <w:tag w:val="goog_rdk_83"/>
                        <w:id w:val="284022357"/>
                      </w:sdtPr>
                      <w:sdtEndPr/>
                      <w:sdtContent>
                        <w:r w:rsidR="005514DB" w:rsidRPr="00875243">
                          <w:rPr>
                            <w:sz w:val="20"/>
                            <w:szCs w:val="20"/>
                          </w:rPr>
                          <w:t xml:space="preserve">Nestabilno i nedovoljno finansiranje biodiverziteta, uz dominaciju </w:t>
                        </w:r>
                      </w:sdtContent>
                    </w:sdt>
                    <w:sdt>
                      <w:sdtPr>
                        <w:tag w:val="goog_rdk_84"/>
                        <w:id w:val="-554332602"/>
                      </w:sdtPr>
                      <w:sdtEndPr/>
                      <w:sdtContent>
                        <w:r w:rsidR="005514DB" w:rsidRPr="00875243">
                          <w:rPr>
                            <w:i/>
                            <w:iCs/>
                            <w:sz w:val="20"/>
                            <w:szCs w:val="20"/>
                          </w:rPr>
                          <w:t>ad hoc</w:t>
                        </w:r>
                      </w:sdtContent>
                    </w:sdt>
                    <w:sdt>
                      <w:sdtPr>
                        <w:tag w:val="goog_rdk_85"/>
                        <w:id w:val="1016822413"/>
                      </w:sdtPr>
                      <w:sdtEndPr/>
                      <w:sdtContent>
                        <w:r w:rsidR="005514DB" w:rsidRPr="00875243">
                          <w:rPr>
                            <w:sz w:val="20"/>
                            <w:szCs w:val="20"/>
                          </w:rPr>
                          <w:t xml:space="preserve"> i projektnog pristupa i neusklađenost budžetskih alokacija sa potrebama.</w:t>
                        </w:r>
                      </w:sdtContent>
                    </w:sdt>
                  </w:sdtContent>
                </w:sdt>
              </w:p>
            </w:sdtContent>
          </w:sdt>
          <w:sdt>
            <w:sdtPr>
              <w:tag w:val="goog_rdk_92"/>
              <w:id w:val="1004515741"/>
            </w:sdtPr>
            <w:sdtEndPr/>
            <w:sdtContent>
              <w:p w:rsidR="005514DB" w:rsidRDefault="00A26374" w:rsidP="008166A6">
                <w:pPr>
                  <w:numPr>
                    <w:ilvl w:val="0"/>
                    <w:numId w:val="44"/>
                  </w:numPr>
                  <w:spacing w:after="0" w:line="240" w:lineRule="auto"/>
                  <w:rPr>
                    <w:sz w:val="20"/>
                    <w:szCs w:val="20"/>
                  </w:rPr>
                </w:pPr>
                <w:sdt>
                  <w:sdtPr>
                    <w:tag w:val="goog_rdk_87"/>
                    <w:id w:val="-1823209957"/>
                  </w:sdtPr>
                  <w:sdtEndPr/>
                  <w:sdtContent>
                    <w:sdt>
                      <w:sdtPr>
                        <w:tag w:val="goog_rdk_88"/>
                        <w:id w:val="1023462424"/>
                      </w:sdtPr>
                      <w:sdtEndPr/>
                      <w:sdtContent>
                        <w:r w:rsidR="005514DB" w:rsidRPr="00875243">
                          <w:rPr>
                            <w:sz w:val="20"/>
                            <w:szCs w:val="20"/>
                          </w:rPr>
                          <w:t xml:space="preserve">Ograničeni ljudski i institucionalni kapaciteti, uključujući nedostatak radnih mjesta, stručnog kadra, sistema obuke, kao i kapaciteta i mehanizama za </w:t>
                        </w:r>
                      </w:sdtContent>
                    </w:sdt>
                    <w:sdt>
                      <w:sdtPr>
                        <w:tag w:val="goog_rdk_89"/>
                        <w:id w:val="1854453856"/>
                      </w:sdtPr>
                      <w:sdtEndPr/>
                      <w:sdtContent/>
                    </w:sdt>
                    <w:sdt>
                      <w:sdtPr>
                        <w:tag w:val="goog_rdk_90"/>
                        <w:id w:val="1377215096"/>
                      </w:sdtPr>
                      <w:sdtEndPr/>
                      <w:sdtContent>
                        <w:r w:rsidR="005514DB">
                          <w:rPr>
                            <w:sz w:val="20"/>
                            <w:szCs w:val="20"/>
                          </w:rPr>
                          <w:t>saradnju</w:t>
                        </w:r>
                        <w:r w:rsidR="005514DB" w:rsidRPr="00875243">
                          <w:rPr>
                            <w:sz w:val="20"/>
                            <w:szCs w:val="20"/>
                          </w:rPr>
                          <w:t xml:space="preserve"> </w:t>
                        </w:r>
                      </w:sdtContent>
                    </w:sdt>
                    <w:sdt>
                      <w:sdtPr>
                        <w:tag w:val="goog_rdk_91"/>
                        <w:id w:val="2090552701"/>
                      </w:sdtPr>
                      <w:sdtEndPr/>
                      <w:sdtContent>
                        <w:r w:rsidR="005514DB" w:rsidRPr="00875243">
                          <w:rPr>
                            <w:sz w:val="20"/>
                            <w:szCs w:val="20"/>
                          </w:rPr>
                          <w:t>i participaciju.</w:t>
                        </w:r>
                      </w:sdtContent>
                    </w:sdt>
                  </w:sdtContent>
                </w:sdt>
              </w:p>
            </w:sdtContent>
          </w:sdt>
          <w:sdt>
            <w:sdtPr>
              <w:tag w:val="goog_rdk_95"/>
              <w:id w:val="1275122220"/>
            </w:sdtPr>
            <w:sdtEndPr/>
            <w:sdtContent>
              <w:p w:rsidR="005514DB" w:rsidRDefault="00A26374" w:rsidP="008166A6">
                <w:pPr>
                  <w:numPr>
                    <w:ilvl w:val="0"/>
                    <w:numId w:val="44"/>
                  </w:numPr>
                  <w:spacing w:after="0" w:line="240" w:lineRule="auto"/>
                  <w:rPr>
                    <w:sz w:val="20"/>
                    <w:szCs w:val="20"/>
                  </w:rPr>
                </w:pPr>
                <w:sdt>
                  <w:sdtPr>
                    <w:tag w:val="goog_rdk_93"/>
                    <w:id w:val="1010316387"/>
                  </w:sdtPr>
                  <w:sdtEndPr/>
                  <w:sdtContent>
                    <w:sdt>
                      <w:sdtPr>
                        <w:tag w:val="goog_rdk_94"/>
                        <w:id w:val="-1452812063"/>
                      </w:sdtPr>
                      <w:sdtEndPr/>
                      <w:sdtContent>
                        <w:r w:rsidR="005514DB" w:rsidRPr="00875243">
                          <w:rPr>
                            <w:sz w:val="20"/>
                            <w:szCs w:val="20"/>
                          </w:rPr>
                          <w:t>Nedovoljno razvijen sistem podataka, monitoringa, izvještavanja i evaluacije učinaka politika i mjera.</w:t>
                        </w:r>
                      </w:sdtContent>
                    </w:sdt>
                  </w:sdtContent>
                </w:sdt>
              </w:p>
            </w:sdtContent>
          </w:sdt>
          <w:sdt>
            <w:sdtPr>
              <w:tag w:val="goog_rdk_98"/>
              <w:id w:val="92155637"/>
            </w:sdtPr>
            <w:sdtEndPr/>
            <w:sdtContent>
              <w:p w:rsidR="005514DB" w:rsidRPr="00875243" w:rsidRDefault="00A26374" w:rsidP="008166A6">
                <w:pPr>
                  <w:numPr>
                    <w:ilvl w:val="0"/>
                    <w:numId w:val="44"/>
                  </w:numPr>
                  <w:spacing w:after="0" w:line="240" w:lineRule="auto"/>
                  <w:rPr>
                    <w:sz w:val="20"/>
                    <w:szCs w:val="20"/>
                  </w:rPr>
                </w:pPr>
                <w:sdt>
                  <w:sdtPr>
                    <w:tag w:val="goog_rdk_96"/>
                    <w:id w:val="518931620"/>
                  </w:sdtPr>
                  <w:sdtEndPr/>
                  <w:sdtContent>
                    <w:sdt>
                      <w:sdtPr>
                        <w:tag w:val="goog_rdk_97"/>
                        <w:id w:val="1978089746"/>
                      </w:sdtPr>
                      <w:sdtEndPr/>
                      <w:sdtContent>
                        <w:r w:rsidR="005514DB" w:rsidRPr="00875243">
                          <w:rPr>
                            <w:sz w:val="20"/>
                            <w:szCs w:val="20"/>
                          </w:rPr>
                          <w:t>Nedovoljno razvijeni inkluzivni mehanizmi učešća javnosti, lokalnih zajednica i ranjivih grupa, uz nizak nivo javne svijesti.</w:t>
                        </w:r>
                      </w:sdtContent>
                    </w:sdt>
                  </w:sdtContent>
                </w:sdt>
              </w:p>
            </w:sdtContent>
          </w:sdt>
          <w:p w:rsidR="005514DB" w:rsidRDefault="005514DB" w:rsidP="005514DB">
            <w:pPr>
              <w:spacing w:after="200" w:line="276" w:lineRule="auto"/>
              <w:rPr>
                <w:b/>
                <w:bCs/>
              </w:rPr>
            </w:pPr>
          </w:p>
        </w:tc>
      </w:tr>
    </w:tbl>
    <w:p w:rsidR="005514DB" w:rsidRDefault="005514DB" w:rsidP="005514DB"/>
    <w:p w:rsidR="005514DB" w:rsidRDefault="005514DB" w:rsidP="005514DB"/>
    <w:p w:rsidR="005514DB" w:rsidRDefault="005514DB" w:rsidP="005514DB">
      <w:pPr>
        <w:sectPr w:rsidR="005514DB">
          <w:pgSz w:w="16838" w:h="11906" w:orient="landscape"/>
          <w:pgMar w:top="1440" w:right="1440" w:bottom="1440" w:left="1440" w:header="708" w:footer="708" w:gutter="0"/>
          <w:pgNumType w:start="1"/>
          <w:cols w:space="720"/>
        </w:sectPr>
      </w:pPr>
    </w:p>
    <w:p w:rsidR="00F17CDE" w:rsidRPr="00B462FA" w:rsidRDefault="00F17CDE" w:rsidP="00F17CDE">
      <w:pPr>
        <w:pStyle w:val="Heading3"/>
        <w:rPr>
          <w:rFonts w:ascii="Arial" w:hAnsi="Arial" w:cs="Arial"/>
          <w:sz w:val="26"/>
          <w:szCs w:val="26"/>
        </w:rPr>
      </w:pPr>
      <w:bookmarkStart w:id="54" w:name="_Toc222754402"/>
      <w:r w:rsidRPr="00B462FA">
        <w:rPr>
          <w:rFonts w:ascii="Arial" w:hAnsi="Arial" w:cs="Arial"/>
          <w:sz w:val="26"/>
          <w:szCs w:val="26"/>
        </w:rPr>
        <w:lastRenderedPageBreak/>
        <w:t xml:space="preserve">Tabela </w:t>
      </w:r>
      <w:r>
        <w:rPr>
          <w:rFonts w:ascii="Arial" w:hAnsi="Arial" w:cs="Arial"/>
          <w:sz w:val="26"/>
          <w:szCs w:val="26"/>
        </w:rPr>
        <w:t>04</w:t>
      </w:r>
      <w:r w:rsidRPr="00B462FA">
        <w:rPr>
          <w:rFonts w:ascii="Arial" w:hAnsi="Arial" w:cs="Arial"/>
          <w:sz w:val="26"/>
          <w:szCs w:val="26"/>
        </w:rPr>
        <w:t>–</w:t>
      </w:r>
      <w:r>
        <w:rPr>
          <w:rFonts w:ascii="Arial" w:hAnsi="Arial" w:cs="Arial"/>
          <w:sz w:val="26"/>
          <w:szCs w:val="26"/>
        </w:rPr>
        <w:t xml:space="preserve"> Drvo rješenja -</w:t>
      </w:r>
      <w:r w:rsidRPr="00B462FA">
        <w:rPr>
          <w:rFonts w:ascii="Arial" w:hAnsi="Arial" w:cs="Arial"/>
          <w:sz w:val="26"/>
          <w:szCs w:val="26"/>
        </w:rPr>
        <w:t xml:space="preserve"> tabelarni prikaz</w:t>
      </w:r>
      <w:bookmarkEnd w:id="54"/>
    </w:p>
    <w:p w:rsidR="005514DB" w:rsidRDefault="005514DB" w:rsidP="005514DB">
      <w:pPr>
        <w:widowControl w:val="0"/>
        <w:pBdr>
          <w:top w:val="nil"/>
          <w:left w:val="nil"/>
          <w:bottom w:val="nil"/>
          <w:right w:val="nil"/>
          <w:between w:val="nil"/>
        </w:pBdr>
        <w:spacing w:after="0" w:line="276" w:lineRule="auto"/>
      </w:pPr>
    </w:p>
    <w:tbl>
      <w:tblPr>
        <w:tblW w:w="13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9"/>
        <w:gridCol w:w="4649"/>
        <w:gridCol w:w="4650"/>
      </w:tblGrid>
      <w:tr w:rsidR="00B462FA" w:rsidTr="00B462FA">
        <w:tc>
          <w:tcPr>
            <w:tcW w:w="13948" w:type="dxa"/>
            <w:gridSpan w:val="3"/>
            <w:shd w:val="clear" w:color="auto" w:fill="E7E6E6" w:themeFill="background2"/>
          </w:tcPr>
          <w:p w:rsidR="00B462FA" w:rsidRDefault="00B462FA" w:rsidP="005514DB">
            <w:pPr>
              <w:rPr>
                <w:b/>
                <w:bCs/>
              </w:rPr>
            </w:pPr>
            <w:r>
              <w:rPr>
                <w:b/>
                <w:bCs/>
              </w:rPr>
              <w:t>DRVO RJEŠENJA – Tabelarni prikaz</w:t>
            </w:r>
          </w:p>
        </w:tc>
      </w:tr>
      <w:tr w:rsidR="005514DB" w:rsidTr="005514DB">
        <w:tc>
          <w:tcPr>
            <w:tcW w:w="13948" w:type="dxa"/>
            <w:gridSpan w:val="3"/>
            <w:shd w:val="clear" w:color="auto" w:fill="FFE599"/>
          </w:tcPr>
          <w:p w:rsidR="005514DB" w:rsidRDefault="005514DB" w:rsidP="005514DB">
            <w:pPr>
              <w:rPr>
                <w:b/>
                <w:bCs/>
              </w:rPr>
            </w:pPr>
            <w:r>
              <w:rPr>
                <w:b/>
                <w:bCs/>
              </w:rPr>
              <w:t>Efekti horizontalnog strateškog cilja</w:t>
            </w:r>
          </w:p>
        </w:tc>
      </w:tr>
      <w:tr w:rsidR="005514DB" w:rsidTr="005514DB">
        <w:tc>
          <w:tcPr>
            <w:tcW w:w="13948" w:type="dxa"/>
            <w:gridSpan w:val="3"/>
            <w:shd w:val="clear" w:color="auto" w:fill="FFF2CC"/>
          </w:tcPr>
          <w:p w:rsidR="005514DB" w:rsidRDefault="005514DB" w:rsidP="008166A6">
            <w:pPr>
              <w:numPr>
                <w:ilvl w:val="0"/>
                <w:numId w:val="7"/>
              </w:numPr>
              <w:pBdr>
                <w:top w:val="nil"/>
                <w:left w:val="nil"/>
                <w:bottom w:val="nil"/>
                <w:right w:val="nil"/>
                <w:between w:val="nil"/>
              </w:pBdr>
              <w:spacing w:after="0" w:line="240" w:lineRule="auto"/>
              <w:ind w:left="357" w:hanging="357"/>
              <w:rPr>
                <w:color w:val="000000"/>
                <w:sz w:val="20"/>
                <w:szCs w:val="20"/>
              </w:rPr>
            </w:pPr>
            <w:r>
              <w:rPr>
                <w:color w:val="000000"/>
                <w:sz w:val="20"/>
                <w:szCs w:val="20"/>
              </w:rPr>
              <w:t>Institucije na nacionalnom i lokalnom nivou raspolažu adekvatnim stručnim kadrom, razvijenim kompetencijama za komunikaciju, participativne procese i rodno odgovorno upravljanje, te kontinuiranim programima obuke koji omogućavaju djelotvorno upravljanje biodiverzitetom.</w:t>
            </w:r>
          </w:p>
          <w:p w:rsidR="005514DB" w:rsidRDefault="005514DB" w:rsidP="008166A6">
            <w:pPr>
              <w:numPr>
                <w:ilvl w:val="0"/>
                <w:numId w:val="7"/>
              </w:numPr>
              <w:pBdr>
                <w:top w:val="nil"/>
                <w:left w:val="nil"/>
                <w:bottom w:val="nil"/>
                <w:right w:val="nil"/>
                <w:between w:val="nil"/>
              </w:pBdr>
              <w:spacing w:after="0" w:line="240" w:lineRule="auto"/>
              <w:ind w:left="357" w:hanging="357"/>
              <w:rPr>
                <w:color w:val="000000"/>
                <w:sz w:val="20"/>
                <w:szCs w:val="20"/>
              </w:rPr>
            </w:pPr>
            <w:r>
              <w:rPr>
                <w:color w:val="000000"/>
                <w:sz w:val="20"/>
                <w:szCs w:val="20"/>
              </w:rPr>
              <w:t>Unaprijeđen je pravni i institucionalni okvir za stabilno i koordinisano upravljanje biodiverzitetom, uz jasne nadležnosti institucija, funkcionalan međuresorni mehanizam koordinacije i sistematsko korišćenje naučnih podataka u planiranju, odlučivanju i izvještavanju.</w:t>
            </w:r>
          </w:p>
          <w:p w:rsidR="005514DB" w:rsidRDefault="005514DB" w:rsidP="008166A6">
            <w:pPr>
              <w:numPr>
                <w:ilvl w:val="0"/>
                <w:numId w:val="7"/>
              </w:numPr>
              <w:pBdr>
                <w:top w:val="nil"/>
                <w:left w:val="nil"/>
                <w:bottom w:val="nil"/>
                <w:right w:val="nil"/>
                <w:between w:val="nil"/>
              </w:pBdr>
              <w:spacing w:after="0" w:line="240" w:lineRule="auto"/>
              <w:ind w:left="357" w:hanging="357"/>
              <w:rPr>
                <w:color w:val="000000"/>
                <w:sz w:val="20"/>
                <w:szCs w:val="20"/>
              </w:rPr>
            </w:pPr>
            <w:r w:rsidRPr="008D58EE">
              <w:rPr>
                <w:color w:val="000000"/>
                <w:sz w:val="20"/>
                <w:szCs w:val="20"/>
              </w:rPr>
              <w:t>Obezbijeđen je stabilan, dugoročno održiv i transparentan sistem finansiranja biodiverziteta, uključujući povećana javna izdvajanja, stabilne izvore finansiranja za zaštićena područja, sprovedenu reformu štetnih i primjenu pozitivnih podsticaja</w:t>
            </w:r>
          </w:p>
          <w:p w:rsidR="005514DB" w:rsidRPr="008D58EE" w:rsidRDefault="005514DB" w:rsidP="008166A6">
            <w:pPr>
              <w:numPr>
                <w:ilvl w:val="0"/>
                <w:numId w:val="7"/>
              </w:numPr>
              <w:pBdr>
                <w:top w:val="nil"/>
                <w:left w:val="nil"/>
                <w:bottom w:val="nil"/>
                <w:right w:val="nil"/>
                <w:between w:val="nil"/>
              </w:pBdr>
              <w:spacing w:after="0" w:line="240" w:lineRule="auto"/>
              <w:ind w:left="357" w:hanging="357"/>
              <w:rPr>
                <w:color w:val="000000"/>
                <w:sz w:val="20"/>
                <w:szCs w:val="20"/>
              </w:rPr>
            </w:pPr>
            <w:r w:rsidRPr="008D58EE">
              <w:rPr>
                <w:color w:val="000000"/>
                <w:sz w:val="20"/>
                <w:szCs w:val="20"/>
              </w:rPr>
              <w:t>Unaprijeđeni su transparentni, rodno odgovorni i inkluzivni mehanizmi informisanja i učešća javnosti, lokalnih zajednica i ranjivih grupa u odlučivanju o biodiverzitetu, uz povećan nivo javne svijesti o vrijednosti biodiverziteta i ekosistemskih usluga.</w:t>
            </w:r>
          </w:p>
          <w:p w:rsidR="005514DB" w:rsidRDefault="005514DB" w:rsidP="005514DB"/>
        </w:tc>
      </w:tr>
      <w:tr w:rsidR="005514DB" w:rsidTr="005514DB">
        <w:tc>
          <w:tcPr>
            <w:tcW w:w="4649" w:type="dxa"/>
            <w:shd w:val="clear" w:color="auto" w:fill="FFE599"/>
            <w:vAlign w:val="center"/>
          </w:tcPr>
          <w:p w:rsidR="005514DB" w:rsidRDefault="005514DB" w:rsidP="005514DB">
            <w:pPr>
              <w:rPr>
                <w:b/>
                <w:bCs/>
                <w:sz w:val="20"/>
                <w:szCs w:val="20"/>
              </w:rPr>
            </w:pPr>
            <w:r>
              <w:rPr>
                <w:b/>
                <w:bCs/>
                <w:sz w:val="20"/>
                <w:szCs w:val="20"/>
              </w:rPr>
              <w:t>Efekti strateškog cilja1</w:t>
            </w:r>
          </w:p>
        </w:tc>
        <w:tc>
          <w:tcPr>
            <w:tcW w:w="4649" w:type="dxa"/>
            <w:shd w:val="clear" w:color="auto" w:fill="FFE599"/>
            <w:vAlign w:val="center"/>
          </w:tcPr>
          <w:p w:rsidR="005514DB" w:rsidRDefault="005514DB" w:rsidP="005514DB">
            <w:pPr>
              <w:rPr>
                <w:b/>
                <w:bCs/>
                <w:sz w:val="20"/>
                <w:szCs w:val="20"/>
              </w:rPr>
            </w:pPr>
            <w:r>
              <w:rPr>
                <w:b/>
                <w:bCs/>
                <w:sz w:val="20"/>
                <w:szCs w:val="20"/>
              </w:rPr>
              <w:t>Efekti strateškog cilja2</w:t>
            </w:r>
          </w:p>
        </w:tc>
        <w:tc>
          <w:tcPr>
            <w:tcW w:w="4650" w:type="dxa"/>
            <w:shd w:val="clear" w:color="auto" w:fill="FFE599"/>
            <w:vAlign w:val="center"/>
          </w:tcPr>
          <w:p w:rsidR="005514DB" w:rsidRDefault="005514DB" w:rsidP="005514DB">
            <w:pPr>
              <w:rPr>
                <w:b/>
                <w:bCs/>
                <w:sz w:val="20"/>
                <w:szCs w:val="20"/>
              </w:rPr>
            </w:pPr>
            <w:r>
              <w:rPr>
                <w:b/>
                <w:bCs/>
                <w:sz w:val="20"/>
                <w:szCs w:val="20"/>
              </w:rPr>
              <w:t>Efekti strateškog cilja1 3</w:t>
            </w:r>
          </w:p>
        </w:tc>
      </w:tr>
      <w:tr w:rsidR="005514DB" w:rsidTr="005514DB">
        <w:tc>
          <w:tcPr>
            <w:tcW w:w="4649" w:type="dxa"/>
            <w:shd w:val="clear" w:color="auto" w:fill="FFF2CC"/>
          </w:tcPr>
          <w:p w:rsidR="005514DB" w:rsidRPr="00E02E37" w:rsidRDefault="005514DB" w:rsidP="008166A6">
            <w:pPr>
              <w:numPr>
                <w:ilvl w:val="0"/>
                <w:numId w:val="5"/>
              </w:numPr>
              <w:pBdr>
                <w:top w:val="nil"/>
                <w:left w:val="nil"/>
                <w:bottom w:val="nil"/>
                <w:right w:val="nil"/>
                <w:between w:val="nil"/>
              </w:pBdr>
              <w:spacing w:after="0" w:line="240" w:lineRule="auto"/>
              <w:rPr>
                <w:color w:val="000000"/>
                <w:sz w:val="20"/>
                <w:szCs w:val="20"/>
              </w:rPr>
            </w:pPr>
            <w:r w:rsidRPr="00E02E37">
              <w:rPr>
                <w:color w:val="000000"/>
                <w:sz w:val="20"/>
                <w:szCs w:val="20"/>
              </w:rPr>
              <w:t xml:space="preserve">Stabilizovane i oporavljene populacije prioritetnih vrsta i staništa kroz funkcionalan sistem </w:t>
            </w:r>
            <w:r w:rsidRPr="00E02E37">
              <w:rPr>
                <w:i/>
                <w:color w:val="000000"/>
                <w:sz w:val="20"/>
                <w:szCs w:val="20"/>
              </w:rPr>
              <w:t>in situ</w:t>
            </w:r>
            <w:r w:rsidRPr="00E02E37">
              <w:rPr>
                <w:color w:val="000000"/>
                <w:sz w:val="20"/>
                <w:szCs w:val="20"/>
              </w:rPr>
              <w:t xml:space="preserve"> i </w:t>
            </w:r>
            <w:r w:rsidRPr="00E02E37">
              <w:rPr>
                <w:i/>
                <w:color w:val="000000"/>
                <w:sz w:val="20"/>
                <w:szCs w:val="20"/>
              </w:rPr>
              <w:t>ex situ</w:t>
            </w:r>
            <w:r w:rsidRPr="00E02E37">
              <w:rPr>
                <w:color w:val="000000"/>
                <w:sz w:val="20"/>
                <w:szCs w:val="20"/>
              </w:rPr>
              <w:t xml:space="preserve"> očuvanja i dugoročnog praćenja.</w:t>
            </w:r>
          </w:p>
          <w:p w:rsidR="005514DB" w:rsidRPr="00E02E37" w:rsidRDefault="005514DB" w:rsidP="008166A6">
            <w:pPr>
              <w:numPr>
                <w:ilvl w:val="0"/>
                <w:numId w:val="5"/>
              </w:numPr>
              <w:pBdr>
                <w:top w:val="nil"/>
                <w:left w:val="nil"/>
                <w:bottom w:val="nil"/>
                <w:right w:val="nil"/>
                <w:between w:val="nil"/>
              </w:pBdr>
              <w:spacing w:after="0" w:line="240" w:lineRule="auto"/>
              <w:rPr>
                <w:color w:val="000000"/>
                <w:sz w:val="20"/>
                <w:szCs w:val="20"/>
              </w:rPr>
            </w:pPr>
            <w:r w:rsidRPr="00E02E37">
              <w:rPr>
                <w:color w:val="000000"/>
                <w:sz w:val="20"/>
                <w:szCs w:val="20"/>
              </w:rPr>
              <w:t>Obnovljeni i funkcionalni degradirani ekosistemi na najmanje 20% prioritetnih područja, uz unaprijeđene ekosistemske usluge i ekološku povezanost.</w:t>
            </w:r>
          </w:p>
          <w:p w:rsidR="005514DB" w:rsidRPr="00E02E37" w:rsidRDefault="005514DB" w:rsidP="008166A6">
            <w:pPr>
              <w:numPr>
                <w:ilvl w:val="0"/>
                <w:numId w:val="5"/>
              </w:numPr>
              <w:pBdr>
                <w:top w:val="nil"/>
                <w:left w:val="nil"/>
                <w:bottom w:val="nil"/>
                <w:right w:val="nil"/>
                <w:between w:val="nil"/>
              </w:pBdr>
              <w:spacing w:after="0" w:line="240" w:lineRule="auto"/>
              <w:rPr>
                <w:color w:val="000000"/>
                <w:sz w:val="20"/>
                <w:szCs w:val="20"/>
              </w:rPr>
            </w:pPr>
            <w:r w:rsidRPr="00E02E37">
              <w:rPr>
                <w:color w:val="000000"/>
                <w:sz w:val="20"/>
                <w:szCs w:val="20"/>
              </w:rPr>
              <w:t>Očuvana genetička raznovrsnost i uspostavljen funkcionalan, sektorski integrisan sistem pristupa genetičkim resursima i pravične raspodjele koristi (ABS).</w:t>
            </w:r>
          </w:p>
          <w:p w:rsidR="005514DB" w:rsidRPr="00E02E37" w:rsidRDefault="005514DB" w:rsidP="008166A6">
            <w:pPr>
              <w:numPr>
                <w:ilvl w:val="0"/>
                <w:numId w:val="5"/>
              </w:numPr>
              <w:pBdr>
                <w:top w:val="nil"/>
                <w:left w:val="nil"/>
                <w:bottom w:val="nil"/>
                <w:right w:val="nil"/>
                <w:between w:val="nil"/>
              </w:pBdr>
              <w:spacing w:after="0" w:line="240" w:lineRule="auto"/>
              <w:rPr>
                <w:color w:val="000000"/>
                <w:sz w:val="20"/>
                <w:szCs w:val="20"/>
              </w:rPr>
            </w:pPr>
            <w:r w:rsidRPr="00E02E37">
              <w:rPr>
                <w:color w:val="000000"/>
                <w:sz w:val="20"/>
                <w:szCs w:val="20"/>
              </w:rPr>
              <w:t>Smanjeni direktni pritisci na biodiverzitet kroz efektivno upravljanje invazivnim vrstama, unaprijeđeno prostorno planiranje i smanjeno zagađenje.</w:t>
            </w:r>
          </w:p>
          <w:p w:rsidR="005514DB" w:rsidRDefault="005514DB" w:rsidP="008166A6">
            <w:pPr>
              <w:numPr>
                <w:ilvl w:val="0"/>
                <w:numId w:val="5"/>
              </w:numPr>
              <w:spacing w:after="0" w:line="240" w:lineRule="auto"/>
              <w:rPr>
                <w:sz w:val="20"/>
                <w:szCs w:val="20"/>
              </w:rPr>
            </w:pPr>
            <w:r w:rsidRPr="00E02E37">
              <w:rPr>
                <w:color w:val="000000"/>
                <w:sz w:val="20"/>
                <w:szCs w:val="20"/>
              </w:rPr>
              <w:lastRenderedPageBreak/>
              <w:t>Integrisane mjere ublažavanja i prilagođavanja klimatskim promjenama u planove upravljanja, re</w:t>
            </w:r>
            <w:r>
              <w:rPr>
                <w:color w:val="000000"/>
                <w:sz w:val="20"/>
                <w:szCs w:val="20"/>
              </w:rPr>
              <w:t>stauracije i sektorske politike</w:t>
            </w:r>
            <w:r w:rsidRPr="00E02E37">
              <w:rPr>
                <w:color w:val="000000"/>
                <w:sz w:val="20"/>
                <w:szCs w:val="20"/>
              </w:rPr>
              <w:t>.</w:t>
            </w:r>
          </w:p>
          <w:p w:rsidR="005514DB" w:rsidRDefault="005514DB" w:rsidP="005514DB">
            <w:pPr>
              <w:rPr>
                <w:sz w:val="20"/>
                <w:szCs w:val="20"/>
              </w:rPr>
            </w:pPr>
          </w:p>
        </w:tc>
        <w:tc>
          <w:tcPr>
            <w:tcW w:w="4649" w:type="dxa"/>
            <w:shd w:val="clear" w:color="auto" w:fill="FFF2CC"/>
          </w:tcPr>
          <w:p w:rsidR="005514DB" w:rsidRDefault="005514DB" w:rsidP="008166A6">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lastRenderedPageBreak/>
              <w:t xml:space="preserve">Zaštićeno je </w:t>
            </w:r>
            <w:r w:rsidRPr="00875243">
              <w:rPr>
                <w:color w:val="000000"/>
                <w:sz w:val="20"/>
                <w:szCs w:val="20"/>
              </w:rPr>
              <w:t xml:space="preserve">30% kopna i 30% mora, uključujući 10% područja </w:t>
            </w:r>
            <w:r>
              <w:rPr>
                <w:color w:val="000000"/>
                <w:sz w:val="20"/>
                <w:szCs w:val="20"/>
              </w:rPr>
              <w:t xml:space="preserve">pod strogom zaštitom. </w:t>
            </w:r>
          </w:p>
          <w:p w:rsidR="005514DB" w:rsidRPr="00875243" w:rsidRDefault="005514DB" w:rsidP="008166A6">
            <w:pPr>
              <w:numPr>
                <w:ilvl w:val="0"/>
                <w:numId w:val="5"/>
              </w:numPr>
              <w:pBdr>
                <w:top w:val="nil"/>
                <w:left w:val="nil"/>
                <w:bottom w:val="nil"/>
                <w:right w:val="nil"/>
                <w:between w:val="nil"/>
              </w:pBdr>
              <w:spacing w:after="0" w:line="240" w:lineRule="auto"/>
              <w:rPr>
                <w:color w:val="000000"/>
                <w:sz w:val="20"/>
                <w:szCs w:val="20"/>
              </w:rPr>
            </w:pPr>
            <w:r w:rsidRPr="00875243">
              <w:rPr>
                <w:color w:val="000000"/>
                <w:sz w:val="20"/>
                <w:szCs w:val="20"/>
              </w:rPr>
              <w:t>Uspostavljena reprezentativna, povezana i funkcionalno integrisana mreža zaštićenih područja, Natura 2000 područja i OECM, uključena u ekološke koridore i širi kopneni i morski pejzaž</w:t>
            </w:r>
            <w:r>
              <w:rPr>
                <w:color w:val="000000"/>
                <w:sz w:val="20"/>
                <w:szCs w:val="20"/>
              </w:rPr>
              <w:t>i.</w:t>
            </w:r>
          </w:p>
          <w:p w:rsidR="005514DB" w:rsidRPr="00875243" w:rsidRDefault="005514DB" w:rsidP="008166A6">
            <w:pPr>
              <w:numPr>
                <w:ilvl w:val="0"/>
                <w:numId w:val="5"/>
              </w:numPr>
              <w:pBdr>
                <w:top w:val="nil"/>
                <w:left w:val="nil"/>
                <w:bottom w:val="nil"/>
                <w:right w:val="nil"/>
                <w:between w:val="nil"/>
              </w:pBdr>
              <w:spacing w:after="0" w:line="240" w:lineRule="auto"/>
              <w:rPr>
                <w:color w:val="000000"/>
                <w:sz w:val="20"/>
                <w:szCs w:val="20"/>
              </w:rPr>
            </w:pPr>
            <w:r w:rsidRPr="00875243">
              <w:rPr>
                <w:color w:val="000000"/>
                <w:sz w:val="20"/>
                <w:szCs w:val="20"/>
              </w:rPr>
              <w:t>Djelotvorno, stručno, adaptivno i participativno upravljanje zaštićenim područjima, ekološkom mrežom i OECM, zasnovano na ciljevima očuvanja i praćenju učinaka upravljanja.</w:t>
            </w:r>
          </w:p>
          <w:p w:rsidR="005514DB" w:rsidRDefault="005514DB" w:rsidP="008166A6">
            <w:pPr>
              <w:numPr>
                <w:ilvl w:val="0"/>
                <w:numId w:val="5"/>
              </w:numPr>
              <w:pBdr>
                <w:top w:val="nil"/>
                <w:left w:val="nil"/>
                <w:bottom w:val="nil"/>
                <w:right w:val="nil"/>
                <w:between w:val="nil"/>
              </w:pBdr>
              <w:rPr>
                <w:color w:val="000000"/>
                <w:sz w:val="20"/>
                <w:szCs w:val="20"/>
              </w:rPr>
            </w:pPr>
            <w:r w:rsidRPr="00875243">
              <w:rPr>
                <w:color w:val="000000"/>
                <w:sz w:val="20"/>
                <w:szCs w:val="20"/>
              </w:rPr>
              <w:t xml:space="preserve">Institucionalizovani inovativni i kolaborativni modeli upravljanja (uključujući privatne </w:t>
            </w:r>
            <w:r w:rsidRPr="00875243">
              <w:rPr>
                <w:color w:val="000000"/>
                <w:sz w:val="20"/>
                <w:szCs w:val="20"/>
              </w:rPr>
              <w:lastRenderedPageBreak/>
              <w:t>inicijative i OECM) kao sastavni dio sistema zaštite i očuvanja područja.</w:t>
            </w:r>
          </w:p>
        </w:tc>
        <w:tc>
          <w:tcPr>
            <w:tcW w:w="4650" w:type="dxa"/>
            <w:shd w:val="clear" w:color="auto" w:fill="FFF2CC"/>
          </w:tcPr>
          <w:p w:rsidR="005514DB" w:rsidRDefault="005514DB" w:rsidP="008166A6">
            <w:pPr>
              <w:numPr>
                <w:ilvl w:val="0"/>
                <w:numId w:val="6"/>
              </w:numPr>
              <w:pBdr>
                <w:top w:val="nil"/>
                <w:left w:val="nil"/>
                <w:bottom w:val="nil"/>
                <w:right w:val="nil"/>
                <w:between w:val="nil"/>
              </w:pBdr>
              <w:spacing w:after="0"/>
              <w:ind w:left="720"/>
              <w:rPr>
                <w:color w:val="000000"/>
                <w:sz w:val="20"/>
                <w:szCs w:val="20"/>
              </w:rPr>
            </w:pPr>
            <w:r>
              <w:rPr>
                <w:color w:val="000000"/>
                <w:sz w:val="20"/>
                <w:szCs w:val="20"/>
              </w:rPr>
              <w:lastRenderedPageBreak/>
              <w:t>Biodiverzitet i ekosistemske usluge su sistematski integrisani u sektorske i razvojne politike, planiranje i procese donošenja odluka, uz funkcionalnu međusektorsku saradnju.</w:t>
            </w:r>
          </w:p>
          <w:p w:rsidR="005514DB" w:rsidRDefault="005514DB" w:rsidP="008166A6">
            <w:pPr>
              <w:numPr>
                <w:ilvl w:val="0"/>
                <w:numId w:val="6"/>
              </w:numPr>
              <w:pBdr>
                <w:top w:val="nil"/>
                <w:left w:val="nil"/>
                <w:bottom w:val="nil"/>
                <w:right w:val="nil"/>
                <w:between w:val="nil"/>
              </w:pBdr>
              <w:spacing w:after="0"/>
              <w:ind w:left="720"/>
              <w:rPr>
                <w:color w:val="000000"/>
                <w:sz w:val="20"/>
                <w:szCs w:val="20"/>
              </w:rPr>
            </w:pPr>
            <w:r>
              <w:rPr>
                <w:color w:val="000000"/>
                <w:sz w:val="20"/>
                <w:szCs w:val="20"/>
              </w:rPr>
              <w:t>Unaprijeđeni su participativni, inkluzivni i rodno odgovorni procesi kreiranja i sprovođenja sektorskih politika relevantnih za biodiverzitet, uz aktivno učešće svih ključnih aktera.</w:t>
            </w:r>
          </w:p>
          <w:p w:rsidR="005514DB" w:rsidRDefault="005514DB" w:rsidP="008166A6">
            <w:pPr>
              <w:numPr>
                <w:ilvl w:val="0"/>
                <w:numId w:val="6"/>
              </w:numPr>
              <w:pBdr>
                <w:top w:val="nil"/>
                <w:left w:val="nil"/>
                <w:bottom w:val="nil"/>
                <w:right w:val="nil"/>
                <w:between w:val="nil"/>
              </w:pBdr>
              <w:spacing w:after="0"/>
              <w:ind w:left="720"/>
              <w:rPr>
                <w:color w:val="000000"/>
                <w:sz w:val="20"/>
                <w:szCs w:val="20"/>
              </w:rPr>
            </w:pPr>
            <w:r>
              <w:rPr>
                <w:color w:val="000000"/>
                <w:sz w:val="20"/>
                <w:szCs w:val="20"/>
              </w:rPr>
              <w:t xml:space="preserve">Procjene i socio-ekonomsko vrednovanje biodiverziteta i ekosistemskih usluga sistematski se koriste u planiranju, donošenju odluka i budžetskom procesu, uz unaprijeđenu pravičnu raspodjelu koristi i primjenu </w:t>
            </w:r>
            <w:sdt>
              <w:sdtPr>
                <w:tag w:val="goog_rdk_102"/>
                <w:id w:val="-1958493843"/>
              </w:sdtPr>
              <w:sdtEndPr/>
              <w:sdtContent/>
            </w:sdt>
            <w:r>
              <w:rPr>
                <w:color w:val="000000"/>
                <w:sz w:val="20"/>
                <w:szCs w:val="20"/>
              </w:rPr>
              <w:t>rješenja zasnovanih na prirodi.</w:t>
            </w:r>
          </w:p>
          <w:p w:rsidR="005514DB" w:rsidRDefault="005514DB" w:rsidP="008166A6">
            <w:pPr>
              <w:numPr>
                <w:ilvl w:val="0"/>
                <w:numId w:val="6"/>
              </w:numPr>
              <w:pBdr>
                <w:top w:val="nil"/>
                <w:left w:val="nil"/>
                <w:bottom w:val="nil"/>
                <w:right w:val="nil"/>
                <w:between w:val="nil"/>
              </w:pBdr>
              <w:spacing w:after="0"/>
              <w:ind w:left="720"/>
              <w:rPr>
                <w:color w:val="000000"/>
                <w:sz w:val="20"/>
                <w:szCs w:val="20"/>
              </w:rPr>
            </w:pPr>
            <w:r>
              <w:rPr>
                <w:color w:val="000000"/>
                <w:sz w:val="20"/>
                <w:szCs w:val="20"/>
              </w:rPr>
              <w:lastRenderedPageBreak/>
              <w:t>Unaprijeđeno sprovođenje sektorskih propisa dovodi do smanjenja prekomjernog i neodrživog korišćenja prirodnih resursa i pritisaka na biodiverzitet.</w:t>
            </w:r>
          </w:p>
          <w:p w:rsidR="005514DB" w:rsidRDefault="00A26374" w:rsidP="008166A6">
            <w:pPr>
              <w:numPr>
                <w:ilvl w:val="0"/>
                <w:numId w:val="6"/>
              </w:numPr>
              <w:pBdr>
                <w:top w:val="nil"/>
                <w:left w:val="nil"/>
                <w:bottom w:val="nil"/>
                <w:right w:val="nil"/>
                <w:between w:val="nil"/>
              </w:pBdr>
              <w:ind w:left="720"/>
              <w:rPr>
                <w:color w:val="000000"/>
                <w:sz w:val="20"/>
                <w:szCs w:val="20"/>
              </w:rPr>
            </w:pPr>
            <w:sdt>
              <w:sdtPr>
                <w:tag w:val="goog_rdk_103"/>
                <w:id w:val="391208542"/>
              </w:sdtPr>
              <w:sdtEndPr/>
              <w:sdtContent/>
            </w:sdt>
            <w:r w:rsidR="005514DB">
              <w:rPr>
                <w:color w:val="000000"/>
                <w:sz w:val="20"/>
                <w:szCs w:val="20"/>
              </w:rPr>
              <w:t>Unaprijeđeni obrasci potrošnje i proizvodnje u ključnim sektorima smanjuju biodiverzitetski otisak i doprinose održivom korišćenju prirodnih resursa.</w:t>
            </w:r>
          </w:p>
          <w:p w:rsidR="005514DB" w:rsidRDefault="005514DB" w:rsidP="005514DB">
            <w:pPr>
              <w:rPr>
                <w:sz w:val="20"/>
                <w:szCs w:val="20"/>
              </w:rPr>
            </w:pPr>
          </w:p>
        </w:tc>
      </w:tr>
      <w:tr w:rsidR="005514DB" w:rsidTr="005514DB">
        <w:tc>
          <w:tcPr>
            <w:tcW w:w="13948" w:type="dxa"/>
            <w:gridSpan w:val="3"/>
            <w:shd w:val="clear" w:color="auto" w:fill="A8D08D"/>
            <w:vAlign w:val="center"/>
          </w:tcPr>
          <w:p w:rsidR="005514DB" w:rsidRDefault="00A26374" w:rsidP="005514DB">
            <w:pPr>
              <w:jc w:val="center"/>
              <w:rPr>
                <w:b/>
                <w:bCs/>
              </w:rPr>
            </w:pPr>
            <w:sdt>
              <w:sdtPr>
                <w:tag w:val="goog_rdk_104"/>
                <w:id w:val="1031885765"/>
              </w:sdtPr>
              <w:sdtEndPr/>
              <w:sdtContent/>
            </w:sdt>
            <w:r w:rsidR="005514DB">
              <w:rPr>
                <w:b/>
                <w:bCs/>
              </w:rPr>
              <w:t>VIZIJA</w:t>
            </w:r>
          </w:p>
        </w:tc>
      </w:tr>
      <w:tr w:rsidR="005514DB" w:rsidTr="005514DB">
        <w:tc>
          <w:tcPr>
            <w:tcW w:w="13948" w:type="dxa"/>
            <w:gridSpan w:val="3"/>
            <w:shd w:val="clear" w:color="auto" w:fill="A8D08D"/>
            <w:vAlign w:val="center"/>
          </w:tcPr>
          <w:p w:rsidR="005514DB" w:rsidRPr="00E4226C" w:rsidRDefault="005514DB" w:rsidP="005514DB">
            <w:pPr>
              <w:spacing w:before="280" w:after="280"/>
              <w:jc w:val="center"/>
              <w:rPr>
                <w:b/>
                <w:bCs/>
                <w:color w:val="000000"/>
                <w:sz w:val="23"/>
                <w:szCs w:val="23"/>
              </w:rPr>
            </w:pPr>
            <w:r w:rsidRPr="002C41E5">
              <w:rPr>
                <w:rFonts w:ascii="Arial" w:hAnsi="Arial" w:cs="Arial"/>
                <w:b/>
                <w:bCs/>
                <w:i/>
                <w:color w:val="385623" w:themeColor="accent6" w:themeShade="80"/>
              </w:rPr>
              <w:t>Crna Gora je 2050. godine društvo koje živi u harmoniji s prirodom, sa očuvanim i obnovljenim biodiverzitetom i ekosistemima, koji obezbjeđuju otpornost zajednica, pravednu raspodjelu koristi i dugoročnu dobrobit svih.</w:t>
            </w:r>
          </w:p>
        </w:tc>
      </w:tr>
      <w:tr w:rsidR="005514DB" w:rsidTr="005514DB">
        <w:tc>
          <w:tcPr>
            <w:tcW w:w="4649" w:type="dxa"/>
            <w:shd w:val="clear" w:color="auto" w:fill="C5E0B3"/>
          </w:tcPr>
          <w:p w:rsidR="005514DB" w:rsidRDefault="005514DB" w:rsidP="005514DB">
            <w:pPr>
              <w:rPr>
                <w:b/>
                <w:bCs/>
              </w:rPr>
            </w:pPr>
            <w:r>
              <w:rPr>
                <w:b/>
                <w:bCs/>
              </w:rPr>
              <w:t>STRATEŠKI CILJ 1</w:t>
            </w:r>
          </w:p>
        </w:tc>
        <w:tc>
          <w:tcPr>
            <w:tcW w:w="4649" w:type="dxa"/>
            <w:shd w:val="clear" w:color="auto" w:fill="C5E0B3"/>
          </w:tcPr>
          <w:p w:rsidR="005514DB" w:rsidRDefault="005514DB" w:rsidP="005514DB">
            <w:pPr>
              <w:rPr>
                <w:b/>
                <w:bCs/>
              </w:rPr>
            </w:pPr>
            <w:r>
              <w:rPr>
                <w:b/>
                <w:bCs/>
              </w:rPr>
              <w:t>STRATEŠKI CILJ 2</w:t>
            </w:r>
          </w:p>
        </w:tc>
        <w:tc>
          <w:tcPr>
            <w:tcW w:w="4650" w:type="dxa"/>
            <w:shd w:val="clear" w:color="auto" w:fill="C5E0B3"/>
          </w:tcPr>
          <w:p w:rsidR="005514DB" w:rsidRDefault="005514DB" w:rsidP="005514DB">
            <w:pPr>
              <w:rPr>
                <w:b/>
                <w:bCs/>
              </w:rPr>
            </w:pPr>
            <w:r>
              <w:rPr>
                <w:b/>
                <w:bCs/>
              </w:rPr>
              <w:t>STRATEŠKI CILJ 3</w:t>
            </w:r>
          </w:p>
        </w:tc>
      </w:tr>
      <w:tr w:rsidR="005514DB" w:rsidTr="005514DB">
        <w:tc>
          <w:tcPr>
            <w:tcW w:w="4649" w:type="dxa"/>
            <w:shd w:val="clear" w:color="auto" w:fill="C5E0B3"/>
          </w:tcPr>
          <w:p w:rsidR="005514DB" w:rsidRPr="00092CEF" w:rsidRDefault="005514DB" w:rsidP="008166A6">
            <w:pPr>
              <w:pStyle w:val="ListParagraph"/>
              <w:numPr>
                <w:ilvl w:val="0"/>
                <w:numId w:val="27"/>
              </w:numPr>
              <w:spacing w:after="0" w:line="240" w:lineRule="auto"/>
              <w:rPr>
                <w:b/>
                <w:bCs/>
              </w:rPr>
            </w:pPr>
            <w:r w:rsidRPr="00833081">
              <w:rPr>
                <w:b/>
                <w:bCs/>
              </w:rPr>
              <w:t>Do 2031. godine zaustavljen je gubitak biodiverziteta kroz smanjenje i kontrolu ključnih pritisaka, čuvanje i obnovu prioritetnih staništa i vrsta, restauraciju najmanje 20% degradiranih ekosistema i primjenu mjera ublažavanja i prilagođavanja klimatskim promjenama</w:t>
            </w:r>
            <w:r>
              <w:rPr>
                <w:b/>
                <w:bCs/>
              </w:rPr>
              <w:t>.</w:t>
            </w:r>
          </w:p>
        </w:tc>
        <w:tc>
          <w:tcPr>
            <w:tcW w:w="4649" w:type="dxa"/>
            <w:shd w:val="clear" w:color="auto" w:fill="C5E0B3"/>
          </w:tcPr>
          <w:p w:rsidR="005514DB" w:rsidRPr="00092CEF" w:rsidRDefault="005514DB" w:rsidP="008166A6">
            <w:pPr>
              <w:pStyle w:val="ListParagraph"/>
              <w:numPr>
                <w:ilvl w:val="0"/>
                <w:numId w:val="27"/>
              </w:numPr>
              <w:tabs>
                <w:tab w:val="left" w:pos="1140"/>
              </w:tabs>
              <w:spacing w:before="280" w:after="0" w:line="240" w:lineRule="auto"/>
              <w:rPr>
                <w:b/>
                <w:bCs/>
              </w:rPr>
            </w:pPr>
            <w:r w:rsidRPr="00474E39">
              <w:rPr>
                <w:b/>
                <w:bCs/>
              </w:rPr>
              <w:t>Do 2030. godine najmanje 30% kopna i mora čine ekološki reprezentativna i efektivna zaštitićena područja, područja ekološke mreža i druga područja sa efektivnim mjerama očuvanja biodiverziteta, uključujući 10% teritorije kopna i mora pod strogom zaštitom</w:t>
            </w:r>
            <w:r>
              <w:rPr>
                <w:b/>
                <w:bCs/>
              </w:rPr>
              <w:t>.</w:t>
            </w:r>
          </w:p>
        </w:tc>
        <w:tc>
          <w:tcPr>
            <w:tcW w:w="4650" w:type="dxa"/>
            <w:shd w:val="clear" w:color="auto" w:fill="C5E0B3"/>
          </w:tcPr>
          <w:p w:rsidR="005514DB" w:rsidRPr="00D74476" w:rsidRDefault="005514DB" w:rsidP="008166A6">
            <w:pPr>
              <w:pStyle w:val="ListParagraph"/>
              <w:numPr>
                <w:ilvl w:val="0"/>
                <w:numId w:val="27"/>
              </w:numPr>
              <w:spacing w:line="240" w:lineRule="auto"/>
              <w:rPr>
                <w:rFonts w:asciiTheme="minorHAnsi" w:hAnsiTheme="minorHAnsi" w:cstheme="minorHAnsi"/>
                <w:b/>
                <w:bCs/>
              </w:rPr>
            </w:pPr>
            <w:r w:rsidRPr="00D74476">
              <w:rPr>
                <w:rFonts w:asciiTheme="minorHAnsi" w:hAnsiTheme="minorHAnsi" w:cstheme="minorHAnsi"/>
                <w:b/>
                <w:bCs/>
              </w:rPr>
              <w:t>Do 2031. godine sektorske politike i procesi odlučivanja obezbjeđuju održivo korišćenje prirodnih resursa kroz integraciju biodiverziteta i ekosistemskih usluga.</w:t>
            </w:r>
          </w:p>
        </w:tc>
      </w:tr>
      <w:tr w:rsidR="005514DB" w:rsidTr="005514DB">
        <w:tc>
          <w:tcPr>
            <w:tcW w:w="4649" w:type="dxa"/>
            <w:shd w:val="clear" w:color="auto" w:fill="E2EFD9"/>
          </w:tcPr>
          <w:p w:rsidR="005514DB" w:rsidRDefault="005514DB" w:rsidP="005514DB">
            <w:pPr>
              <w:rPr>
                <w:b/>
                <w:bCs/>
              </w:rPr>
            </w:pPr>
            <w:r>
              <w:rPr>
                <w:b/>
                <w:bCs/>
              </w:rPr>
              <w:t>Operativni ciljevi 1</w:t>
            </w:r>
          </w:p>
        </w:tc>
        <w:tc>
          <w:tcPr>
            <w:tcW w:w="4649" w:type="dxa"/>
            <w:shd w:val="clear" w:color="auto" w:fill="E2EFD9"/>
          </w:tcPr>
          <w:p w:rsidR="005514DB" w:rsidRDefault="005514DB" w:rsidP="005514DB">
            <w:pPr>
              <w:rPr>
                <w:b/>
                <w:bCs/>
              </w:rPr>
            </w:pPr>
            <w:r>
              <w:rPr>
                <w:b/>
                <w:bCs/>
              </w:rPr>
              <w:t>Operativni ciljevi 2</w:t>
            </w:r>
          </w:p>
        </w:tc>
        <w:tc>
          <w:tcPr>
            <w:tcW w:w="4650" w:type="dxa"/>
            <w:shd w:val="clear" w:color="auto" w:fill="E2EFD9"/>
          </w:tcPr>
          <w:p w:rsidR="005514DB" w:rsidRDefault="005514DB" w:rsidP="005514DB">
            <w:pPr>
              <w:rPr>
                <w:b/>
                <w:bCs/>
              </w:rPr>
            </w:pPr>
            <w:r>
              <w:rPr>
                <w:b/>
                <w:bCs/>
              </w:rPr>
              <w:t>Operativni ciljevi 3</w:t>
            </w:r>
          </w:p>
        </w:tc>
      </w:tr>
      <w:tr w:rsidR="005514DB" w:rsidTr="005514DB">
        <w:tc>
          <w:tcPr>
            <w:tcW w:w="4649" w:type="dxa"/>
            <w:shd w:val="clear" w:color="auto" w:fill="E2EFD9"/>
          </w:tcPr>
          <w:p w:rsidR="005514DB" w:rsidRPr="00474E39" w:rsidRDefault="005514DB" w:rsidP="008166A6">
            <w:pPr>
              <w:pStyle w:val="ListParagraph"/>
              <w:numPr>
                <w:ilvl w:val="1"/>
                <w:numId w:val="16"/>
              </w:numPr>
              <w:spacing w:after="0" w:line="240" w:lineRule="auto"/>
              <w:rPr>
                <w:rFonts w:asciiTheme="minorHAnsi" w:hAnsiTheme="minorHAnsi" w:cstheme="minorHAnsi"/>
              </w:rPr>
            </w:pPr>
            <w:r w:rsidRPr="00474E39">
              <w:rPr>
                <w:rFonts w:asciiTheme="minorHAnsi" w:hAnsiTheme="minorHAnsi" w:cstheme="minorHAnsi"/>
              </w:rPr>
              <w:t>Do 2030. godine uspostavljen je funkcionalan sistem in situ i ex situ mjera očuvanja prioritetnih vrsta i staništa kroz mjere oporavka i dugoročnog praćenje stanja populacija (GBF: T4, doprinosi T21).</w:t>
            </w:r>
          </w:p>
          <w:p w:rsidR="005514DB" w:rsidRPr="00474E39" w:rsidRDefault="005514DB" w:rsidP="008166A6">
            <w:pPr>
              <w:pStyle w:val="ListParagraph"/>
              <w:numPr>
                <w:ilvl w:val="1"/>
                <w:numId w:val="16"/>
              </w:numPr>
              <w:spacing w:after="0" w:line="240" w:lineRule="auto"/>
              <w:rPr>
                <w:rFonts w:asciiTheme="minorHAnsi" w:hAnsiTheme="minorHAnsi" w:cstheme="minorHAnsi"/>
              </w:rPr>
            </w:pPr>
            <w:r w:rsidRPr="00474E39">
              <w:rPr>
                <w:rFonts w:asciiTheme="minorHAnsi" w:eastAsia="Times New Roman" w:hAnsiTheme="minorHAnsi" w:cstheme="minorHAnsi"/>
              </w:rPr>
              <w:t xml:space="preserve">Do 2030. godine restaurirano je najmanje 20% degradiranih ekosistema, uključujući </w:t>
            </w:r>
            <w:r w:rsidRPr="00474E39">
              <w:rPr>
                <w:rFonts w:asciiTheme="minorHAnsi" w:eastAsia="Times New Roman" w:hAnsiTheme="minorHAnsi" w:cstheme="minorHAnsi"/>
              </w:rPr>
              <w:lastRenderedPageBreak/>
              <w:t>primjenu rješenja zasnovanih na prirodi (GBF: T2, T1, T8, T11, T21).</w:t>
            </w:r>
          </w:p>
          <w:p w:rsidR="005514DB" w:rsidRPr="00474E39" w:rsidRDefault="005514DB" w:rsidP="008166A6">
            <w:pPr>
              <w:pStyle w:val="ListParagraph"/>
              <w:numPr>
                <w:ilvl w:val="1"/>
                <w:numId w:val="16"/>
              </w:numPr>
              <w:spacing w:after="0" w:line="240" w:lineRule="auto"/>
              <w:rPr>
                <w:rFonts w:asciiTheme="minorHAnsi" w:hAnsiTheme="minorHAnsi" w:cstheme="minorHAnsi"/>
              </w:rPr>
            </w:pPr>
            <w:r w:rsidRPr="00474E39">
              <w:rPr>
                <w:rFonts w:asciiTheme="minorHAnsi" w:eastAsia="Times New Roman" w:hAnsiTheme="minorHAnsi" w:cstheme="minorHAnsi"/>
              </w:rPr>
              <w:t>Do 2030. godine uspostavljeni su preduslovi za očuvanje genetičke raznovrsnosti i funkcionalan sistem pristupa genetičkim resursima i pravične raspodjele koristi (ABS), uz postepenu integraciju sa sektorima poljoprivrede, istraživanja i biotehnologije (GBF: T4, T13).</w:t>
            </w:r>
          </w:p>
          <w:p w:rsidR="005514DB" w:rsidRPr="00474E39" w:rsidRDefault="005514DB" w:rsidP="008166A6">
            <w:pPr>
              <w:pStyle w:val="ListParagraph"/>
              <w:numPr>
                <w:ilvl w:val="1"/>
                <w:numId w:val="16"/>
              </w:numPr>
              <w:spacing w:after="0" w:line="240" w:lineRule="auto"/>
              <w:rPr>
                <w:rFonts w:asciiTheme="minorHAnsi" w:hAnsiTheme="minorHAnsi" w:cstheme="minorHAnsi"/>
              </w:rPr>
            </w:pPr>
            <w:r w:rsidRPr="00474E39">
              <w:rPr>
                <w:rFonts w:asciiTheme="minorHAnsi" w:eastAsia="Times New Roman" w:hAnsiTheme="minorHAnsi" w:cstheme="minorHAnsi"/>
              </w:rPr>
              <w:t>Do 2030. godine uspostavljen je funkcionalan sistem za upravljanje direktnim pritiscima na biodiverzitet, uključujući invazivne vrste, zagađenje i neplanski razvoj prostora (GBF: T6, T7, T1; doprinos: T8).</w:t>
            </w:r>
          </w:p>
          <w:p w:rsidR="005514DB" w:rsidRDefault="005514DB" w:rsidP="008166A6">
            <w:pPr>
              <w:pStyle w:val="ListParagraph"/>
              <w:numPr>
                <w:ilvl w:val="1"/>
                <w:numId w:val="16"/>
              </w:numPr>
              <w:spacing w:after="0" w:line="240" w:lineRule="auto"/>
            </w:pPr>
            <w:r w:rsidRPr="00474E39">
              <w:rPr>
                <w:rFonts w:asciiTheme="minorHAnsi" w:eastAsia="Times New Roman" w:hAnsiTheme="minorHAnsi" w:cstheme="minorHAnsi"/>
              </w:rPr>
              <w:t>Do 2030. godine integrisati mjere ublažavanja uticaja klimatskih promjena na ekosisteme u planove upravljanja, restauracije, prostorno planiranje i sektorske politike (GBF: T8, T21; doprinosi: T11).</w:t>
            </w:r>
          </w:p>
        </w:tc>
        <w:tc>
          <w:tcPr>
            <w:tcW w:w="4649" w:type="dxa"/>
            <w:shd w:val="clear" w:color="auto" w:fill="E2EFD9"/>
          </w:tcPr>
          <w:p w:rsidR="005514DB" w:rsidRPr="008C2FD2" w:rsidRDefault="005514DB" w:rsidP="005514DB">
            <w:pPr>
              <w:rPr>
                <w:rFonts w:asciiTheme="minorHAnsi" w:eastAsia="Times New Roman" w:hAnsiTheme="minorHAnsi" w:cstheme="minorHAnsi"/>
              </w:rPr>
            </w:pPr>
            <w:r w:rsidRPr="008C2FD2">
              <w:rPr>
                <w:rFonts w:asciiTheme="minorHAnsi" w:eastAsia="Times New Roman" w:hAnsiTheme="minorHAnsi" w:cstheme="minorHAnsi"/>
              </w:rPr>
              <w:lastRenderedPageBreak/>
              <w:t>2.1</w:t>
            </w:r>
            <w:r>
              <w:rPr>
                <w:rFonts w:asciiTheme="minorHAnsi" w:eastAsia="Times New Roman" w:hAnsiTheme="minorHAnsi" w:cstheme="minorHAnsi"/>
              </w:rPr>
              <w:t xml:space="preserve"> </w:t>
            </w:r>
            <w:r w:rsidRPr="008C2FD2">
              <w:rPr>
                <w:rFonts w:asciiTheme="minorHAnsi" w:eastAsia="Times New Roman" w:hAnsiTheme="minorHAnsi" w:cstheme="minorHAnsi"/>
              </w:rPr>
              <w:t xml:space="preserve">Do 2030. godine najmanje 30% kopna i 30% mora, uključujući 10% područja pod strogom zaštitom, obuhvaćeno je reprezentativnom i povezanom mrežom zaštićenih područja, područja ekološke mreže (Natura 2000) i područja sa efektivnim mjerama očuvanja </w:t>
            </w:r>
            <w:r w:rsidRPr="008C2FD2">
              <w:rPr>
                <w:rFonts w:asciiTheme="minorHAnsi" w:eastAsia="Times New Roman" w:hAnsiTheme="minorHAnsi" w:cstheme="minorHAnsi"/>
              </w:rPr>
              <w:lastRenderedPageBreak/>
              <w:t>(OECM) i funkcionalno integrisana u koridore i širi kopneni i morski pejzaž (GBF T3, T1).</w:t>
            </w:r>
          </w:p>
          <w:p w:rsidR="005514DB" w:rsidRPr="008C2FD2" w:rsidRDefault="005514DB" w:rsidP="005514DB">
            <w:pPr>
              <w:rPr>
                <w:rFonts w:asciiTheme="minorHAnsi" w:eastAsia="Times New Roman" w:hAnsiTheme="minorHAnsi" w:cstheme="minorHAnsi"/>
              </w:rPr>
            </w:pPr>
          </w:p>
          <w:p w:rsidR="005514DB" w:rsidRPr="008C2FD2" w:rsidRDefault="005514DB" w:rsidP="005514DB">
            <w:pPr>
              <w:rPr>
                <w:rFonts w:asciiTheme="minorHAnsi" w:eastAsia="Times New Roman" w:hAnsiTheme="minorHAnsi" w:cstheme="minorHAnsi"/>
                <w:color w:val="000000"/>
              </w:rPr>
            </w:pPr>
            <w:r w:rsidRPr="008C2FD2">
              <w:rPr>
                <w:rFonts w:asciiTheme="minorHAnsi" w:eastAsia="Times New Roman" w:hAnsiTheme="minorHAnsi" w:cstheme="minorHAnsi"/>
                <w:color w:val="000000"/>
              </w:rPr>
              <w:t>2.2 Do 2030. godine obezbijeđeno je efektivno, stručno, participativno i adaptivno upravljanje zaštićenim područjima, ekološkom mrežom (Natura 2000) i drugim efektivnim oblastima za očuvanje biodiverziteta (OECM), zasnovano na ciljevima očuvanja i praćenju učinaka upravljanja (GBF T1, T3).</w:t>
            </w:r>
          </w:p>
          <w:p w:rsidR="005514DB" w:rsidRPr="00474E39" w:rsidRDefault="005514DB" w:rsidP="005514DB">
            <w:pPr>
              <w:spacing w:after="0" w:line="240" w:lineRule="auto"/>
              <w:rPr>
                <w:rFonts w:ascii="Arial" w:eastAsia="Times New Roman" w:hAnsi="Arial" w:cs="Arial"/>
                <w:sz w:val="20"/>
                <w:szCs w:val="20"/>
              </w:rPr>
            </w:pPr>
            <w:r w:rsidRPr="008C2FD2">
              <w:rPr>
                <w:rFonts w:asciiTheme="minorHAnsi" w:eastAsia="Times New Roman" w:hAnsiTheme="minorHAnsi" w:cstheme="minorHAnsi"/>
                <w:color w:val="000000"/>
              </w:rPr>
              <w:t>2.3 Do 2030. godine učenje, inovacije, saradnja i novi modeli upravljanja (poput kolaborativnog, privatnog, OECM, itd.) postali su sastavni dio sistema zaštite i očuvanja područja (GBF T3, 20, 22, 23).</w:t>
            </w:r>
          </w:p>
        </w:tc>
        <w:tc>
          <w:tcPr>
            <w:tcW w:w="4650" w:type="dxa"/>
            <w:shd w:val="clear" w:color="auto" w:fill="E2EFD9"/>
          </w:tcPr>
          <w:p w:rsidR="005514DB" w:rsidRPr="00D74476" w:rsidRDefault="005514DB" w:rsidP="005514DB">
            <w:pPr>
              <w:spacing w:after="200"/>
              <w:rPr>
                <w:rFonts w:asciiTheme="minorHAnsi" w:eastAsia="Times New Roman" w:hAnsiTheme="minorHAnsi" w:cstheme="minorHAnsi"/>
              </w:rPr>
            </w:pPr>
            <w:r w:rsidRPr="00D74476">
              <w:rPr>
                <w:rFonts w:asciiTheme="minorHAnsi" w:hAnsiTheme="minorHAnsi" w:cstheme="minorHAnsi"/>
              </w:rPr>
              <w:lastRenderedPageBreak/>
              <w:t xml:space="preserve">3.1 </w:t>
            </w:r>
            <w:r w:rsidRPr="00D74476">
              <w:rPr>
                <w:rFonts w:asciiTheme="minorHAnsi" w:eastAsia="Times New Roman" w:hAnsiTheme="minorHAnsi" w:cstheme="minorHAnsi"/>
              </w:rPr>
              <w:t>Do 2031. godine biodiverzitet i ekosistemske usluge su integrisani u ključne sektorske politike i planove kroz funkcionalne međusektorske mehanizme i unaprijeđene procedure strateškog planiranja (GBF: T10, T14; doprinosi T1).</w:t>
            </w:r>
          </w:p>
          <w:p w:rsidR="005514DB" w:rsidRPr="00D74476" w:rsidRDefault="005514DB" w:rsidP="005514DB">
            <w:pPr>
              <w:spacing w:after="200"/>
              <w:rPr>
                <w:rFonts w:asciiTheme="minorHAnsi" w:eastAsia="Times New Roman" w:hAnsiTheme="minorHAnsi" w:cstheme="minorHAnsi"/>
              </w:rPr>
            </w:pPr>
            <w:r w:rsidRPr="00D74476">
              <w:rPr>
                <w:rFonts w:asciiTheme="minorHAnsi" w:eastAsia="Times New Roman" w:hAnsiTheme="minorHAnsi" w:cstheme="minorHAnsi"/>
              </w:rPr>
              <w:lastRenderedPageBreak/>
              <w:t>3.2 Do 2030. godine, unaprijeđeno je znanje o vrijednostima i uslugama ekosistema koje pružaju društvu i stvoren osnov za integraciju njihove vrijednosti u procese donošenja odluka (GBF: T14, doprinosi T19).</w:t>
            </w:r>
          </w:p>
          <w:p w:rsidR="005514DB" w:rsidRPr="00D74476" w:rsidRDefault="005514DB" w:rsidP="005514DB">
            <w:pPr>
              <w:spacing w:after="200"/>
              <w:rPr>
                <w:rFonts w:asciiTheme="minorHAnsi" w:eastAsia="Times New Roman" w:hAnsiTheme="minorHAnsi" w:cstheme="minorHAnsi"/>
              </w:rPr>
            </w:pPr>
            <w:r w:rsidRPr="00D74476">
              <w:rPr>
                <w:rFonts w:asciiTheme="minorHAnsi" w:eastAsia="Times New Roman" w:hAnsiTheme="minorHAnsi" w:cstheme="minorHAnsi"/>
              </w:rPr>
              <w:t>3.3 Do 2031. godine, rješenja zasnovanih na prirodi (NbS) i zelene/plave infrastrukture se sistemski primjenjuju u procesima donošenja odluka, kako bi se povećala otpornost zajednica na klimatske promjene i očuvali biodiverzitet i ekosistemske usluge (GBF: T8, T11, T12).</w:t>
            </w:r>
          </w:p>
          <w:p w:rsidR="005514DB" w:rsidRPr="00D74476" w:rsidRDefault="005514DB" w:rsidP="005514DB">
            <w:pPr>
              <w:spacing w:after="200"/>
              <w:rPr>
                <w:rFonts w:asciiTheme="minorHAnsi" w:eastAsia="Times New Roman" w:hAnsiTheme="minorHAnsi" w:cstheme="minorHAnsi"/>
              </w:rPr>
            </w:pPr>
            <w:r w:rsidRPr="00D74476">
              <w:rPr>
                <w:rFonts w:asciiTheme="minorHAnsi" w:eastAsia="Times New Roman" w:hAnsiTheme="minorHAnsi" w:cstheme="minorHAnsi"/>
              </w:rPr>
              <w:t>3.4 Do 2031. godine unaprijeđeno je sprovođenje sektorskih propisa koji utiču na biodiverzitet kroz jačanje zakonodavnog okvira i njegove implementacije (GBF: T9, T14, T15, doprinosi T5).</w:t>
            </w:r>
          </w:p>
          <w:p w:rsidR="005514DB" w:rsidRPr="00D74476" w:rsidRDefault="005514DB" w:rsidP="005514DB">
            <w:pPr>
              <w:spacing w:after="200" w:line="240" w:lineRule="auto"/>
              <w:rPr>
                <w:rFonts w:asciiTheme="minorHAnsi" w:hAnsiTheme="minorHAnsi" w:cstheme="minorHAnsi"/>
              </w:rPr>
            </w:pPr>
            <w:r w:rsidRPr="00D74476">
              <w:rPr>
                <w:rFonts w:asciiTheme="minorHAnsi" w:eastAsia="Times New Roman" w:hAnsiTheme="minorHAnsi" w:cstheme="minorHAnsi"/>
              </w:rPr>
              <w:t>3.5 Do 2031. godine unaprijeđeni su obrasci potrošnje i proizvodnje u ključnim sektorima kroz mjere koje smanjuju negativni biodiverzitetski otisak i podstiču odgovorne lance snabdijevanja (GBF: T16, doprinosi T7, T10, T15, T18, T19).</w:t>
            </w:r>
          </w:p>
        </w:tc>
      </w:tr>
      <w:tr w:rsidR="005514DB" w:rsidTr="005514DB">
        <w:tc>
          <w:tcPr>
            <w:tcW w:w="13948" w:type="dxa"/>
            <w:gridSpan w:val="3"/>
            <w:shd w:val="clear" w:color="auto" w:fill="C5E0B3"/>
          </w:tcPr>
          <w:p w:rsidR="005514DB" w:rsidRDefault="005514DB" w:rsidP="005514DB">
            <w:pPr>
              <w:rPr>
                <w:b/>
                <w:bCs/>
              </w:rPr>
            </w:pPr>
            <w:r>
              <w:rPr>
                <w:b/>
                <w:bCs/>
              </w:rPr>
              <w:lastRenderedPageBreak/>
              <w:t>HORIZONTALNI STRATEŠKI CILJ 4</w:t>
            </w:r>
          </w:p>
        </w:tc>
      </w:tr>
      <w:tr w:rsidR="005514DB" w:rsidTr="005514DB">
        <w:tc>
          <w:tcPr>
            <w:tcW w:w="13948" w:type="dxa"/>
            <w:gridSpan w:val="3"/>
            <w:shd w:val="clear" w:color="auto" w:fill="C5E0B3"/>
          </w:tcPr>
          <w:p w:rsidR="005514DB" w:rsidRPr="002A5432" w:rsidRDefault="005514DB" w:rsidP="008166A6">
            <w:pPr>
              <w:pStyle w:val="ListParagraph"/>
              <w:numPr>
                <w:ilvl w:val="0"/>
                <w:numId w:val="27"/>
              </w:numPr>
              <w:pBdr>
                <w:top w:val="nil"/>
                <w:left w:val="nil"/>
                <w:bottom w:val="nil"/>
                <w:right w:val="nil"/>
                <w:between w:val="nil"/>
              </w:pBdr>
              <w:spacing w:after="0" w:line="240" w:lineRule="auto"/>
              <w:rPr>
                <w:rFonts w:asciiTheme="minorHAnsi" w:hAnsiTheme="minorHAnsi" w:cstheme="minorHAnsi"/>
                <w:b/>
                <w:bCs/>
                <w:color w:val="000000"/>
              </w:rPr>
            </w:pPr>
            <w:r w:rsidRPr="002A5432">
              <w:rPr>
                <w:rFonts w:asciiTheme="minorHAnsi" w:hAnsiTheme="minorHAnsi" w:cstheme="minorHAnsi"/>
                <w:b/>
                <w:bCs/>
                <w:color w:val="000000"/>
              </w:rPr>
              <w:t>Do 2031. godine funkcioniše, efikasan, koordinisan i inkluzivan institucionalni sistem za zaštitu, obnovu i očuvanje biodiverziteta, sa jasnim nadležnostima, obezbijeđenim finansijskim i ljudskim kapacitetima, sa transparentnim, inkluzivnim i rodno odgovornim odlučivanjem zasnovanim na stručnim podacima.</w:t>
            </w:r>
          </w:p>
        </w:tc>
      </w:tr>
      <w:tr w:rsidR="005514DB" w:rsidTr="005514DB">
        <w:tc>
          <w:tcPr>
            <w:tcW w:w="13948" w:type="dxa"/>
            <w:gridSpan w:val="3"/>
            <w:shd w:val="clear" w:color="auto" w:fill="E2EFD9"/>
          </w:tcPr>
          <w:p w:rsidR="005514DB" w:rsidRPr="002A5432" w:rsidRDefault="005514DB" w:rsidP="005514DB">
            <w:pPr>
              <w:rPr>
                <w:rFonts w:asciiTheme="minorHAnsi" w:hAnsiTheme="minorHAnsi" w:cstheme="minorHAnsi"/>
                <w:b/>
                <w:bCs/>
              </w:rPr>
            </w:pPr>
            <w:r w:rsidRPr="002A5432">
              <w:rPr>
                <w:rFonts w:asciiTheme="minorHAnsi" w:hAnsiTheme="minorHAnsi" w:cstheme="minorHAnsi"/>
                <w:b/>
                <w:bCs/>
              </w:rPr>
              <w:t>Operativni ciljevi 4</w:t>
            </w:r>
          </w:p>
        </w:tc>
      </w:tr>
      <w:tr w:rsidR="005514DB" w:rsidTr="005514DB">
        <w:tc>
          <w:tcPr>
            <w:tcW w:w="13948" w:type="dxa"/>
            <w:gridSpan w:val="3"/>
            <w:shd w:val="clear" w:color="auto" w:fill="E2EFD9"/>
          </w:tcPr>
          <w:p w:rsidR="005514DB" w:rsidRPr="002A5432" w:rsidRDefault="005514DB" w:rsidP="008166A6">
            <w:pPr>
              <w:pStyle w:val="ListParagraph"/>
              <w:numPr>
                <w:ilvl w:val="1"/>
                <w:numId w:val="27"/>
              </w:numPr>
              <w:spacing w:after="0" w:line="240" w:lineRule="auto"/>
              <w:rPr>
                <w:rFonts w:asciiTheme="minorHAnsi" w:eastAsia="Times New Roman" w:hAnsiTheme="minorHAnsi" w:cstheme="minorHAnsi"/>
              </w:rPr>
            </w:pPr>
            <w:r w:rsidRPr="002A5432">
              <w:rPr>
                <w:rFonts w:asciiTheme="minorHAnsi" w:eastAsia="Times New Roman" w:hAnsiTheme="minorHAnsi" w:cstheme="minorHAnsi"/>
              </w:rPr>
              <w:t>Do 2031. godine ojačani su ljudski i institucionalni kapaciteti za zaštitu i održivo korišćenje biodiverziteta (GBF: T20, T21, T19; doprinos skoro svim ostalim ciljevima i zadacima).</w:t>
            </w:r>
          </w:p>
          <w:p w:rsidR="005514DB" w:rsidRPr="002A5432" w:rsidRDefault="005514DB" w:rsidP="008166A6">
            <w:pPr>
              <w:pStyle w:val="ListParagraph"/>
              <w:numPr>
                <w:ilvl w:val="1"/>
                <w:numId w:val="27"/>
              </w:numPr>
              <w:spacing w:after="0" w:line="240" w:lineRule="auto"/>
              <w:rPr>
                <w:rFonts w:asciiTheme="minorHAnsi" w:eastAsia="Times New Roman" w:hAnsiTheme="minorHAnsi" w:cstheme="minorHAnsi"/>
              </w:rPr>
            </w:pPr>
            <w:r w:rsidRPr="002A5432">
              <w:rPr>
                <w:rFonts w:asciiTheme="minorHAnsi" w:eastAsia="Times New Roman" w:hAnsiTheme="minorHAnsi" w:cstheme="minorHAnsi"/>
              </w:rPr>
              <w:lastRenderedPageBreak/>
              <w:t>Do 2031. godine uspostavljen je i dosljedno se primjenjuje okvir koji obezbjeđuje za rodno odgovorno, inkluzivno i participativno učešće građana/ki, lokalnih zajednica i  ranjivih grupa u planiranju, donošenju i sprovođenju odluka koje utiču na biodiverzitet (GBF: T22, T23, doprinosi T21; prozima se kroz sve ostale ciljeve i zadatke).</w:t>
            </w:r>
          </w:p>
          <w:p w:rsidR="005514DB" w:rsidRPr="002A5432" w:rsidRDefault="005514DB" w:rsidP="008166A6">
            <w:pPr>
              <w:pStyle w:val="ListParagraph"/>
              <w:numPr>
                <w:ilvl w:val="1"/>
                <w:numId w:val="27"/>
              </w:numPr>
              <w:spacing w:after="0" w:line="240" w:lineRule="auto"/>
              <w:rPr>
                <w:rFonts w:asciiTheme="minorHAnsi" w:hAnsiTheme="minorHAnsi" w:cstheme="minorHAnsi"/>
              </w:rPr>
            </w:pPr>
            <w:r w:rsidRPr="002A5432">
              <w:rPr>
                <w:rFonts w:asciiTheme="minorHAnsi" w:hAnsiTheme="minorHAnsi" w:cstheme="minorHAnsi"/>
              </w:rPr>
              <w:t>Do 2031. godine, izdvajanja javnog sektora za očuvanje biodiverziteta su uvećana najmanje dva puta, osigurani su stabilni izvori finansiranja za sva zaštićena područja i povećana izdvajanja privatnog sektora (GBF: T19; doprinos T14, T15, T18).</w:t>
            </w:r>
          </w:p>
          <w:p w:rsidR="005514DB" w:rsidRPr="002A5432" w:rsidRDefault="005514DB" w:rsidP="008166A6">
            <w:pPr>
              <w:pStyle w:val="ListParagraph"/>
              <w:numPr>
                <w:ilvl w:val="1"/>
                <w:numId w:val="27"/>
              </w:numPr>
              <w:spacing w:after="0" w:line="240" w:lineRule="auto"/>
              <w:rPr>
                <w:rFonts w:asciiTheme="minorHAnsi" w:hAnsiTheme="minorHAnsi" w:cstheme="minorHAnsi"/>
              </w:rPr>
            </w:pPr>
            <w:r w:rsidRPr="002A5432">
              <w:rPr>
                <w:rFonts w:asciiTheme="minorHAnsi" w:hAnsiTheme="minorHAnsi" w:cstheme="minorHAnsi"/>
              </w:rPr>
              <w:t>Do 2031. godine, reformisani su postojeći podsticaji u cilju očuvanja i održivog korišćenja biodiverziteta (GBF: T18; T15; T10).</w:t>
            </w:r>
          </w:p>
          <w:p w:rsidR="005514DB" w:rsidRPr="002A5432" w:rsidRDefault="005514DB" w:rsidP="008166A6">
            <w:pPr>
              <w:pStyle w:val="ListParagraph"/>
              <w:numPr>
                <w:ilvl w:val="1"/>
                <w:numId w:val="27"/>
              </w:numPr>
              <w:spacing w:after="0" w:line="240" w:lineRule="auto"/>
              <w:rPr>
                <w:rFonts w:asciiTheme="minorHAnsi" w:hAnsiTheme="minorHAnsi" w:cstheme="minorHAnsi"/>
              </w:rPr>
            </w:pPr>
            <w:r w:rsidRPr="002A5432">
              <w:rPr>
                <w:rFonts w:asciiTheme="minorHAnsi" w:hAnsiTheme="minorHAnsi" w:cstheme="minorHAnsi"/>
              </w:rPr>
              <w:t>Do 2031. godine povećan je nivo javne informisanosti i razumijevanja biodiverziteta, usluga ekosistema i njihovog doprinosa blagostanju, kao i društvene p</w:t>
            </w:r>
            <w:r>
              <w:rPr>
                <w:rFonts w:asciiTheme="minorHAnsi" w:hAnsiTheme="minorHAnsi" w:cstheme="minorHAnsi"/>
              </w:rPr>
              <w:t xml:space="preserve">odrške očuvanju biodiverziteta </w:t>
            </w:r>
            <w:r w:rsidRPr="002A5432">
              <w:rPr>
                <w:rFonts w:asciiTheme="minorHAnsi" w:hAnsiTheme="minorHAnsi" w:cstheme="minorHAnsi"/>
              </w:rPr>
              <w:t>(GBF: T21, T22; doprinos ostalim ciljevima i zadacima).</w:t>
            </w:r>
          </w:p>
          <w:p w:rsidR="005514DB" w:rsidRPr="002A5432" w:rsidRDefault="005514DB" w:rsidP="008166A6">
            <w:pPr>
              <w:pStyle w:val="ListParagraph"/>
              <w:numPr>
                <w:ilvl w:val="1"/>
                <w:numId w:val="27"/>
              </w:numPr>
              <w:spacing w:after="0" w:line="240" w:lineRule="auto"/>
              <w:rPr>
                <w:rFonts w:asciiTheme="minorHAnsi" w:hAnsiTheme="minorHAnsi" w:cstheme="minorHAnsi"/>
              </w:rPr>
            </w:pPr>
            <w:r w:rsidRPr="002A5432">
              <w:rPr>
                <w:rFonts w:asciiTheme="minorHAnsi" w:eastAsia="Times New Roman" w:hAnsiTheme="minorHAnsi" w:cstheme="minorHAnsi"/>
              </w:rPr>
              <w:t>Do 2030. godine uspostavljen je funkcionalan, standardizovan i održiv nacionalni sistem monitoringa, upravljanja podacima i znanjem o biodiverzitetu za informisano odlučivanje, adaptivno upravljanje i transparentno izvještavanje (GBF: T21, doprinosi T20, T14).</w:t>
            </w:r>
          </w:p>
          <w:p w:rsidR="005514DB" w:rsidRPr="002A5432" w:rsidRDefault="005514DB" w:rsidP="008166A6">
            <w:pPr>
              <w:pStyle w:val="ListParagraph"/>
              <w:numPr>
                <w:ilvl w:val="1"/>
                <w:numId w:val="27"/>
              </w:numPr>
              <w:spacing w:after="0" w:line="240" w:lineRule="auto"/>
              <w:rPr>
                <w:rFonts w:asciiTheme="minorHAnsi" w:hAnsiTheme="minorHAnsi" w:cstheme="minorHAnsi"/>
              </w:rPr>
            </w:pPr>
            <w:r w:rsidRPr="002A5432">
              <w:rPr>
                <w:rFonts w:asciiTheme="minorHAnsi" w:hAnsiTheme="minorHAnsi" w:cstheme="minorHAnsi"/>
              </w:rPr>
              <w:t>Do 2030. godine uspostavljen je funkcionalan sistem prepoznavanja, dokumentovanja, zaštite i primjene tradicionalnih znanja, inovacija i praksi lokalnih zajednica relevantnih za očuvanje i održivo korišćenje biodiverziteta, uz poštovanje prava nosilaca znanja i principa pravedne raspodjele koristi (GBF: T13, 22, doprinosi T21, T23).</w:t>
            </w:r>
          </w:p>
        </w:tc>
      </w:tr>
    </w:tbl>
    <w:p w:rsidR="005514DB" w:rsidRDefault="005514DB" w:rsidP="005514DB"/>
    <w:p w:rsidR="00217AFA" w:rsidRDefault="00217AFA">
      <w:pPr>
        <w:sectPr w:rsidR="00217AFA">
          <w:pgSz w:w="16838" w:h="11906" w:orient="landscape"/>
          <w:pgMar w:top="1440" w:right="1440" w:bottom="1440" w:left="1440" w:header="708" w:footer="708" w:gutter="0"/>
          <w:cols w:space="720"/>
        </w:sectPr>
      </w:pPr>
    </w:p>
    <w:p w:rsidR="005514DB" w:rsidRPr="00217AFA" w:rsidRDefault="00217AFA" w:rsidP="00217AFA">
      <w:pPr>
        <w:pStyle w:val="Heading2"/>
        <w:rPr>
          <w:rFonts w:ascii="Arial" w:hAnsi="Arial" w:cs="Arial"/>
          <w:sz w:val="32"/>
          <w:szCs w:val="32"/>
        </w:rPr>
      </w:pPr>
      <w:bookmarkStart w:id="55" w:name="_Toc222754403"/>
      <w:r w:rsidRPr="00217AFA">
        <w:rPr>
          <w:rFonts w:ascii="Arial" w:hAnsi="Arial" w:cs="Arial"/>
          <w:sz w:val="32"/>
          <w:szCs w:val="32"/>
        </w:rPr>
        <w:lastRenderedPageBreak/>
        <w:t>Prilog</w:t>
      </w:r>
      <w:r w:rsidR="0041151F">
        <w:rPr>
          <w:rFonts w:ascii="Arial" w:hAnsi="Arial" w:cs="Arial"/>
          <w:sz w:val="32"/>
          <w:szCs w:val="32"/>
        </w:rPr>
        <w:t xml:space="preserve"> VI</w:t>
      </w:r>
      <w:bookmarkEnd w:id="55"/>
    </w:p>
    <w:p w:rsidR="00217AFA" w:rsidRPr="00F17CDE" w:rsidRDefault="00217AFA" w:rsidP="00217AFA">
      <w:pPr>
        <w:pStyle w:val="Heading3"/>
        <w:rPr>
          <w:rFonts w:ascii="Arial" w:hAnsi="Arial" w:cs="Arial"/>
          <w:b w:val="0"/>
          <w:sz w:val="26"/>
          <w:szCs w:val="26"/>
        </w:rPr>
      </w:pPr>
      <w:bookmarkStart w:id="56" w:name="_Toc222754404"/>
      <w:r w:rsidRPr="00217AFA">
        <w:rPr>
          <w:rFonts w:ascii="Arial" w:hAnsi="Arial" w:cs="Arial"/>
          <w:sz w:val="26"/>
          <w:szCs w:val="26"/>
        </w:rPr>
        <w:t xml:space="preserve">Tabela </w:t>
      </w:r>
      <w:r w:rsidR="00F17CDE">
        <w:rPr>
          <w:rFonts w:ascii="Arial" w:hAnsi="Arial" w:cs="Arial"/>
          <w:sz w:val="26"/>
          <w:szCs w:val="26"/>
        </w:rPr>
        <w:t>0</w:t>
      </w:r>
      <w:r w:rsidRPr="00217AFA">
        <w:rPr>
          <w:rFonts w:ascii="Arial" w:hAnsi="Arial" w:cs="Arial"/>
          <w:sz w:val="26"/>
          <w:szCs w:val="26"/>
        </w:rPr>
        <w:t>5</w:t>
      </w:r>
      <w:r w:rsidRPr="006C6361">
        <w:rPr>
          <w:rFonts w:ascii="Arial" w:hAnsi="Arial" w:cs="Arial"/>
          <w:b w:val="0"/>
          <w:sz w:val="26"/>
          <w:szCs w:val="26"/>
        </w:rPr>
        <w:t xml:space="preserve"> </w:t>
      </w:r>
      <w:r w:rsidRPr="00F17CDE">
        <w:rPr>
          <w:rFonts w:ascii="Arial" w:hAnsi="Arial" w:cs="Arial"/>
          <w:b w:val="0"/>
          <w:sz w:val="26"/>
          <w:szCs w:val="26"/>
        </w:rPr>
        <w:t>–</w:t>
      </w:r>
      <w:r w:rsidR="00F17CDE" w:rsidRPr="00F17CDE">
        <w:rPr>
          <w:rFonts w:ascii="Arial" w:hAnsi="Arial" w:cs="Arial"/>
          <w:b w:val="0"/>
          <w:sz w:val="26"/>
          <w:szCs w:val="26"/>
        </w:rPr>
        <w:t xml:space="preserve"> T</w:t>
      </w:r>
      <w:r w:rsidRPr="00F17CDE">
        <w:rPr>
          <w:rFonts w:ascii="Arial" w:hAnsi="Arial" w:cs="Arial"/>
          <w:b w:val="0"/>
          <w:sz w:val="26"/>
          <w:szCs w:val="26"/>
        </w:rPr>
        <w:t>abelarni prikaz analize zainteresovanih strana</w:t>
      </w:r>
      <w:bookmarkEnd w:id="56"/>
    </w:p>
    <w:p w:rsidR="00217AFA" w:rsidRPr="00F17CDE" w:rsidRDefault="00217AFA"/>
    <w:tbl>
      <w:tblPr>
        <w:tblStyle w:val="TableGrid"/>
        <w:tblW w:w="0" w:type="auto"/>
        <w:tblLook w:val="04A0" w:firstRow="1" w:lastRow="0" w:firstColumn="1" w:lastColumn="0" w:noHBand="0" w:noVBand="1"/>
      </w:tblPr>
      <w:tblGrid>
        <w:gridCol w:w="1896"/>
        <w:gridCol w:w="1554"/>
        <w:gridCol w:w="2113"/>
        <w:gridCol w:w="966"/>
        <w:gridCol w:w="1411"/>
        <w:gridCol w:w="1287"/>
        <w:gridCol w:w="1591"/>
        <w:gridCol w:w="1070"/>
        <w:gridCol w:w="2060"/>
      </w:tblGrid>
      <w:tr w:rsidR="00C90628" w:rsidRPr="0091677B" w:rsidTr="00C90628">
        <w:trPr>
          <w:trHeight w:val="290"/>
        </w:trPr>
        <w:tc>
          <w:tcPr>
            <w:tcW w:w="1902" w:type="dxa"/>
            <w:shd w:val="clear" w:color="auto" w:fill="E7E6E6" w:themeFill="background2"/>
            <w:noWrap/>
            <w:hideMark/>
          </w:tcPr>
          <w:p w:rsidR="00217AFA" w:rsidRPr="0091677B" w:rsidRDefault="00217AFA" w:rsidP="004F4BEF">
            <w:pPr>
              <w:rPr>
                <w:b/>
                <w:bCs/>
              </w:rPr>
            </w:pPr>
            <w:r w:rsidRPr="0091677B">
              <w:rPr>
                <w:b/>
                <w:bCs/>
              </w:rPr>
              <w:t>Kategorija</w:t>
            </w:r>
          </w:p>
        </w:tc>
        <w:tc>
          <w:tcPr>
            <w:tcW w:w="1557" w:type="dxa"/>
            <w:shd w:val="clear" w:color="auto" w:fill="E7E6E6" w:themeFill="background2"/>
            <w:noWrap/>
            <w:hideMark/>
          </w:tcPr>
          <w:p w:rsidR="00217AFA" w:rsidRPr="0091677B" w:rsidRDefault="00217AFA" w:rsidP="004F4BEF">
            <w:pPr>
              <w:rPr>
                <w:b/>
                <w:bCs/>
              </w:rPr>
            </w:pPr>
            <w:r w:rsidRPr="0091677B">
              <w:rPr>
                <w:b/>
                <w:bCs/>
              </w:rPr>
              <w:t>Zainteresovana strana</w:t>
            </w:r>
          </w:p>
        </w:tc>
        <w:tc>
          <w:tcPr>
            <w:tcW w:w="2118" w:type="dxa"/>
            <w:shd w:val="clear" w:color="auto" w:fill="E7E6E6" w:themeFill="background2"/>
            <w:noWrap/>
            <w:hideMark/>
          </w:tcPr>
          <w:p w:rsidR="00217AFA" w:rsidRPr="0091677B" w:rsidRDefault="00217AFA" w:rsidP="004F4BEF">
            <w:pPr>
              <w:rPr>
                <w:b/>
                <w:bCs/>
              </w:rPr>
            </w:pPr>
            <w:r w:rsidRPr="0091677B">
              <w:rPr>
                <w:b/>
                <w:bCs/>
              </w:rPr>
              <w:t>Odnos (relacija) prema Strategiji</w:t>
            </w:r>
          </w:p>
        </w:tc>
        <w:tc>
          <w:tcPr>
            <w:tcW w:w="1005" w:type="dxa"/>
            <w:shd w:val="clear" w:color="auto" w:fill="E7E6E6" w:themeFill="background2"/>
            <w:noWrap/>
            <w:hideMark/>
          </w:tcPr>
          <w:p w:rsidR="00217AFA" w:rsidRPr="0091677B" w:rsidRDefault="00217AFA" w:rsidP="004F4BEF">
            <w:pPr>
              <w:rPr>
                <w:b/>
                <w:bCs/>
              </w:rPr>
            </w:pPr>
            <w:r w:rsidRPr="0091677B">
              <w:rPr>
                <w:b/>
                <w:bCs/>
              </w:rPr>
              <w:t>Interes (1–5)</w:t>
            </w:r>
          </w:p>
        </w:tc>
        <w:tc>
          <w:tcPr>
            <w:tcW w:w="1474" w:type="dxa"/>
            <w:shd w:val="clear" w:color="auto" w:fill="E7E6E6" w:themeFill="background2"/>
            <w:noWrap/>
            <w:hideMark/>
          </w:tcPr>
          <w:p w:rsidR="00217AFA" w:rsidRPr="0091677B" w:rsidRDefault="00217AFA" w:rsidP="004F4BEF">
            <w:pPr>
              <w:rPr>
                <w:b/>
                <w:bCs/>
              </w:rPr>
            </w:pPr>
            <w:r w:rsidRPr="0091677B">
              <w:rPr>
                <w:b/>
                <w:bCs/>
              </w:rPr>
              <w:t>Snaga/uticaj (1–5)</w:t>
            </w:r>
          </w:p>
        </w:tc>
        <w:tc>
          <w:tcPr>
            <w:tcW w:w="1289" w:type="dxa"/>
            <w:shd w:val="clear" w:color="auto" w:fill="E7E6E6" w:themeFill="background2"/>
            <w:noWrap/>
            <w:hideMark/>
          </w:tcPr>
          <w:p w:rsidR="00217AFA" w:rsidRPr="0091677B" w:rsidRDefault="00217AFA" w:rsidP="004F4BEF">
            <w:pPr>
              <w:rPr>
                <w:b/>
                <w:bCs/>
              </w:rPr>
            </w:pPr>
            <w:r w:rsidRPr="0091677B">
              <w:rPr>
                <w:b/>
                <w:bCs/>
              </w:rPr>
              <w:t>Tip učešća</w:t>
            </w:r>
          </w:p>
        </w:tc>
        <w:tc>
          <w:tcPr>
            <w:tcW w:w="1423" w:type="dxa"/>
            <w:shd w:val="clear" w:color="auto" w:fill="E7E6E6" w:themeFill="background2"/>
            <w:noWrap/>
            <w:hideMark/>
          </w:tcPr>
          <w:p w:rsidR="00217AFA" w:rsidRPr="0091677B" w:rsidRDefault="00217AFA" w:rsidP="004F4BEF">
            <w:pPr>
              <w:rPr>
                <w:b/>
                <w:bCs/>
              </w:rPr>
            </w:pPr>
            <w:r w:rsidRPr="0091677B">
              <w:rPr>
                <w:b/>
                <w:bCs/>
              </w:rPr>
              <w:t>Način uključivanja</w:t>
            </w:r>
          </w:p>
        </w:tc>
        <w:tc>
          <w:tcPr>
            <w:tcW w:w="1115" w:type="dxa"/>
            <w:shd w:val="clear" w:color="auto" w:fill="E7E6E6" w:themeFill="background2"/>
            <w:noWrap/>
            <w:hideMark/>
          </w:tcPr>
          <w:p w:rsidR="00217AFA" w:rsidRPr="0091677B" w:rsidRDefault="00217AFA" w:rsidP="004F4BEF">
            <w:pPr>
              <w:rPr>
                <w:b/>
                <w:bCs/>
              </w:rPr>
            </w:pPr>
            <w:r w:rsidRPr="0091677B">
              <w:rPr>
                <w:b/>
                <w:bCs/>
              </w:rPr>
              <w:t>Prioritet (I+S)</w:t>
            </w:r>
          </w:p>
        </w:tc>
        <w:tc>
          <w:tcPr>
            <w:tcW w:w="2065" w:type="dxa"/>
            <w:shd w:val="clear" w:color="auto" w:fill="E7E6E6" w:themeFill="background2"/>
            <w:noWrap/>
            <w:hideMark/>
          </w:tcPr>
          <w:p w:rsidR="00217AFA" w:rsidRPr="0091677B" w:rsidRDefault="00217AFA" w:rsidP="004F4BEF">
            <w:pPr>
              <w:rPr>
                <w:b/>
                <w:bCs/>
              </w:rPr>
            </w:pPr>
            <w:r w:rsidRPr="0091677B">
              <w:rPr>
                <w:b/>
                <w:bCs/>
              </w:rPr>
              <w:t>Napomena / Rizici i izazovi</w:t>
            </w:r>
          </w:p>
        </w:tc>
      </w:tr>
      <w:tr w:rsidR="00C90628" w:rsidRPr="0091677B" w:rsidTr="00C90628">
        <w:trPr>
          <w:trHeight w:val="290"/>
        </w:trPr>
        <w:tc>
          <w:tcPr>
            <w:tcW w:w="1902" w:type="dxa"/>
            <w:vMerge w:val="restart"/>
            <w:noWrap/>
            <w:hideMark/>
          </w:tcPr>
          <w:p w:rsidR="00217AFA" w:rsidRPr="0091677B" w:rsidRDefault="00217AFA" w:rsidP="004F4BEF">
            <w:r w:rsidRPr="0091677B">
              <w:t>Ministarstva i državni organi</w:t>
            </w:r>
          </w:p>
        </w:tc>
        <w:tc>
          <w:tcPr>
            <w:tcW w:w="1557" w:type="dxa"/>
            <w:noWrap/>
            <w:hideMark/>
          </w:tcPr>
          <w:p w:rsidR="00217AFA" w:rsidRPr="0091677B" w:rsidRDefault="00217AFA" w:rsidP="004F4BEF">
            <w:r w:rsidRPr="0091677B">
              <w:t>Ministarstvo ekologije, održivog razvoja i razvoja sjevera</w:t>
            </w:r>
          </w:p>
        </w:tc>
        <w:tc>
          <w:tcPr>
            <w:tcW w:w="2118" w:type="dxa"/>
            <w:noWrap/>
            <w:hideMark/>
          </w:tcPr>
          <w:p w:rsidR="00217AFA" w:rsidRPr="0091677B" w:rsidRDefault="00217AFA" w:rsidP="004F4BEF">
            <w:r w:rsidRPr="0091677B">
              <w:t>Nosilac politike i koordinacije sprovođenja</w:t>
            </w:r>
          </w:p>
        </w:tc>
        <w:tc>
          <w:tcPr>
            <w:tcW w:w="1005" w:type="dxa"/>
            <w:noWrap/>
            <w:hideMark/>
          </w:tcPr>
          <w:p w:rsidR="00217AFA" w:rsidRPr="0091677B" w:rsidRDefault="00217AFA" w:rsidP="004F4BEF">
            <w:r w:rsidRPr="0091677B">
              <w:t>5</w:t>
            </w:r>
          </w:p>
        </w:tc>
        <w:tc>
          <w:tcPr>
            <w:tcW w:w="1474" w:type="dxa"/>
            <w:noWrap/>
            <w:hideMark/>
          </w:tcPr>
          <w:p w:rsidR="00217AFA" w:rsidRPr="0091677B" w:rsidRDefault="00217AFA" w:rsidP="004F4BEF">
            <w:r w:rsidRPr="0091677B">
              <w:t>5</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Međuresorn</w:t>
            </w:r>
            <w:r>
              <w:t xml:space="preserve">e radne grupe; godišnje </w:t>
            </w:r>
            <w:r w:rsidRPr="0091677B">
              <w:t>izvještavanje</w:t>
            </w:r>
          </w:p>
        </w:tc>
        <w:tc>
          <w:tcPr>
            <w:tcW w:w="1115" w:type="dxa"/>
            <w:noWrap/>
            <w:hideMark/>
          </w:tcPr>
          <w:p w:rsidR="00217AFA" w:rsidRPr="0091677B" w:rsidRDefault="00217AFA" w:rsidP="004F4BEF">
            <w:r w:rsidRPr="0091677B">
              <w:t>10</w:t>
            </w:r>
          </w:p>
        </w:tc>
        <w:tc>
          <w:tcPr>
            <w:tcW w:w="2065" w:type="dxa"/>
            <w:vMerge w:val="restart"/>
            <w:hideMark/>
          </w:tcPr>
          <w:p w:rsidR="00217AFA" w:rsidRPr="0091677B" w:rsidRDefault="00217AFA" w:rsidP="004F4BEF">
            <w:r w:rsidRPr="0091677B">
              <w:t xml:space="preserve">Preklapanje nadležnosti između resora/sektora, ograničeni kadrovski i </w:t>
            </w:r>
            <w:r w:rsidRPr="0091677B">
              <w:br/>
              <w:t>finansijski kapaciteti za pitanja biodiverziteta, potreba za jačom međusektorskom koordinacijom i kontinuitetom politika; nizak nivo znanja i svijesti o značaju biodiverziteta i važnosti integracije biod</w:t>
            </w:r>
            <w:r>
              <w:t>iverziteta u sektorske politike, nizak nivo znanja o povezivanju zaštite biodiverziteta i rodneravnopravnost</w:t>
            </w:r>
            <w:r>
              <w:lastRenderedPageBreak/>
              <w:t>i, ranjivih kategorija društva.</w:t>
            </w:r>
          </w:p>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poljoprivrede, šumarstva i vodoprivrede</w:t>
            </w:r>
          </w:p>
        </w:tc>
        <w:tc>
          <w:tcPr>
            <w:tcW w:w="2118" w:type="dxa"/>
            <w:noWrap/>
            <w:hideMark/>
          </w:tcPr>
          <w:p w:rsidR="00217AFA" w:rsidRPr="0091677B" w:rsidRDefault="00217AFA" w:rsidP="004F4BEF">
            <w:r w:rsidRPr="0091677B">
              <w:t>Integracija ciljeva u upravljanje šumama, vodama i agro-biodiverzitet</w:t>
            </w:r>
          </w:p>
        </w:tc>
        <w:tc>
          <w:tcPr>
            <w:tcW w:w="1005" w:type="dxa"/>
            <w:noWrap/>
            <w:hideMark/>
          </w:tcPr>
          <w:p w:rsidR="00217AFA" w:rsidRPr="0091677B" w:rsidRDefault="00217AFA" w:rsidP="004F4BEF">
            <w:r w:rsidRPr="0091677B">
              <w:t>5</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Tematske grupe; zajednički programi; konsultacije</w:t>
            </w:r>
          </w:p>
        </w:tc>
        <w:tc>
          <w:tcPr>
            <w:tcW w:w="1115" w:type="dxa"/>
            <w:noWrap/>
            <w:hideMark/>
          </w:tcPr>
          <w:p w:rsidR="00217AFA" w:rsidRPr="0091677B" w:rsidRDefault="00217AFA" w:rsidP="004F4BEF">
            <w:r w:rsidRPr="0091677B">
              <w:t>9</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ekonomskog razvoja</w:t>
            </w:r>
          </w:p>
        </w:tc>
        <w:tc>
          <w:tcPr>
            <w:tcW w:w="2118" w:type="dxa"/>
            <w:noWrap/>
            <w:hideMark/>
          </w:tcPr>
          <w:p w:rsidR="00217AFA" w:rsidRPr="0091677B" w:rsidRDefault="00217AFA" w:rsidP="004F4BEF">
            <w:r w:rsidRPr="0091677B">
              <w:t>Politike rasta/inovacija sa uticajem na prirodne resurse</w:t>
            </w:r>
          </w:p>
        </w:tc>
        <w:tc>
          <w:tcPr>
            <w:tcW w:w="1005" w:type="dxa"/>
            <w:noWrap/>
            <w:hideMark/>
          </w:tcPr>
          <w:p w:rsidR="00217AFA" w:rsidRPr="0091677B" w:rsidRDefault="00217AFA" w:rsidP="004F4BEF">
            <w:r w:rsidRPr="0091677B">
              <w:t>3</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Strateški brifinzi; usaglašavanje mjera</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prostornog planiranja, urbanizma i državne imovine</w:t>
            </w:r>
          </w:p>
        </w:tc>
        <w:tc>
          <w:tcPr>
            <w:tcW w:w="2118" w:type="dxa"/>
            <w:noWrap/>
            <w:hideMark/>
          </w:tcPr>
          <w:p w:rsidR="00217AFA" w:rsidRPr="0091677B" w:rsidRDefault="00217AFA" w:rsidP="004F4BEF">
            <w:r w:rsidRPr="0091677B">
              <w:t>Usklađivanje prostornog planiranja i zaštite prirode (SEA/PP)</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Učešće u PP ciklusu; uslovi zaštite</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turizma</w:t>
            </w:r>
          </w:p>
        </w:tc>
        <w:tc>
          <w:tcPr>
            <w:tcW w:w="2118" w:type="dxa"/>
            <w:noWrap/>
            <w:hideMark/>
          </w:tcPr>
          <w:p w:rsidR="00217AFA" w:rsidRPr="0091677B" w:rsidRDefault="00217AFA" w:rsidP="004F4BEF">
            <w:r w:rsidRPr="0091677B">
              <w:t>Ekoturizam; valorizacija prirodnih vrijednosti; ekosistemske usluge;</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Smjernice dobre prakse; pilot-projekti</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evropskih poslova</w:t>
            </w:r>
          </w:p>
        </w:tc>
        <w:tc>
          <w:tcPr>
            <w:tcW w:w="2118" w:type="dxa"/>
            <w:noWrap/>
            <w:hideMark/>
          </w:tcPr>
          <w:p w:rsidR="00217AFA" w:rsidRPr="0091677B" w:rsidRDefault="00217AFA" w:rsidP="004F4BEF">
            <w:r w:rsidRPr="0091677B">
              <w:t>Usklađivanje sa pravnom tekovinom EU; koordinacija obaveza</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EU koordinacija; izvještavanje; usklađivanje</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58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finansija</w:t>
            </w:r>
          </w:p>
        </w:tc>
        <w:tc>
          <w:tcPr>
            <w:tcW w:w="2118" w:type="dxa"/>
            <w:hideMark/>
          </w:tcPr>
          <w:p w:rsidR="00217AFA" w:rsidRPr="0091677B" w:rsidRDefault="00217AFA" w:rsidP="004F4BEF">
            <w:r w:rsidRPr="0091677B">
              <w:t xml:space="preserve">Budžetsko planiranje i fiskalna podrška za sprovođenje Strategije </w:t>
            </w:r>
            <w:r w:rsidRPr="0091677B">
              <w:br/>
              <w:t>i međunarodnih obaveza</w:t>
            </w:r>
          </w:p>
        </w:tc>
        <w:tc>
          <w:tcPr>
            <w:tcW w:w="1005" w:type="dxa"/>
            <w:noWrap/>
            <w:hideMark/>
          </w:tcPr>
          <w:p w:rsidR="00217AFA" w:rsidRPr="0091677B" w:rsidRDefault="00217AFA" w:rsidP="004F4BEF">
            <w:r w:rsidRPr="0091677B">
              <w:t>3</w:t>
            </w:r>
          </w:p>
        </w:tc>
        <w:tc>
          <w:tcPr>
            <w:tcW w:w="1474" w:type="dxa"/>
            <w:noWrap/>
            <w:hideMark/>
          </w:tcPr>
          <w:p w:rsidR="00217AFA" w:rsidRPr="0091677B" w:rsidRDefault="00217AFA" w:rsidP="004F4BEF">
            <w:r w:rsidRPr="0091677B">
              <w:t>5</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Uključivanje u pripremu finansijskog okvira i MTEF planiranje</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zdravlja</w:t>
            </w:r>
          </w:p>
        </w:tc>
        <w:tc>
          <w:tcPr>
            <w:tcW w:w="2118" w:type="dxa"/>
            <w:noWrap/>
            <w:hideMark/>
          </w:tcPr>
          <w:p w:rsidR="00217AFA" w:rsidRPr="0091677B" w:rsidRDefault="00217AFA" w:rsidP="004F4BEF">
            <w:r w:rsidRPr="0091677B">
              <w:t>Veza između biodiverziteta i javnog zdravlja (npr. kvalitet vazduha i vode, očuvanje biodiverziteta)</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Saradnja u programima zdravlje–životna sredina; edukacija</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58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prosvjete, nauke i inovacija</w:t>
            </w:r>
          </w:p>
        </w:tc>
        <w:tc>
          <w:tcPr>
            <w:tcW w:w="2118" w:type="dxa"/>
            <w:hideMark/>
          </w:tcPr>
          <w:p w:rsidR="00217AFA" w:rsidRPr="0091677B" w:rsidRDefault="00217AFA" w:rsidP="004F4BEF">
            <w:r w:rsidRPr="0091677B">
              <w:t xml:space="preserve">Obrazovanje i podizanje svijesti o biodiverzitetu; istraživanja i inovacije; </w:t>
            </w:r>
            <w:r w:rsidRPr="0091677B">
              <w:br/>
              <w:t xml:space="preserve">međupredmetne teme; </w:t>
            </w:r>
          </w:p>
        </w:tc>
        <w:tc>
          <w:tcPr>
            <w:tcW w:w="1005" w:type="dxa"/>
            <w:noWrap/>
            <w:hideMark/>
          </w:tcPr>
          <w:p w:rsidR="00217AFA" w:rsidRPr="0091677B" w:rsidRDefault="00217AFA" w:rsidP="004F4BEF">
            <w:r w:rsidRPr="0091677B">
              <w:t>5</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Uključivanje u kurikulume, školske programe i istraživačke grantove</w:t>
            </w:r>
          </w:p>
        </w:tc>
        <w:tc>
          <w:tcPr>
            <w:tcW w:w="1115" w:type="dxa"/>
            <w:noWrap/>
            <w:hideMark/>
          </w:tcPr>
          <w:p w:rsidR="00217AFA" w:rsidRPr="0091677B" w:rsidRDefault="00217AFA" w:rsidP="004F4BEF">
            <w:r w:rsidRPr="0091677B">
              <w:t>9</w:t>
            </w:r>
          </w:p>
        </w:tc>
        <w:tc>
          <w:tcPr>
            <w:tcW w:w="2065" w:type="dxa"/>
            <w:vMerge/>
            <w:hideMark/>
          </w:tcPr>
          <w:p w:rsidR="00217AFA" w:rsidRPr="0091677B" w:rsidRDefault="00217AFA" w:rsidP="004F4BEF"/>
        </w:tc>
      </w:tr>
      <w:tr w:rsidR="00C90628" w:rsidRPr="0091677B" w:rsidTr="00C90628">
        <w:trPr>
          <w:trHeight w:val="87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pomorstva</w:t>
            </w:r>
          </w:p>
        </w:tc>
        <w:tc>
          <w:tcPr>
            <w:tcW w:w="2118" w:type="dxa"/>
            <w:hideMark/>
          </w:tcPr>
          <w:p w:rsidR="00217AFA" w:rsidRPr="0091677B" w:rsidRDefault="00217AFA" w:rsidP="004F4BEF">
            <w:r w:rsidRPr="0091677B">
              <w:t>Upravljanje morskim resursima, sigurnost plovidbe, sprečavanje zagađenja mora</w:t>
            </w:r>
            <w:r w:rsidRPr="0091677B">
              <w:br/>
              <w:t>planiranje mora</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Učešće u radnim grupama za obalna i morska pitanja</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saobraćaja</w:t>
            </w:r>
          </w:p>
        </w:tc>
        <w:tc>
          <w:tcPr>
            <w:tcW w:w="2118" w:type="dxa"/>
            <w:noWrap/>
            <w:hideMark/>
          </w:tcPr>
          <w:p w:rsidR="00217AFA" w:rsidRPr="0091677B" w:rsidRDefault="00217AFA" w:rsidP="004F4BEF">
            <w:r w:rsidRPr="0091677B">
              <w:t xml:space="preserve">Planiranje saobraćajne infrastrukture i uticaji na </w:t>
            </w:r>
            <w:r w:rsidRPr="0091677B">
              <w:lastRenderedPageBreak/>
              <w:t>ekosisteme/zaštićena područja</w:t>
            </w:r>
          </w:p>
        </w:tc>
        <w:tc>
          <w:tcPr>
            <w:tcW w:w="1005" w:type="dxa"/>
            <w:noWrap/>
            <w:hideMark/>
          </w:tcPr>
          <w:p w:rsidR="00217AFA" w:rsidRPr="0091677B" w:rsidRDefault="00217AFA" w:rsidP="004F4BEF">
            <w:r w:rsidRPr="0091677B">
              <w:lastRenderedPageBreak/>
              <w:t>3</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 xml:space="preserve">Procjene uticaja i integracija </w:t>
            </w:r>
            <w:r w:rsidRPr="0091677B">
              <w:lastRenderedPageBreak/>
              <w:t>zelenih koridora</w:t>
            </w:r>
          </w:p>
        </w:tc>
        <w:tc>
          <w:tcPr>
            <w:tcW w:w="1115" w:type="dxa"/>
            <w:noWrap/>
            <w:hideMark/>
          </w:tcPr>
          <w:p w:rsidR="00217AFA" w:rsidRPr="0091677B" w:rsidRDefault="00217AFA" w:rsidP="004F4BEF">
            <w:r w:rsidRPr="0091677B">
              <w:lastRenderedPageBreak/>
              <w:t>7</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regionalnog razvoja i saradnje sa NVO</w:t>
            </w:r>
          </w:p>
        </w:tc>
        <w:tc>
          <w:tcPr>
            <w:tcW w:w="2118" w:type="dxa"/>
            <w:noWrap/>
            <w:hideMark/>
          </w:tcPr>
          <w:p w:rsidR="00217AFA" w:rsidRPr="0091677B" w:rsidRDefault="00217AFA" w:rsidP="004F4BEF">
            <w:r w:rsidRPr="0091677B">
              <w:t>Koordinacija razvojnih projekata i saradnja sa civilnim sektorom</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Uključivanje NVO u regionalne projekte i konsultacije</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javnih radova</w:t>
            </w:r>
          </w:p>
        </w:tc>
        <w:tc>
          <w:tcPr>
            <w:tcW w:w="2118" w:type="dxa"/>
            <w:noWrap/>
            <w:hideMark/>
          </w:tcPr>
          <w:p w:rsidR="00217AFA" w:rsidRPr="0091677B" w:rsidRDefault="00217AFA" w:rsidP="004F4BEF">
            <w:r w:rsidRPr="0091677B">
              <w:t>Građevinska infrastruktura; uključivanje ekoloških standarda; zone zaštite;</w:t>
            </w:r>
          </w:p>
        </w:tc>
        <w:tc>
          <w:tcPr>
            <w:tcW w:w="1005" w:type="dxa"/>
            <w:noWrap/>
            <w:hideMark/>
          </w:tcPr>
          <w:p w:rsidR="00217AFA" w:rsidRPr="0091677B" w:rsidRDefault="00217AFA" w:rsidP="004F4BEF">
            <w:r w:rsidRPr="0091677B">
              <w:t>3</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Uključivanje u procjene uticaja (EIA/SEA)</w:t>
            </w:r>
          </w:p>
        </w:tc>
        <w:tc>
          <w:tcPr>
            <w:tcW w:w="1115" w:type="dxa"/>
            <w:noWrap/>
            <w:hideMark/>
          </w:tcPr>
          <w:p w:rsidR="00217AFA" w:rsidRPr="0091677B" w:rsidRDefault="00217AFA" w:rsidP="004F4BEF">
            <w:r w:rsidRPr="0091677B">
              <w:t>7</w:t>
            </w:r>
          </w:p>
        </w:tc>
        <w:tc>
          <w:tcPr>
            <w:tcW w:w="2065" w:type="dxa"/>
            <w:vMerge/>
            <w:hideMark/>
          </w:tcPr>
          <w:p w:rsidR="00217AFA" w:rsidRPr="0091677B" w:rsidRDefault="00217AFA" w:rsidP="004F4BEF"/>
        </w:tc>
      </w:tr>
      <w:tr w:rsidR="00C90628" w:rsidRPr="0091677B" w:rsidTr="00C90628">
        <w:trPr>
          <w:trHeight w:val="290"/>
        </w:trPr>
        <w:tc>
          <w:tcPr>
            <w:tcW w:w="1902" w:type="dxa"/>
            <w:vMerge/>
          </w:tcPr>
          <w:p w:rsidR="00217AFA" w:rsidRPr="0091677B" w:rsidRDefault="00217AFA" w:rsidP="004F4BEF"/>
        </w:tc>
        <w:tc>
          <w:tcPr>
            <w:tcW w:w="1557" w:type="dxa"/>
            <w:noWrap/>
          </w:tcPr>
          <w:p w:rsidR="00217AFA" w:rsidRPr="0091677B" w:rsidRDefault="00217AFA" w:rsidP="004F4BEF">
            <w:r>
              <w:t>Ministarstvo za ljudska i manjinska orava</w:t>
            </w:r>
          </w:p>
        </w:tc>
        <w:tc>
          <w:tcPr>
            <w:tcW w:w="2118" w:type="dxa"/>
            <w:noWrap/>
          </w:tcPr>
          <w:p w:rsidR="00217AFA" w:rsidRPr="0091677B" w:rsidRDefault="00217AFA" w:rsidP="004F4BEF">
            <w:r>
              <w:t>Uključivanje rodneravnopravnosti i ranjivih grupa</w:t>
            </w:r>
          </w:p>
        </w:tc>
        <w:tc>
          <w:tcPr>
            <w:tcW w:w="1005" w:type="dxa"/>
            <w:noWrap/>
          </w:tcPr>
          <w:p w:rsidR="00217AFA" w:rsidRPr="0091677B" w:rsidRDefault="00217AFA" w:rsidP="004F4BEF">
            <w:r>
              <w:t>4</w:t>
            </w:r>
          </w:p>
        </w:tc>
        <w:tc>
          <w:tcPr>
            <w:tcW w:w="1474" w:type="dxa"/>
            <w:noWrap/>
          </w:tcPr>
          <w:p w:rsidR="00217AFA" w:rsidRPr="0091677B" w:rsidRDefault="00217AFA" w:rsidP="004F4BEF">
            <w:r>
              <w:t>4</w:t>
            </w:r>
          </w:p>
        </w:tc>
        <w:tc>
          <w:tcPr>
            <w:tcW w:w="1289" w:type="dxa"/>
            <w:noWrap/>
          </w:tcPr>
          <w:p w:rsidR="00217AFA" w:rsidRPr="0091677B" w:rsidRDefault="00217AFA" w:rsidP="004F4BEF">
            <w:r>
              <w:t>Partnerstvo</w:t>
            </w:r>
          </w:p>
        </w:tc>
        <w:tc>
          <w:tcPr>
            <w:tcW w:w="1423" w:type="dxa"/>
            <w:noWrap/>
          </w:tcPr>
          <w:p w:rsidR="00217AFA" w:rsidRPr="0091677B" w:rsidRDefault="00217AFA" w:rsidP="004F4BEF">
            <w:r>
              <w:t>Kampanje i progrmi za uključivanje žena, djevojčica i ranjivih grupa</w:t>
            </w:r>
          </w:p>
        </w:tc>
        <w:tc>
          <w:tcPr>
            <w:tcW w:w="1115" w:type="dxa"/>
            <w:noWrap/>
          </w:tcPr>
          <w:p w:rsidR="00217AFA" w:rsidRPr="0091677B" w:rsidRDefault="00217AFA" w:rsidP="004F4BEF">
            <w:r>
              <w:t>8</w:t>
            </w:r>
          </w:p>
        </w:tc>
        <w:tc>
          <w:tcPr>
            <w:tcW w:w="2065" w:type="dxa"/>
            <w:vMerge/>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Ministarstvo sporta i mladih</w:t>
            </w:r>
          </w:p>
        </w:tc>
        <w:tc>
          <w:tcPr>
            <w:tcW w:w="2118" w:type="dxa"/>
            <w:noWrap/>
            <w:hideMark/>
          </w:tcPr>
          <w:p w:rsidR="00217AFA" w:rsidRPr="0091677B" w:rsidRDefault="00217AFA" w:rsidP="004F4BEF">
            <w:r w:rsidRPr="0091677B">
              <w:t>Uloga mladih u očuvanju biodiverziteta; sportsko–edukativni programi</w:t>
            </w:r>
          </w:p>
        </w:tc>
        <w:tc>
          <w:tcPr>
            <w:tcW w:w="1005" w:type="dxa"/>
            <w:noWrap/>
            <w:hideMark/>
          </w:tcPr>
          <w:p w:rsidR="00217AFA" w:rsidRPr="0091677B" w:rsidRDefault="00217AFA" w:rsidP="004F4BEF">
            <w:r w:rsidRPr="0091677B">
              <w:t>5</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Kampanje i programi za mlade; eko-volontiranje</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580"/>
        </w:trPr>
        <w:tc>
          <w:tcPr>
            <w:tcW w:w="1902" w:type="dxa"/>
            <w:vMerge w:val="restart"/>
            <w:noWrap/>
            <w:hideMark/>
          </w:tcPr>
          <w:p w:rsidR="00217AFA" w:rsidRPr="0091677B" w:rsidRDefault="00217AFA" w:rsidP="004F4BEF">
            <w:r w:rsidRPr="0091677B">
              <w:t>Agencije i javna preduzeća</w:t>
            </w:r>
          </w:p>
        </w:tc>
        <w:tc>
          <w:tcPr>
            <w:tcW w:w="1557" w:type="dxa"/>
            <w:noWrap/>
            <w:hideMark/>
          </w:tcPr>
          <w:p w:rsidR="00217AFA" w:rsidRPr="0091677B" w:rsidRDefault="00217AFA" w:rsidP="004F4BEF">
            <w:r w:rsidRPr="0091677B">
              <w:t>Agencija za zaštitu životne sredine</w:t>
            </w:r>
          </w:p>
        </w:tc>
        <w:tc>
          <w:tcPr>
            <w:tcW w:w="2118" w:type="dxa"/>
            <w:hideMark/>
          </w:tcPr>
          <w:p w:rsidR="00217AFA" w:rsidRPr="0091677B" w:rsidRDefault="00217AFA" w:rsidP="004F4BEF">
            <w:r w:rsidRPr="0091677B">
              <w:t xml:space="preserve">Monitoring biodiverziteta; Natura 2000; EIONET/CBD izvještavanje; </w:t>
            </w:r>
            <w:r w:rsidRPr="0091677B">
              <w:br/>
              <w:t xml:space="preserve">baze podataka; </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5</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Tehničke radne grupe; standardi podataka</w:t>
            </w:r>
          </w:p>
        </w:tc>
        <w:tc>
          <w:tcPr>
            <w:tcW w:w="1115" w:type="dxa"/>
            <w:noWrap/>
            <w:hideMark/>
          </w:tcPr>
          <w:p w:rsidR="00217AFA" w:rsidRPr="0091677B" w:rsidRDefault="00217AFA" w:rsidP="004F4BEF">
            <w:r w:rsidRPr="0091677B">
              <w:t>9</w:t>
            </w:r>
          </w:p>
        </w:tc>
        <w:tc>
          <w:tcPr>
            <w:tcW w:w="2065" w:type="dxa"/>
            <w:vMerge w:val="restart"/>
            <w:hideMark/>
          </w:tcPr>
          <w:p w:rsidR="00217AFA" w:rsidRPr="0091677B" w:rsidRDefault="00217AFA" w:rsidP="004F4BEF">
            <w:r w:rsidRPr="0091677B">
              <w:t xml:space="preserve">Nedovoljni tehnički kapaciteti za monitoring i izvještavanje,  </w:t>
            </w:r>
            <w:r w:rsidRPr="0091677B">
              <w:br/>
              <w:t xml:space="preserve">ograničeni budžeti, spora razmjena podataka i potreba za boljom digitalnom </w:t>
            </w:r>
            <w:r w:rsidRPr="0091677B">
              <w:lastRenderedPageBreak/>
              <w:t>integracijom sistema.</w:t>
            </w:r>
          </w:p>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JP „Nacionalni parkovi Crne Gore“</w:t>
            </w:r>
          </w:p>
        </w:tc>
        <w:tc>
          <w:tcPr>
            <w:tcW w:w="2118" w:type="dxa"/>
            <w:noWrap/>
            <w:hideMark/>
          </w:tcPr>
          <w:p w:rsidR="00217AFA" w:rsidRPr="0091677B" w:rsidRDefault="00217AFA" w:rsidP="004F4BEF">
            <w:r w:rsidRPr="0091677B">
              <w:t xml:space="preserve">Upravljanje zaštićenim područjima; </w:t>
            </w:r>
            <w:r w:rsidRPr="0091677B">
              <w:lastRenderedPageBreak/>
              <w:t xml:space="preserve">edukacija; podizanje svijesti; </w:t>
            </w:r>
          </w:p>
        </w:tc>
        <w:tc>
          <w:tcPr>
            <w:tcW w:w="1005" w:type="dxa"/>
            <w:noWrap/>
            <w:hideMark/>
          </w:tcPr>
          <w:p w:rsidR="00217AFA" w:rsidRPr="0091677B" w:rsidRDefault="00217AFA" w:rsidP="004F4BEF">
            <w:r w:rsidRPr="0091677B">
              <w:lastRenderedPageBreak/>
              <w:t>5</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Implementacija; planovi upravljanja; izvještavanje</w:t>
            </w:r>
          </w:p>
        </w:tc>
        <w:tc>
          <w:tcPr>
            <w:tcW w:w="1115" w:type="dxa"/>
            <w:noWrap/>
            <w:hideMark/>
          </w:tcPr>
          <w:p w:rsidR="00217AFA" w:rsidRPr="0091677B" w:rsidRDefault="00217AFA" w:rsidP="004F4BEF">
            <w:r w:rsidRPr="0091677B">
              <w:t>9</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JP za upravljanje morskim dobrom Crne Gore</w:t>
            </w:r>
          </w:p>
        </w:tc>
        <w:tc>
          <w:tcPr>
            <w:tcW w:w="2118" w:type="dxa"/>
            <w:noWrap/>
            <w:hideMark/>
          </w:tcPr>
          <w:p w:rsidR="00217AFA" w:rsidRPr="0091677B" w:rsidRDefault="00217AFA" w:rsidP="004F4BEF">
            <w:r w:rsidRPr="0091677B">
              <w:t>Upravljanje obalnim/morskim ekosistemima</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Zajedničke mjere; obalni planovi; monitoring</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Eko fond</w:t>
            </w:r>
          </w:p>
        </w:tc>
        <w:tc>
          <w:tcPr>
            <w:tcW w:w="2118" w:type="dxa"/>
            <w:noWrap/>
            <w:hideMark/>
          </w:tcPr>
          <w:p w:rsidR="00217AFA" w:rsidRPr="0091677B" w:rsidRDefault="00217AFA" w:rsidP="004F4BEF">
            <w:r w:rsidRPr="0091677B">
              <w:t xml:space="preserve">Eko naknade, razvojni projekti; </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Medjuresorne grupe; projekti;</w:t>
            </w:r>
          </w:p>
        </w:tc>
        <w:tc>
          <w:tcPr>
            <w:tcW w:w="1115" w:type="dxa"/>
            <w:noWrap/>
            <w:hideMark/>
          </w:tcPr>
          <w:p w:rsidR="00217AFA" w:rsidRPr="0091677B" w:rsidRDefault="00217AFA" w:rsidP="004F4BEF">
            <w:r w:rsidRPr="0091677B">
              <w:t>8</w:t>
            </w:r>
          </w:p>
        </w:tc>
        <w:tc>
          <w:tcPr>
            <w:tcW w:w="2065" w:type="dxa"/>
            <w:noWrap/>
            <w:hideMark/>
          </w:tcPr>
          <w:p w:rsidR="00217AFA" w:rsidRPr="0091677B" w:rsidRDefault="00217AFA" w:rsidP="004F4BEF">
            <w:r w:rsidRPr="0091677B">
              <w:t>ograničeni kadrovski kapaciteti i znanja; proritet drugim oblastima;</w:t>
            </w:r>
          </w:p>
        </w:tc>
      </w:tr>
      <w:tr w:rsidR="00C90628" w:rsidRPr="0091677B" w:rsidTr="00C90628">
        <w:trPr>
          <w:trHeight w:val="870"/>
        </w:trPr>
        <w:tc>
          <w:tcPr>
            <w:tcW w:w="1902" w:type="dxa"/>
            <w:noWrap/>
            <w:hideMark/>
          </w:tcPr>
          <w:p w:rsidR="00217AFA" w:rsidRPr="0091677B" w:rsidRDefault="00217AFA" w:rsidP="004F4BEF">
            <w:r w:rsidRPr="0091677B">
              <w:t>Lokalna samouprava</w:t>
            </w:r>
          </w:p>
        </w:tc>
        <w:tc>
          <w:tcPr>
            <w:tcW w:w="1557" w:type="dxa"/>
            <w:noWrap/>
            <w:hideMark/>
          </w:tcPr>
          <w:p w:rsidR="00217AFA" w:rsidRPr="0091677B" w:rsidRDefault="00217AFA" w:rsidP="004F4BEF">
            <w:r w:rsidRPr="0091677B">
              <w:t>Opštine – odjeljenja za održivi razvoj, planiranje i životnu sredinu</w:t>
            </w:r>
          </w:p>
        </w:tc>
        <w:tc>
          <w:tcPr>
            <w:tcW w:w="2118" w:type="dxa"/>
            <w:noWrap/>
            <w:hideMark/>
          </w:tcPr>
          <w:p w:rsidR="00217AFA" w:rsidRPr="0091677B" w:rsidRDefault="00217AFA" w:rsidP="004F4BEF">
            <w:r w:rsidRPr="0091677B">
              <w:t>Lokalna implementacija i upravljanje, lokalni planovi zaštite životne sredine, integracija biodiverziteta; lokalni projekti,</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Lokalne konsultacije; planovi upravljanja; piloti</w:t>
            </w:r>
          </w:p>
        </w:tc>
        <w:tc>
          <w:tcPr>
            <w:tcW w:w="1115" w:type="dxa"/>
            <w:noWrap/>
            <w:hideMark/>
          </w:tcPr>
          <w:p w:rsidR="00217AFA" w:rsidRPr="0091677B" w:rsidRDefault="00217AFA" w:rsidP="004F4BEF">
            <w:r w:rsidRPr="0091677B">
              <w:t>7</w:t>
            </w:r>
          </w:p>
        </w:tc>
        <w:tc>
          <w:tcPr>
            <w:tcW w:w="2065" w:type="dxa"/>
            <w:hideMark/>
          </w:tcPr>
          <w:p w:rsidR="00217AFA" w:rsidRPr="0091677B" w:rsidRDefault="00217AFA" w:rsidP="004F4BEF">
            <w:r w:rsidRPr="0091677B">
              <w:t xml:space="preserve">Ograničeni ljudski kapaciteti i stručnost, </w:t>
            </w:r>
            <w:r w:rsidRPr="0091677B">
              <w:br/>
              <w:t>zavisnost spoljnog finansiranja, nedovoljno učešće građana u planiranju i sprovođenju mjera zaštite prirode.</w:t>
            </w:r>
          </w:p>
        </w:tc>
      </w:tr>
      <w:tr w:rsidR="00C90628" w:rsidRPr="0091677B" w:rsidTr="00C90628">
        <w:trPr>
          <w:trHeight w:val="290"/>
        </w:trPr>
        <w:tc>
          <w:tcPr>
            <w:tcW w:w="1902" w:type="dxa"/>
            <w:vMerge w:val="restart"/>
            <w:noWrap/>
            <w:hideMark/>
          </w:tcPr>
          <w:p w:rsidR="00217AFA" w:rsidRPr="0091677B" w:rsidRDefault="00217AFA" w:rsidP="004F4BEF">
            <w:r w:rsidRPr="0091677B">
              <w:t>Koordinaciona tijela</w:t>
            </w:r>
          </w:p>
        </w:tc>
        <w:tc>
          <w:tcPr>
            <w:tcW w:w="1557" w:type="dxa"/>
            <w:noWrap/>
            <w:hideMark/>
          </w:tcPr>
          <w:p w:rsidR="00217AFA" w:rsidRPr="0091677B" w:rsidRDefault="00217AFA" w:rsidP="004F4BEF">
            <w:r w:rsidRPr="0091677B">
              <w:t>Kancelarija za održivi razvoj (GSV)</w:t>
            </w:r>
          </w:p>
        </w:tc>
        <w:tc>
          <w:tcPr>
            <w:tcW w:w="2118" w:type="dxa"/>
            <w:noWrap/>
            <w:hideMark/>
          </w:tcPr>
          <w:p w:rsidR="00217AFA" w:rsidRPr="0091677B" w:rsidRDefault="00217AFA" w:rsidP="004F4BEF">
            <w:r w:rsidRPr="0091677B">
              <w:t>Horizontalna politika i SDG integracija</w:t>
            </w:r>
          </w:p>
        </w:tc>
        <w:tc>
          <w:tcPr>
            <w:tcW w:w="1005" w:type="dxa"/>
            <w:noWrap/>
            <w:hideMark/>
          </w:tcPr>
          <w:p w:rsidR="00217AFA" w:rsidRPr="0091677B" w:rsidRDefault="00217AFA" w:rsidP="004F4BEF">
            <w:r w:rsidRPr="0091677B">
              <w:t>5</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Mehanizmi usklađivanja; praćenje učinka</w:t>
            </w:r>
          </w:p>
        </w:tc>
        <w:tc>
          <w:tcPr>
            <w:tcW w:w="1115" w:type="dxa"/>
            <w:noWrap/>
            <w:hideMark/>
          </w:tcPr>
          <w:p w:rsidR="00217AFA" w:rsidRPr="0091677B" w:rsidRDefault="00217AFA" w:rsidP="004F4BEF">
            <w:r w:rsidRPr="0091677B">
              <w:t>9</w:t>
            </w:r>
          </w:p>
        </w:tc>
        <w:tc>
          <w:tcPr>
            <w:tcW w:w="2065" w:type="dxa"/>
            <w:vMerge w:val="restart"/>
            <w:hideMark/>
          </w:tcPr>
          <w:p w:rsidR="00217AFA" w:rsidRPr="0091677B" w:rsidRDefault="00217AFA" w:rsidP="004F4BEF">
            <w:r w:rsidRPr="0091677B">
              <w:t xml:space="preserve">Rizik od neredovnog funkcionisanja i promjena članstva, </w:t>
            </w:r>
            <w:r w:rsidRPr="0091677B">
              <w:br/>
              <w:t>ograničen mandat za sprovođenje odluka, potreba za jačanjem praćenja i izvještavanja.</w:t>
            </w:r>
          </w:p>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Nacionalni savjet za održivi razvoj i radne grupe</w:t>
            </w:r>
          </w:p>
        </w:tc>
        <w:tc>
          <w:tcPr>
            <w:tcW w:w="2118" w:type="dxa"/>
            <w:noWrap/>
            <w:hideMark/>
          </w:tcPr>
          <w:p w:rsidR="00217AFA" w:rsidRPr="0091677B" w:rsidRDefault="00217AFA" w:rsidP="004F4BEF">
            <w:r w:rsidRPr="0091677B">
              <w:t>Strateško usmjeravanje i nadzor</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Koordinacija</w:t>
            </w:r>
          </w:p>
        </w:tc>
        <w:tc>
          <w:tcPr>
            <w:tcW w:w="1423" w:type="dxa"/>
            <w:noWrap/>
            <w:hideMark/>
          </w:tcPr>
          <w:p w:rsidR="00217AFA" w:rsidRPr="0091677B" w:rsidRDefault="00217AFA" w:rsidP="004F4BEF">
            <w:r w:rsidRPr="0091677B">
              <w:t>Sjednice; preporuke; izvještaji</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290"/>
        </w:trPr>
        <w:tc>
          <w:tcPr>
            <w:tcW w:w="1902" w:type="dxa"/>
            <w:vMerge/>
            <w:hideMark/>
          </w:tcPr>
          <w:p w:rsidR="00217AFA" w:rsidRPr="0091677B" w:rsidRDefault="00217AFA" w:rsidP="004F4BEF"/>
        </w:tc>
        <w:tc>
          <w:tcPr>
            <w:tcW w:w="1557" w:type="dxa"/>
            <w:noWrap/>
            <w:hideMark/>
          </w:tcPr>
          <w:p w:rsidR="00217AFA" w:rsidRPr="0091677B" w:rsidRDefault="00217AFA" w:rsidP="004F4BEF">
            <w:r w:rsidRPr="0091677B">
              <w:t xml:space="preserve">Odbori Skupštine Crne Gore (npr. za turizam, </w:t>
            </w:r>
            <w:r w:rsidRPr="0091677B">
              <w:lastRenderedPageBreak/>
              <w:t>poljoprivredu, ekologiju, PP)</w:t>
            </w:r>
          </w:p>
        </w:tc>
        <w:tc>
          <w:tcPr>
            <w:tcW w:w="2118" w:type="dxa"/>
            <w:noWrap/>
            <w:hideMark/>
          </w:tcPr>
          <w:p w:rsidR="00217AFA" w:rsidRPr="0091677B" w:rsidRDefault="00217AFA" w:rsidP="004F4BEF">
            <w:r w:rsidRPr="0091677B">
              <w:lastRenderedPageBreak/>
              <w:t>Parlamentarni nadzor i podrška</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Tematska saslušanja; mišljenja</w:t>
            </w:r>
          </w:p>
        </w:tc>
        <w:tc>
          <w:tcPr>
            <w:tcW w:w="1115" w:type="dxa"/>
            <w:noWrap/>
            <w:hideMark/>
          </w:tcPr>
          <w:p w:rsidR="00217AFA" w:rsidRPr="0091677B" w:rsidRDefault="00217AFA" w:rsidP="004F4BEF">
            <w:r w:rsidRPr="0091677B">
              <w:t>8</w:t>
            </w:r>
          </w:p>
        </w:tc>
        <w:tc>
          <w:tcPr>
            <w:tcW w:w="2065" w:type="dxa"/>
            <w:vMerge/>
            <w:hideMark/>
          </w:tcPr>
          <w:p w:rsidR="00217AFA" w:rsidRPr="0091677B" w:rsidRDefault="00217AFA" w:rsidP="004F4BEF"/>
        </w:tc>
      </w:tr>
      <w:tr w:rsidR="00C90628" w:rsidRPr="0091677B" w:rsidTr="00C90628">
        <w:trPr>
          <w:trHeight w:val="870"/>
        </w:trPr>
        <w:tc>
          <w:tcPr>
            <w:tcW w:w="1902" w:type="dxa"/>
            <w:noWrap/>
            <w:hideMark/>
          </w:tcPr>
          <w:p w:rsidR="00217AFA" w:rsidRPr="0091677B" w:rsidRDefault="00217AFA" w:rsidP="004F4BEF">
            <w:r w:rsidRPr="0091677B">
              <w:t>Nezavisna tijela i institucije</w:t>
            </w:r>
          </w:p>
        </w:tc>
        <w:tc>
          <w:tcPr>
            <w:tcW w:w="1557" w:type="dxa"/>
            <w:noWrap/>
            <w:hideMark/>
          </w:tcPr>
          <w:p w:rsidR="00217AFA" w:rsidRPr="0091677B" w:rsidRDefault="00217AFA" w:rsidP="004F4BEF">
            <w:r w:rsidRPr="0091677B">
              <w:t>Zaštitnik ljudskih prava i sloboda (Ombudsman)</w:t>
            </w:r>
          </w:p>
        </w:tc>
        <w:tc>
          <w:tcPr>
            <w:tcW w:w="2118" w:type="dxa"/>
            <w:noWrap/>
            <w:hideMark/>
          </w:tcPr>
          <w:p w:rsidR="00217AFA" w:rsidRPr="0091677B" w:rsidRDefault="00217AFA" w:rsidP="004F4BEF">
            <w:r w:rsidRPr="0091677B">
              <w:t>Prava na zdravu životnu sredinu; pristup informacijama/pravdi; rješavanje…</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Formalna mišljenja; saradnja na pristupu pravdi</w:t>
            </w:r>
          </w:p>
        </w:tc>
        <w:tc>
          <w:tcPr>
            <w:tcW w:w="1115" w:type="dxa"/>
            <w:noWrap/>
            <w:hideMark/>
          </w:tcPr>
          <w:p w:rsidR="00217AFA" w:rsidRPr="0091677B" w:rsidRDefault="00217AFA" w:rsidP="004F4BEF">
            <w:r w:rsidRPr="0091677B">
              <w:t>7</w:t>
            </w:r>
          </w:p>
        </w:tc>
        <w:tc>
          <w:tcPr>
            <w:tcW w:w="2065" w:type="dxa"/>
            <w:hideMark/>
          </w:tcPr>
          <w:p w:rsidR="00217AFA" w:rsidRPr="0091677B" w:rsidRDefault="00217AFA" w:rsidP="004F4BEF">
            <w:r w:rsidRPr="0091677B">
              <w:t xml:space="preserve">Ograničen broj ekoloških predmeta, nedovoljno specijalizovan kadar </w:t>
            </w:r>
            <w:r w:rsidRPr="0091677B">
              <w:br/>
              <w:t>za pitanja biodiverziteta, potreba za boljom saradnjom sa resornim institucijama i NVO.</w:t>
            </w:r>
          </w:p>
        </w:tc>
      </w:tr>
      <w:tr w:rsidR="00C90628" w:rsidRPr="0091677B" w:rsidTr="00C90628">
        <w:trPr>
          <w:trHeight w:val="870"/>
        </w:trPr>
        <w:tc>
          <w:tcPr>
            <w:tcW w:w="1902" w:type="dxa"/>
            <w:noWrap/>
            <w:hideMark/>
          </w:tcPr>
          <w:p w:rsidR="00217AFA" w:rsidRPr="0091677B" w:rsidRDefault="00217AFA" w:rsidP="004F4BEF">
            <w:r w:rsidRPr="0091677B">
              <w:t>Stručna/akademska zajednica</w:t>
            </w:r>
          </w:p>
        </w:tc>
        <w:tc>
          <w:tcPr>
            <w:tcW w:w="1557" w:type="dxa"/>
            <w:noWrap/>
            <w:hideMark/>
          </w:tcPr>
          <w:p w:rsidR="00217AFA" w:rsidRPr="0091677B" w:rsidRDefault="00217AFA" w:rsidP="004F4BEF">
            <w:r w:rsidRPr="0091677B">
              <w:t>Nacionalne istraživačke institucije i akademija (UCG, Inst. za biologiju mora…)</w:t>
            </w:r>
          </w:p>
        </w:tc>
        <w:tc>
          <w:tcPr>
            <w:tcW w:w="2118" w:type="dxa"/>
            <w:hideMark/>
          </w:tcPr>
          <w:p w:rsidR="00217AFA" w:rsidRPr="0091677B" w:rsidRDefault="00217AFA" w:rsidP="004F4BEF">
            <w:r w:rsidRPr="0091677B">
              <w:t xml:space="preserve">Naučno-istraživačka i savjetodavna podrška u izradi i implementaciji dokumenta; </w:t>
            </w:r>
            <w:r w:rsidRPr="0091677B">
              <w:br/>
              <w:t>projekti;</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Istraživački projekti; studije; recenzije</w:t>
            </w:r>
          </w:p>
        </w:tc>
        <w:tc>
          <w:tcPr>
            <w:tcW w:w="1115" w:type="dxa"/>
            <w:noWrap/>
            <w:hideMark/>
          </w:tcPr>
          <w:p w:rsidR="00217AFA" w:rsidRPr="0091677B" w:rsidRDefault="00217AFA" w:rsidP="004F4BEF">
            <w:r w:rsidRPr="0091677B">
              <w:t>7</w:t>
            </w:r>
          </w:p>
        </w:tc>
        <w:tc>
          <w:tcPr>
            <w:tcW w:w="2065" w:type="dxa"/>
            <w:hideMark/>
          </w:tcPr>
          <w:p w:rsidR="00217AFA" w:rsidRPr="0091677B" w:rsidRDefault="00217AFA" w:rsidP="004F4BEF">
            <w:r w:rsidRPr="0091677B">
              <w:t xml:space="preserve">Nedostatak stabilnog finansiranja istraživanja, ograničena veza između </w:t>
            </w:r>
            <w:r w:rsidRPr="0091677B">
              <w:br/>
              <w:t>nauke i politika, slaba valorizacija naučnih rezultata u donošenju odluka.</w:t>
            </w:r>
          </w:p>
        </w:tc>
      </w:tr>
      <w:tr w:rsidR="00C90628" w:rsidRPr="0091677B" w:rsidTr="00C90628">
        <w:trPr>
          <w:trHeight w:val="870"/>
        </w:trPr>
        <w:tc>
          <w:tcPr>
            <w:tcW w:w="1902" w:type="dxa"/>
            <w:noWrap/>
            <w:hideMark/>
          </w:tcPr>
          <w:p w:rsidR="00217AFA" w:rsidRPr="0091677B" w:rsidRDefault="00217AFA" w:rsidP="004F4BEF">
            <w:r w:rsidRPr="0091677B">
              <w:t>Civilni sektor / NVO</w:t>
            </w:r>
          </w:p>
        </w:tc>
        <w:tc>
          <w:tcPr>
            <w:tcW w:w="1557" w:type="dxa"/>
            <w:noWrap/>
            <w:hideMark/>
          </w:tcPr>
          <w:p w:rsidR="00217AFA" w:rsidRPr="0091677B" w:rsidRDefault="00217AFA" w:rsidP="004F4BEF">
            <w:r w:rsidRPr="0091677B">
              <w:t xml:space="preserve">NVO za biodiverzitet, klimu, korišćenje zemljišta i PP, </w:t>
            </w:r>
          </w:p>
        </w:tc>
        <w:tc>
          <w:tcPr>
            <w:tcW w:w="2118" w:type="dxa"/>
            <w:noWrap/>
            <w:hideMark/>
          </w:tcPr>
          <w:p w:rsidR="00217AFA" w:rsidRPr="0091677B" w:rsidRDefault="00217AFA" w:rsidP="004F4BEF">
            <w:r w:rsidRPr="0091677B">
              <w:t>Monitoring; zagovaranje; edukacija; podizanje svijesti, projekti</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2</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Javne rasprave; kampanje; projektna saradnja</w:t>
            </w:r>
          </w:p>
        </w:tc>
        <w:tc>
          <w:tcPr>
            <w:tcW w:w="1115" w:type="dxa"/>
            <w:noWrap/>
            <w:hideMark/>
          </w:tcPr>
          <w:p w:rsidR="00217AFA" w:rsidRPr="0091677B" w:rsidRDefault="00217AFA" w:rsidP="004F4BEF">
            <w:r w:rsidRPr="0091677B">
              <w:t>6</w:t>
            </w:r>
          </w:p>
        </w:tc>
        <w:tc>
          <w:tcPr>
            <w:tcW w:w="2065" w:type="dxa"/>
            <w:hideMark/>
          </w:tcPr>
          <w:p w:rsidR="00217AFA" w:rsidRPr="0091677B" w:rsidRDefault="00217AFA" w:rsidP="004F4BEF">
            <w:r w:rsidRPr="0091677B">
              <w:t xml:space="preserve">Ograničeni ljudski i finansijski resursi, projektno finansiranje, </w:t>
            </w:r>
            <w:r w:rsidRPr="0091677B">
              <w:br/>
              <w:t>preklapanje inicijativa i nedovoljna institucionalna saradnja sa državnim organima.</w:t>
            </w:r>
          </w:p>
        </w:tc>
      </w:tr>
      <w:tr w:rsidR="00C90628" w:rsidRPr="0091677B" w:rsidTr="00C90628">
        <w:trPr>
          <w:trHeight w:val="870"/>
        </w:trPr>
        <w:tc>
          <w:tcPr>
            <w:tcW w:w="1902" w:type="dxa"/>
            <w:noWrap/>
            <w:hideMark/>
          </w:tcPr>
          <w:p w:rsidR="00217AFA" w:rsidRPr="0091677B" w:rsidRDefault="00217AFA" w:rsidP="004F4BEF">
            <w:r w:rsidRPr="0091677B">
              <w:lastRenderedPageBreak/>
              <w:t>Privatni sektor</w:t>
            </w:r>
          </w:p>
        </w:tc>
        <w:tc>
          <w:tcPr>
            <w:tcW w:w="1557" w:type="dxa"/>
            <w:noWrap/>
            <w:hideMark/>
          </w:tcPr>
          <w:p w:rsidR="00217AFA" w:rsidRPr="0091677B" w:rsidRDefault="00217AFA" w:rsidP="004F4BEF">
            <w:r w:rsidRPr="0091677B">
              <w:t>Turizam, ribarstvo, šumarstvo, energetika</w:t>
            </w:r>
          </w:p>
        </w:tc>
        <w:tc>
          <w:tcPr>
            <w:tcW w:w="2118" w:type="dxa"/>
            <w:noWrap/>
            <w:hideMark/>
          </w:tcPr>
          <w:p w:rsidR="00217AFA" w:rsidRPr="0091677B" w:rsidRDefault="00217AFA" w:rsidP="004F4BEF">
            <w:r w:rsidRPr="0091677B">
              <w:t xml:space="preserve">Aktivnosti u/oko osjetljivih područja - zone zaštite; </w:t>
            </w:r>
          </w:p>
        </w:tc>
        <w:tc>
          <w:tcPr>
            <w:tcW w:w="1005" w:type="dxa"/>
            <w:noWrap/>
            <w:hideMark/>
          </w:tcPr>
          <w:p w:rsidR="00217AFA" w:rsidRPr="0091677B" w:rsidRDefault="00217AFA" w:rsidP="004F4BEF">
            <w:r w:rsidRPr="0091677B">
              <w:t>3</w:t>
            </w:r>
          </w:p>
        </w:tc>
        <w:tc>
          <w:tcPr>
            <w:tcW w:w="1474" w:type="dxa"/>
            <w:noWrap/>
            <w:hideMark/>
          </w:tcPr>
          <w:p w:rsidR="00217AFA" w:rsidRPr="0091677B" w:rsidRDefault="00217AFA" w:rsidP="004F4BEF">
            <w:r w:rsidRPr="0091677B">
              <w:t>3</w:t>
            </w:r>
          </w:p>
        </w:tc>
        <w:tc>
          <w:tcPr>
            <w:tcW w:w="1289" w:type="dxa"/>
            <w:noWrap/>
            <w:hideMark/>
          </w:tcPr>
          <w:p w:rsidR="00217AFA" w:rsidRPr="0091677B" w:rsidRDefault="00217AFA" w:rsidP="004F4BEF">
            <w:r w:rsidRPr="0091677B">
              <w:t>Konsultacije</w:t>
            </w:r>
          </w:p>
        </w:tc>
        <w:tc>
          <w:tcPr>
            <w:tcW w:w="1423" w:type="dxa"/>
            <w:noWrap/>
            <w:hideMark/>
          </w:tcPr>
          <w:p w:rsidR="00217AFA" w:rsidRPr="0091677B" w:rsidRDefault="00217AFA" w:rsidP="004F4BEF">
            <w:r w:rsidRPr="0091677B">
              <w:t>Obuke; dobrovoljni standardi; JPP projekti</w:t>
            </w:r>
          </w:p>
        </w:tc>
        <w:tc>
          <w:tcPr>
            <w:tcW w:w="1115" w:type="dxa"/>
            <w:noWrap/>
            <w:hideMark/>
          </w:tcPr>
          <w:p w:rsidR="00217AFA" w:rsidRPr="0091677B" w:rsidRDefault="00217AFA" w:rsidP="004F4BEF">
            <w:r w:rsidRPr="0091677B">
              <w:t>6</w:t>
            </w:r>
          </w:p>
        </w:tc>
        <w:tc>
          <w:tcPr>
            <w:tcW w:w="2065" w:type="dxa"/>
            <w:hideMark/>
          </w:tcPr>
          <w:p w:rsidR="00217AFA" w:rsidRPr="0091677B" w:rsidRDefault="00217AFA" w:rsidP="004F4BEF">
            <w:r w:rsidRPr="0091677B">
              <w:t xml:space="preserve">Nedostatak svijesti o značaju biodiverziteta, fokus na kratkoročne ekonomske koristi, slaba uključenost u </w:t>
            </w:r>
            <w:r w:rsidRPr="0091677B">
              <w:br/>
              <w:t>planiranje i implementaciju politika.</w:t>
            </w:r>
          </w:p>
        </w:tc>
      </w:tr>
      <w:tr w:rsidR="00C90628" w:rsidRPr="0091677B" w:rsidTr="00C90628">
        <w:trPr>
          <w:trHeight w:val="870"/>
        </w:trPr>
        <w:tc>
          <w:tcPr>
            <w:tcW w:w="1902" w:type="dxa"/>
            <w:noWrap/>
            <w:hideMark/>
          </w:tcPr>
          <w:p w:rsidR="00217AFA" w:rsidRPr="0091677B" w:rsidRDefault="00217AFA" w:rsidP="004F4BEF">
            <w:r w:rsidRPr="0091677B">
              <w:t>Opšta javnost</w:t>
            </w:r>
          </w:p>
        </w:tc>
        <w:tc>
          <w:tcPr>
            <w:tcW w:w="1557" w:type="dxa"/>
            <w:noWrap/>
            <w:hideMark/>
          </w:tcPr>
          <w:p w:rsidR="00217AFA" w:rsidRPr="0091677B" w:rsidRDefault="00217AFA" w:rsidP="004F4BEF">
            <w:r w:rsidRPr="0091677B">
              <w:t>Građani i lokalne zajednice (mediji, online kanali)</w:t>
            </w:r>
          </w:p>
        </w:tc>
        <w:tc>
          <w:tcPr>
            <w:tcW w:w="2118" w:type="dxa"/>
            <w:noWrap/>
            <w:hideMark/>
          </w:tcPr>
          <w:p w:rsidR="00217AFA" w:rsidRPr="0091677B" w:rsidRDefault="00217AFA" w:rsidP="004F4BEF">
            <w:r w:rsidRPr="0091677B">
              <w:t>Učešće javnosti i informisanje i uključivanje javnosti u konsultacije i akcije očuvanja</w:t>
            </w:r>
          </w:p>
        </w:tc>
        <w:tc>
          <w:tcPr>
            <w:tcW w:w="1005" w:type="dxa"/>
            <w:noWrap/>
            <w:hideMark/>
          </w:tcPr>
          <w:p w:rsidR="00217AFA" w:rsidRPr="0091677B" w:rsidRDefault="00217AFA" w:rsidP="004F4BEF">
            <w:r w:rsidRPr="0091677B">
              <w:t>3</w:t>
            </w:r>
          </w:p>
        </w:tc>
        <w:tc>
          <w:tcPr>
            <w:tcW w:w="1474" w:type="dxa"/>
            <w:noWrap/>
            <w:hideMark/>
          </w:tcPr>
          <w:p w:rsidR="00217AFA" w:rsidRPr="0091677B" w:rsidRDefault="00217AFA" w:rsidP="004F4BEF">
            <w:r w:rsidRPr="0091677B">
              <w:t>2</w:t>
            </w:r>
          </w:p>
        </w:tc>
        <w:tc>
          <w:tcPr>
            <w:tcW w:w="1289" w:type="dxa"/>
            <w:noWrap/>
            <w:hideMark/>
          </w:tcPr>
          <w:p w:rsidR="00217AFA" w:rsidRPr="0091677B" w:rsidRDefault="00217AFA" w:rsidP="004F4BEF">
            <w:r w:rsidRPr="0091677B">
              <w:t>Informisanje</w:t>
            </w:r>
          </w:p>
        </w:tc>
        <w:tc>
          <w:tcPr>
            <w:tcW w:w="1423" w:type="dxa"/>
            <w:noWrap/>
            <w:hideMark/>
          </w:tcPr>
          <w:p w:rsidR="00217AFA" w:rsidRPr="0091677B" w:rsidRDefault="00217AFA" w:rsidP="004F4BEF">
            <w:r w:rsidRPr="0091677B">
              <w:t>Medijske kampanje; portali; online platforme; javne rasprave; inicijative</w:t>
            </w:r>
          </w:p>
        </w:tc>
        <w:tc>
          <w:tcPr>
            <w:tcW w:w="1115" w:type="dxa"/>
            <w:noWrap/>
            <w:hideMark/>
          </w:tcPr>
          <w:p w:rsidR="00217AFA" w:rsidRPr="0091677B" w:rsidRDefault="00217AFA" w:rsidP="004F4BEF">
            <w:r w:rsidRPr="0091677B">
              <w:t>5</w:t>
            </w:r>
          </w:p>
        </w:tc>
        <w:tc>
          <w:tcPr>
            <w:tcW w:w="2065" w:type="dxa"/>
            <w:hideMark/>
          </w:tcPr>
          <w:p w:rsidR="00217AFA" w:rsidRPr="0091677B" w:rsidRDefault="00217AFA" w:rsidP="004F4BEF">
            <w:r w:rsidRPr="0091677B">
              <w:t xml:space="preserve">Nizak nivo informisanosti i razumijevanja pojma biodiverziteta, potreba za kontinuiranim </w:t>
            </w:r>
            <w:r w:rsidRPr="0091677B">
              <w:br/>
              <w:t>javnim kampanjama i većom dostupnošću informacija.</w:t>
            </w:r>
          </w:p>
        </w:tc>
      </w:tr>
      <w:tr w:rsidR="00C90628" w:rsidRPr="0091677B" w:rsidTr="00C90628">
        <w:trPr>
          <w:trHeight w:val="870"/>
        </w:trPr>
        <w:tc>
          <w:tcPr>
            <w:tcW w:w="1902" w:type="dxa"/>
            <w:noWrap/>
            <w:hideMark/>
          </w:tcPr>
          <w:p w:rsidR="00217AFA" w:rsidRPr="0091677B" w:rsidRDefault="00217AFA" w:rsidP="004F4BEF">
            <w:r w:rsidRPr="0091677B">
              <w:t>Međunarodni partneri</w:t>
            </w:r>
          </w:p>
        </w:tc>
        <w:tc>
          <w:tcPr>
            <w:tcW w:w="1557" w:type="dxa"/>
            <w:noWrap/>
            <w:hideMark/>
          </w:tcPr>
          <w:p w:rsidR="00217AFA" w:rsidRPr="0091677B" w:rsidRDefault="00217AFA" w:rsidP="004F4BEF">
            <w:r w:rsidRPr="0091677B">
              <w:t>EU Delegacija, UNEP, UNDP, IUCN, GIZ i dr, fondovi, razvojen banke</w:t>
            </w:r>
          </w:p>
        </w:tc>
        <w:tc>
          <w:tcPr>
            <w:tcW w:w="2118" w:type="dxa"/>
            <w:noWrap/>
            <w:hideMark/>
          </w:tcPr>
          <w:p w:rsidR="00217AFA" w:rsidRPr="0091677B" w:rsidRDefault="00217AFA" w:rsidP="004F4BEF">
            <w:r w:rsidRPr="0091677B">
              <w:t>Tehničko/finansijska podrška; međunarodne obaveze;</w:t>
            </w:r>
          </w:p>
        </w:tc>
        <w:tc>
          <w:tcPr>
            <w:tcW w:w="1005" w:type="dxa"/>
            <w:noWrap/>
            <w:hideMark/>
          </w:tcPr>
          <w:p w:rsidR="00217AFA" w:rsidRPr="0091677B" w:rsidRDefault="00217AFA" w:rsidP="004F4BEF">
            <w:r w:rsidRPr="0091677B">
              <w:t>4</w:t>
            </w:r>
          </w:p>
        </w:tc>
        <w:tc>
          <w:tcPr>
            <w:tcW w:w="1474" w:type="dxa"/>
            <w:noWrap/>
            <w:hideMark/>
          </w:tcPr>
          <w:p w:rsidR="00217AFA" w:rsidRPr="0091677B" w:rsidRDefault="00217AFA" w:rsidP="004F4BEF">
            <w:r w:rsidRPr="0091677B">
              <w:t>4</w:t>
            </w:r>
          </w:p>
        </w:tc>
        <w:tc>
          <w:tcPr>
            <w:tcW w:w="1289" w:type="dxa"/>
            <w:noWrap/>
            <w:hideMark/>
          </w:tcPr>
          <w:p w:rsidR="00217AFA" w:rsidRPr="0091677B" w:rsidRDefault="00217AFA" w:rsidP="004F4BEF">
            <w:r w:rsidRPr="0091677B">
              <w:t>Partnerstvo</w:t>
            </w:r>
          </w:p>
        </w:tc>
        <w:tc>
          <w:tcPr>
            <w:tcW w:w="1423" w:type="dxa"/>
            <w:noWrap/>
            <w:hideMark/>
          </w:tcPr>
          <w:p w:rsidR="00217AFA" w:rsidRPr="0091677B" w:rsidRDefault="00217AFA" w:rsidP="004F4BEF">
            <w:r w:rsidRPr="0091677B">
              <w:t>Donatorska koordinacija; grantovi; zajednički M&amp;E</w:t>
            </w:r>
          </w:p>
        </w:tc>
        <w:tc>
          <w:tcPr>
            <w:tcW w:w="1115" w:type="dxa"/>
            <w:noWrap/>
            <w:hideMark/>
          </w:tcPr>
          <w:p w:rsidR="00217AFA" w:rsidRPr="0091677B" w:rsidRDefault="00217AFA" w:rsidP="004F4BEF">
            <w:r w:rsidRPr="0091677B">
              <w:t>8</w:t>
            </w:r>
          </w:p>
        </w:tc>
        <w:tc>
          <w:tcPr>
            <w:tcW w:w="2065" w:type="dxa"/>
            <w:hideMark/>
          </w:tcPr>
          <w:p w:rsidR="00217AFA" w:rsidRPr="0091677B" w:rsidRDefault="00217AFA" w:rsidP="004F4BEF">
            <w:r w:rsidRPr="0091677B">
              <w:t xml:space="preserve">Različiti ciklusi planiranja i finansiranja, moguća preklapanja projekata i nedovoljna koordinacija </w:t>
            </w:r>
            <w:r w:rsidRPr="0091677B">
              <w:br/>
              <w:t>donatora u oblasti zaštite prirode.</w:t>
            </w:r>
          </w:p>
        </w:tc>
      </w:tr>
      <w:tr w:rsidR="00C90628" w:rsidRPr="0091677B" w:rsidTr="00C90628">
        <w:trPr>
          <w:trHeight w:val="870"/>
        </w:trPr>
        <w:tc>
          <w:tcPr>
            <w:tcW w:w="1902" w:type="dxa"/>
            <w:noWrap/>
            <w:hideMark/>
          </w:tcPr>
          <w:p w:rsidR="00217AFA" w:rsidRPr="0091677B" w:rsidRDefault="00217AFA" w:rsidP="004F4BEF">
            <w:r w:rsidRPr="0091677B">
              <w:t>Specifične grupe</w:t>
            </w:r>
          </w:p>
        </w:tc>
        <w:tc>
          <w:tcPr>
            <w:tcW w:w="1557" w:type="dxa"/>
            <w:noWrap/>
            <w:hideMark/>
          </w:tcPr>
          <w:p w:rsidR="00217AFA" w:rsidRPr="0091677B" w:rsidRDefault="00217AFA" w:rsidP="004F4BEF">
            <w:r>
              <w:t xml:space="preserve">Žene, </w:t>
            </w:r>
            <w:r w:rsidRPr="0091677B">
              <w:t>Djeca, mladi i ranjive grupe</w:t>
            </w:r>
          </w:p>
        </w:tc>
        <w:tc>
          <w:tcPr>
            <w:tcW w:w="2118" w:type="dxa"/>
            <w:noWrap/>
            <w:hideMark/>
          </w:tcPr>
          <w:p w:rsidR="00217AFA" w:rsidRPr="0091677B" w:rsidRDefault="00217AFA" w:rsidP="004F4BEF">
            <w:r w:rsidRPr="0091677B">
              <w:t xml:space="preserve">Edukacija, osnaživanje i inkluzija u procese </w:t>
            </w:r>
            <w:r w:rsidRPr="0091677B">
              <w:lastRenderedPageBreak/>
              <w:t>odlučivanja i podizanje svijesti</w:t>
            </w:r>
          </w:p>
        </w:tc>
        <w:tc>
          <w:tcPr>
            <w:tcW w:w="1005" w:type="dxa"/>
            <w:noWrap/>
            <w:hideMark/>
          </w:tcPr>
          <w:p w:rsidR="00217AFA" w:rsidRPr="0091677B" w:rsidRDefault="00217AFA" w:rsidP="004F4BEF">
            <w:r w:rsidRPr="0091677B">
              <w:lastRenderedPageBreak/>
              <w:t>5</w:t>
            </w:r>
          </w:p>
        </w:tc>
        <w:tc>
          <w:tcPr>
            <w:tcW w:w="1474" w:type="dxa"/>
            <w:noWrap/>
            <w:hideMark/>
          </w:tcPr>
          <w:p w:rsidR="00217AFA" w:rsidRPr="0091677B" w:rsidRDefault="00217AFA" w:rsidP="004F4BEF">
            <w:r w:rsidRPr="0091677B">
              <w:t>2</w:t>
            </w:r>
          </w:p>
        </w:tc>
        <w:tc>
          <w:tcPr>
            <w:tcW w:w="1289" w:type="dxa"/>
            <w:noWrap/>
            <w:hideMark/>
          </w:tcPr>
          <w:p w:rsidR="00217AFA" w:rsidRPr="0091677B" w:rsidRDefault="00217AFA" w:rsidP="004F4BEF">
            <w:r w:rsidRPr="0091677B">
              <w:t>Informisanje / Partnerstvo</w:t>
            </w:r>
          </w:p>
        </w:tc>
        <w:tc>
          <w:tcPr>
            <w:tcW w:w="1423" w:type="dxa"/>
            <w:hideMark/>
          </w:tcPr>
          <w:p w:rsidR="00217AFA" w:rsidRPr="0091677B" w:rsidRDefault="00217AFA" w:rsidP="004F4BEF">
            <w:r w:rsidRPr="0091677B">
              <w:t xml:space="preserve">Obrazovni programi, školske kampanje, </w:t>
            </w:r>
            <w:r w:rsidRPr="0091677B">
              <w:lastRenderedPageBreak/>
              <w:t>mladi ambasadori biodiverziteta;</w:t>
            </w:r>
            <w:r w:rsidRPr="0091677B">
              <w:br/>
              <w:t>Međuresorne radne grupe;</w:t>
            </w:r>
          </w:p>
        </w:tc>
        <w:tc>
          <w:tcPr>
            <w:tcW w:w="1115" w:type="dxa"/>
            <w:noWrap/>
            <w:hideMark/>
          </w:tcPr>
          <w:p w:rsidR="00217AFA" w:rsidRPr="0091677B" w:rsidRDefault="00217AFA" w:rsidP="004F4BEF">
            <w:r w:rsidRPr="0091677B">
              <w:lastRenderedPageBreak/>
              <w:t>7</w:t>
            </w:r>
          </w:p>
        </w:tc>
        <w:tc>
          <w:tcPr>
            <w:tcW w:w="2065" w:type="dxa"/>
            <w:hideMark/>
          </w:tcPr>
          <w:p w:rsidR="00217AFA" w:rsidRPr="0091677B" w:rsidRDefault="00217AFA" w:rsidP="004F4BEF">
            <w:r w:rsidRPr="0091677B">
              <w:t xml:space="preserve">Nedostatak pristupa informacijama, niska zastupljenost u procesima </w:t>
            </w:r>
            <w:r w:rsidRPr="0091677B">
              <w:lastRenderedPageBreak/>
              <w:t xml:space="preserve">odlučivanja, potreba za </w:t>
            </w:r>
            <w:r w:rsidRPr="0091677B">
              <w:br/>
              <w:t>prilagođenim komunikacionim kanalima i obrazovnim programima.</w:t>
            </w:r>
          </w:p>
        </w:tc>
      </w:tr>
    </w:tbl>
    <w:p w:rsidR="00217AFA" w:rsidRDefault="00217AFA"/>
    <w:sectPr w:rsidR="00217AFA">
      <w:pgSz w:w="16838" w:h="11906"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26374" w:rsidRDefault="00A26374">
      <w:pPr>
        <w:spacing w:after="0" w:line="240" w:lineRule="auto"/>
      </w:pPr>
      <w:r>
        <w:separator/>
      </w:r>
    </w:p>
  </w:endnote>
  <w:endnote w:type="continuationSeparator" w:id="0">
    <w:p w:rsidR="00A26374" w:rsidRDefault="00A263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D21F4848-F484-4FBD-A873-153E71E5E1BA}"/>
    <w:embedBold r:id="rId2" w:fontKey="{F14181CF-50DE-434E-91F7-8918D0AA7058}"/>
    <w:embedItalic r:id="rId3" w:fontKey="{4096394F-F111-4DE3-9F0C-837BD260D5C0}"/>
    <w:embedBoldItalic r:id="rId4" w:fontKey="{E483FD9B-02D6-4360-87DD-03AF055BE97B}"/>
  </w:font>
  <w:font w:name="Noto Sans Symbols">
    <w:charset w:val="00"/>
    <w:family w:val="auto"/>
    <w:pitch w:val="default"/>
    <w:embedRegular r:id="rId5" w:fontKey="{DC8487B7-A30B-49AC-BEB0-6AC96B69F780}"/>
  </w:font>
  <w:font w:name="Segoe UI">
    <w:panose1 w:val="020B0502040204020203"/>
    <w:charset w:val="00"/>
    <w:family w:val="swiss"/>
    <w:pitch w:val="variable"/>
    <w:sig w:usb0="E4002EFF" w:usb1="C000E47F" w:usb2="00000009" w:usb3="00000000" w:csb0="000001FF" w:csb1="00000000"/>
    <w:embedRegular r:id="rId6" w:fontKey="{F0229B2B-5CD7-4397-A29B-AA40C216ACB3}"/>
  </w:font>
  <w:font w:name="Calibri Light">
    <w:panose1 w:val="020F0302020204030204"/>
    <w:charset w:val="00"/>
    <w:family w:val="swiss"/>
    <w:pitch w:val="variable"/>
    <w:sig w:usb0="E4002EFF" w:usb1="C200247B" w:usb2="00000009" w:usb3="00000000" w:csb0="000001FF" w:csb1="00000000"/>
    <w:embedRegular r:id="rId7" w:fontKey="{EEF89603-9FCB-4CC6-8D78-A18B7489B4E7}"/>
    <w:embedItalic r:id="rId8" w:fontKey="{69304B25-3AAA-4B56-A490-684BC3C24EB5}"/>
  </w:font>
  <w:font w:name="Georgia">
    <w:panose1 w:val="02040502050405020303"/>
    <w:charset w:val="00"/>
    <w:family w:val="roman"/>
    <w:pitch w:val="variable"/>
    <w:sig w:usb0="00000287" w:usb1="00000000" w:usb2="00000000" w:usb3="00000000" w:csb0="0000009F" w:csb1="00000000"/>
    <w:embedItalic r:id="rId9" w:fontKey="{92230F76-1076-4799-AA85-947318DF66A6}"/>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0" w:fontKey="{836F76E8-0F12-414D-97A8-11C441C88DB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6361" w:rsidRDefault="006C636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1F2463">
      <w:rPr>
        <w:noProof/>
        <w:color w:val="000000"/>
      </w:rPr>
      <w:t>69</w:t>
    </w:r>
    <w:r>
      <w:rPr>
        <w:color w:val="000000"/>
      </w:rPr>
      <w:fldChar w:fldCharType="end"/>
    </w:r>
  </w:p>
  <w:p w:rsidR="006C6361" w:rsidRDefault="006C636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6361" w:rsidRDefault="006C636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1F2463">
      <w:rPr>
        <w:noProof/>
        <w:color w:val="000000"/>
      </w:rPr>
      <w:t>6</w:t>
    </w:r>
    <w:r>
      <w:rPr>
        <w:color w:val="000000"/>
      </w:rPr>
      <w:fldChar w:fldCharType="end"/>
    </w:r>
  </w:p>
  <w:p w:rsidR="006C6361" w:rsidRDefault="006C6361">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26374" w:rsidRDefault="00A26374">
      <w:pPr>
        <w:spacing w:after="0" w:line="240" w:lineRule="auto"/>
      </w:pPr>
      <w:r>
        <w:separator/>
      </w:r>
    </w:p>
  </w:footnote>
  <w:footnote w:type="continuationSeparator" w:id="0">
    <w:p w:rsidR="00A26374" w:rsidRDefault="00A26374">
      <w:pPr>
        <w:spacing w:after="0" w:line="240" w:lineRule="auto"/>
      </w:pPr>
      <w:r>
        <w:continuationSeparator/>
      </w:r>
    </w:p>
  </w:footnote>
  <w:footnote w:id="1">
    <w:p w:rsidR="006C6361" w:rsidRPr="00D02DC0" w:rsidRDefault="006C6361">
      <w:pPr>
        <w:pStyle w:val="FootnoteText"/>
        <w:rPr>
          <w:sz w:val="18"/>
          <w:szCs w:val="18"/>
          <w:lang w:val="en-US"/>
        </w:rPr>
      </w:pPr>
      <w:r>
        <w:rPr>
          <w:rStyle w:val="FootnoteReference"/>
        </w:rPr>
        <w:footnoteRef/>
      </w:r>
      <w:r>
        <w:t xml:space="preserve"> </w:t>
      </w:r>
      <w:r w:rsidRPr="00D02DC0">
        <w:rPr>
          <w:sz w:val="18"/>
          <w:szCs w:val="18"/>
        </w:rPr>
        <w:t>Mapping and Assessment of Ecosystems and their Services (MAES) /Strategija EU biodiverziteta</w:t>
      </w:r>
    </w:p>
  </w:footnote>
  <w:footnote w:id="2">
    <w:p w:rsidR="006C6361" w:rsidRPr="00B168D6" w:rsidRDefault="006C6361">
      <w:pPr>
        <w:pBdr>
          <w:top w:val="nil"/>
          <w:left w:val="nil"/>
          <w:bottom w:val="nil"/>
          <w:right w:val="nil"/>
          <w:between w:val="nil"/>
        </w:pBdr>
        <w:spacing w:after="0" w:line="240" w:lineRule="auto"/>
        <w:rPr>
          <w:rFonts w:ascii="Arial" w:hAnsi="Arial" w:cs="Arial"/>
          <w:color w:val="000000"/>
          <w:sz w:val="18"/>
          <w:szCs w:val="18"/>
        </w:rPr>
      </w:pPr>
      <w:r>
        <w:rPr>
          <w:rStyle w:val="FootnoteReference"/>
        </w:rPr>
        <w:footnoteRef/>
      </w:r>
      <w:r>
        <w:rPr>
          <w:color w:val="000000"/>
          <w:sz w:val="20"/>
          <w:szCs w:val="20"/>
        </w:rPr>
        <w:t xml:space="preserve"> </w:t>
      </w:r>
      <w:r w:rsidRPr="00B168D6">
        <w:rPr>
          <w:rFonts w:ascii="Arial" w:hAnsi="Arial" w:cs="Arial"/>
          <w:color w:val="000000"/>
          <w:sz w:val="18"/>
          <w:szCs w:val="18"/>
        </w:rPr>
        <w:t>https://www.gov.me/dokumenta/0b837ed1-bbc8-4dd6-82a4-0afb1eb0ca3d</w:t>
      </w:r>
    </w:p>
  </w:footnote>
  <w:footnote w:id="3">
    <w:p w:rsidR="006C6361" w:rsidRPr="00B168D6" w:rsidRDefault="006C6361">
      <w:pPr>
        <w:pBdr>
          <w:top w:val="nil"/>
          <w:left w:val="nil"/>
          <w:bottom w:val="nil"/>
          <w:right w:val="nil"/>
          <w:between w:val="nil"/>
        </w:pBdr>
        <w:spacing w:after="0" w:line="240" w:lineRule="auto"/>
        <w:rPr>
          <w:rFonts w:ascii="Arial" w:hAnsi="Arial" w:cs="Arial"/>
          <w:color w:val="000000"/>
          <w:sz w:val="18"/>
          <w:szCs w:val="18"/>
        </w:rPr>
      </w:pPr>
      <w:r w:rsidRPr="00B168D6">
        <w:rPr>
          <w:rStyle w:val="FootnoteReference"/>
          <w:rFonts w:ascii="Arial" w:hAnsi="Arial" w:cs="Arial"/>
          <w:sz w:val="18"/>
          <w:szCs w:val="18"/>
        </w:rPr>
        <w:footnoteRef/>
      </w:r>
      <w:r w:rsidRPr="00B168D6">
        <w:rPr>
          <w:rFonts w:ascii="Arial" w:hAnsi="Arial" w:cs="Arial"/>
          <w:color w:val="000000"/>
          <w:sz w:val="18"/>
          <w:szCs w:val="18"/>
        </w:rPr>
        <w:t xml:space="preserve"> https://eusluge.euprava.me/ServiceImages/eParticipacije/f7f6e772-ae21-4efe-9936-0356bfa12536.pdf</w:t>
      </w:r>
    </w:p>
  </w:footnote>
  <w:footnote w:id="4">
    <w:p w:rsidR="006C6361" w:rsidRDefault="006C6361">
      <w:pPr>
        <w:pBdr>
          <w:top w:val="nil"/>
          <w:left w:val="nil"/>
          <w:bottom w:val="nil"/>
          <w:right w:val="nil"/>
          <w:between w:val="nil"/>
        </w:pBdr>
        <w:spacing w:after="0" w:line="240" w:lineRule="auto"/>
        <w:rPr>
          <w:color w:val="000000"/>
          <w:sz w:val="20"/>
          <w:szCs w:val="20"/>
        </w:rPr>
      </w:pPr>
      <w:r>
        <w:rPr>
          <w:rStyle w:val="FootnoteReference"/>
        </w:rPr>
        <w:footnoteRef/>
      </w:r>
      <w:r>
        <w:rPr>
          <w:rFonts w:ascii="Arial" w:eastAsia="Arial" w:hAnsi="Arial" w:cs="Arial"/>
          <w:color w:val="000000"/>
          <w:sz w:val="18"/>
          <w:szCs w:val="18"/>
        </w:rPr>
        <w:t>Zaštićenim prirodnim dobrima mogu se proglasiti djelovi prirode izuzetnih vrijednosti, koji se odlikuju biološkom, geološkom, ekosistemskom i predionom raznovrsnošću.</w:t>
      </w:r>
    </w:p>
  </w:footnote>
  <w:footnote w:id="5">
    <w:p w:rsidR="006C6361" w:rsidRDefault="006C6361">
      <w:pPr>
        <w:pBdr>
          <w:top w:val="nil"/>
          <w:left w:val="nil"/>
          <w:bottom w:val="nil"/>
          <w:right w:val="nil"/>
          <w:between w:val="nil"/>
        </w:pBdr>
        <w:spacing w:after="0" w:line="240" w:lineRule="auto"/>
        <w:jc w:val="both"/>
        <w:rPr>
          <w:color w:val="000000"/>
          <w:sz w:val="18"/>
          <w:szCs w:val="18"/>
        </w:rPr>
      </w:pPr>
      <w:r>
        <w:rPr>
          <w:rStyle w:val="FootnoteReference"/>
        </w:rPr>
        <w:footnoteRef/>
      </w:r>
      <w:r>
        <w:rPr>
          <w:color w:val="000000"/>
          <w:sz w:val="20"/>
          <w:szCs w:val="20"/>
        </w:rPr>
        <w:t xml:space="preserve"> </w:t>
      </w:r>
      <w:r w:rsidRPr="00954AE7">
        <w:rPr>
          <w:rFonts w:ascii="Arial" w:hAnsi="Arial" w:cs="Arial"/>
          <w:color w:val="000000"/>
          <w:sz w:val="18"/>
          <w:szCs w:val="18"/>
        </w:rPr>
        <w:t>U kontekstu cilja od 10% iz Strategije biodiverziteta, strogo zaštićena područja definišu se na sljedeći način:</w:t>
      </w:r>
      <w:r w:rsidRPr="00954AE7">
        <w:rPr>
          <w:rFonts w:ascii="Arial" w:hAnsi="Arial" w:cs="Arial"/>
          <w:color w:val="000000"/>
          <w:sz w:val="18"/>
          <w:szCs w:val="18"/>
        </w:rPr>
        <w:br/>
        <w:t>„Strogo zaštićena područja su u potpunosti i zakonski zaštićena područja određena radi očuvanja i/ili obnove integriteta prirodnih područja bogatih biodiverzitetom, zajedno sa njihovom osnovnom ekološkom strukturom i prirodnim procesima koji ih podržavaju. Prirodni procesi se stoga ostavljaju u suštini neometanim ljudskim pritiscima i prijetnjama ukupnoj ekološkoj strukturi i funkcionisanju područja, bez obzira na to da li se ti pritisci i prijetnje nalaze unutar ili izvan strogo zaštićenog područja.“</w:t>
      </w:r>
    </w:p>
  </w:footnote>
  <w:footnote w:id="6">
    <w:p w:rsidR="006C6361" w:rsidRDefault="006C6361">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Kopernikus za 2020. godinu (10m)</w:t>
      </w:r>
    </w:p>
  </w:footnote>
  <w:footnote w:id="7">
    <w:p w:rsidR="006C6361" w:rsidRPr="00B97C2D" w:rsidRDefault="006C6361" w:rsidP="00E91D11">
      <w:pPr>
        <w:pStyle w:val="NormalWeb"/>
        <w:spacing w:before="0" w:beforeAutospacing="0" w:after="0" w:afterAutospacing="0"/>
        <w:jc w:val="both"/>
        <w:rPr>
          <w:rFonts w:ascii="Arial" w:hAnsi="Arial" w:cs="Arial"/>
          <w:sz w:val="18"/>
          <w:szCs w:val="18"/>
        </w:rPr>
      </w:pPr>
      <w:r>
        <w:rPr>
          <w:rStyle w:val="FootnoteReference"/>
        </w:rPr>
        <w:footnoteRef/>
      </w:r>
      <w:r>
        <w:t xml:space="preserve"> </w:t>
      </w:r>
      <w:r w:rsidRPr="00B97C2D">
        <w:rPr>
          <w:rFonts w:ascii="Arial" w:hAnsi="Arial" w:cs="Arial"/>
          <w:color w:val="000000"/>
          <w:sz w:val="18"/>
          <w:szCs w:val="18"/>
        </w:rPr>
        <w:t>Emerton, 2013</w:t>
      </w:r>
    </w:p>
  </w:footnote>
  <w:footnote w:id="8">
    <w:p w:rsidR="006C6361" w:rsidRPr="00B97C2D" w:rsidRDefault="006C6361" w:rsidP="00E91D11">
      <w:pPr>
        <w:pStyle w:val="NormalWeb"/>
        <w:spacing w:before="0" w:beforeAutospacing="0" w:after="0" w:afterAutospacing="0"/>
        <w:jc w:val="both"/>
        <w:rPr>
          <w:rFonts w:ascii="Arial" w:hAnsi="Arial" w:cs="Arial"/>
          <w:sz w:val="18"/>
          <w:szCs w:val="18"/>
        </w:rPr>
      </w:pPr>
      <w:r w:rsidRPr="00B97C2D">
        <w:rPr>
          <w:rStyle w:val="FootnoteReference"/>
          <w:rFonts w:ascii="Arial" w:hAnsi="Arial" w:cs="Arial"/>
          <w:sz w:val="18"/>
          <w:szCs w:val="18"/>
        </w:rPr>
        <w:footnoteRef/>
      </w:r>
      <w:r w:rsidRPr="00B97C2D">
        <w:rPr>
          <w:rFonts w:ascii="Arial" w:hAnsi="Arial" w:cs="Arial"/>
          <w:sz w:val="18"/>
          <w:szCs w:val="18"/>
        </w:rPr>
        <w:t xml:space="preserve"> </w:t>
      </w:r>
      <w:r w:rsidRPr="00B97C2D">
        <w:rPr>
          <w:rFonts w:ascii="Arial" w:hAnsi="Arial" w:cs="Arial"/>
          <w:color w:val="000000"/>
          <w:sz w:val="18"/>
          <w:szCs w:val="18"/>
        </w:rPr>
        <w:t>U skladu sa Zakonom o zaštiti prirode („Sl CG“ 54/16, 18/19), Zakonom o životnoj sredini („Sl CG“ 52/16), Zakonom o nacionalnim parkovima („Sl CG“ 028/14 i 039/16) i drugim relevantnim propisima. </w:t>
      </w:r>
    </w:p>
  </w:footnote>
  <w:footnote w:id="9">
    <w:p w:rsidR="006C6361" w:rsidRPr="00B97C2D" w:rsidRDefault="006C6361" w:rsidP="00E91D11">
      <w:pPr>
        <w:pStyle w:val="NormalWeb"/>
        <w:spacing w:before="0" w:beforeAutospacing="0" w:after="0" w:afterAutospacing="0"/>
        <w:jc w:val="both"/>
        <w:rPr>
          <w:rFonts w:ascii="Arial" w:hAnsi="Arial" w:cs="Arial"/>
          <w:sz w:val="18"/>
          <w:szCs w:val="18"/>
        </w:rPr>
      </w:pPr>
      <w:r w:rsidRPr="00B97C2D">
        <w:rPr>
          <w:rStyle w:val="FootnoteReference"/>
          <w:rFonts w:ascii="Arial" w:hAnsi="Arial" w:cs="Arial"/>
          <w:sz w:val="18"/>
          <w:szCs w:val="18"/>
        </w:rPr>
        <w:footnoteRef/>
      </w:r>
      <w:r w:rsidRPr="00B97C2D">
        <w:rPr>
          <w:rFonts w:ascii="Arial" w:hAnsi="Arial" w:cs="Arial"/>
          <w:sz w:val="18"/>
          <w:szCs w:val="18"/>
        </w:rPr>
        <w:t xml:space="preserve"> </w:t>
      </w:r>
      <w:r w:rsidRPr="00B97C2D">
        <w:rPr>
          <w:rFonts w:ascii="Arial" w:hAnsi="Arial" w:cs="Arial"/>
          <w:color w:val="000000"/>
          <w:sz w:val="18"/>
          <w:szCs w:val="18"/>
        </w:rPr>
        <w:t>Iako značajan dio postojećih upravljača zaštićenih područja ima status privrednog društva, za potrebe izrade NBSAP-a oni se smatraju dijelom javnog sektora budući da su osnovani od strane jedinica lokalne samouprave i da vrše poslove koji su (pretežno) od javnog interesa.</w:t>
      </w:r>
    </w:p>
  </w:footnote>
  <w:footnote w:id="10">
    <w:p w:rsidR="006C6361" w:rsidRPr="00B97C2D" w:rsidRDefault="006C6361" w:rsidP="00E91D11">
      <w:pPr>
        <w:pStyle w:val="FootnoteText"/>
        <w:jc w:val="both"/>
        <w:rPr>
          <w:rFonts w:ascii="Arial" w:hAnsi="Arial" w:cs="Arial"/>
          <w:sz w:val="18"/>
          <w:szCs w:val="18"/>
          <w:lang w:val="sr-Latn-ME"/>
        </w:rPr>
      </w:pPr>
      <w:r w:rsidRPr="00B97C2D">
        <w:rPr>
          <w:rStyle w:val="FootnoteReference"/>
          <w:rFonts w:ascii="Arial" w:hAnsi="Arial" w:cs="Arial"/>
          <w:sz w:val="18"/>
          <w:szCs w:val="18"/>
        </w:rPr>
        <w:footnoteRef/>
      </w:r>
      <w:r w:rsidRPr="00B97C2D">
        <w:rPr>
          <w:rFonts w:ascii="Arial" w:hAnsi="Arial" w:cs="Arial"/>
          <w:sz w:val="18"/>
          <w:szCs w:val="18"/>
        </w:rPr>
        <w:t xml:space="preserve"> </w:t>
      </w:r>
      <w:r w:rsidRPr="00B97C2D">
        <w:rPr>
          <w:rFonts w:ascii="Arial" w:hAnsi="Arial" w:cs="Arial"/>
          <w:color w:val="000000"/>
          <w:sz w:val="18"/>
          <w:szCs w:val="18"/>
        </w:rPr>
        <w:t>Prihodi od naknada za korišćenje prirodnih dobara, na primjer, iznosili su € 6,2 miliona (2023) i € 4,9 miliona (2024).</w:t>
      </w:r>
    </w:p>
  </w:footnote>
  <w:footnote w:id="11">
    <w:p w:rsidR="006C6361" w:rsidRPr="00FE3698" w:rsidRDefault="006C6361" w:rsidP="00DE0BA9">
      <w:pPr>
        <w:pStyle w:val="NormalWeb"/>
        <w:spacing w:before="240" w:beforeAutospacing="0" w:after="0" w:afterAutospacing="0"/>
        <w:jc w:val="both"/>
        <w:rPr>
          <w:rFonts w:ascii="Arial" w:hAnsi="Arial" w:cs="Arial"/>
          <w:sz w:val="18"/>
          <w:szCs w:val="18"/>
        </w:rPr>
      </w:pPr>
      <w:r w:rsidRPr="00DE0BA9">
        <w:rPr>
          <w:rStyle w:val="FootnoteReference"/>
          <w:rFonts w:ascii="Arial" w:hAnsi="Arial" w:cs="Arial"/>
          <w:sz w:val="18"/>
          <w:szCs w:val="18"/>
        </w:rPr>
        <w:footnoteRef/>
      </w:r>
      <w:r w:rsidRPr="00DE0BA9">
        <w:rPr>
          <w:rFonts w:ascii="Arial" w:hAnsi="Arial" w:cs="Arial"/>
          <w:sz w:val="18"/>
          <w:szCs w:val="18"/>
        </w:rPr>
        <w:t xml:space="preserve"> </w:t>
      </w:r>
      <w:r w:rsidRPr="00FE3698">
        <w:rPr>
          <w:rFonts w:ascii="Arial" w:hAnsi="Arial" w:cs="Arial"/>
          <w:color w:val="000000"/>
          <w:sz w:val="18"/>
          <w:szCs w:val="18"/>
        </w:rPr>
        <w:t>U skladu sa BIOFIN metodologijom, zaštitom biodiverziteta se smatraju mjere i aktivnosti koje su usmjerene na: zaštitu vrijednih područja, očuvanje staništa van zaštićenih područja, obnovu degradiranih staništa/ ekosistema, zaštitu vrsta i obnovu populacija, zaštitu genetskih resursa, istraživanja i praćenje stanja biodiverziteta, održivo korišćenje resursa, integrisanje biodiverziteta u sektorske politike i sl.</w:t>
      </w:r>
    </w:p>
  </w:footnote>
  <w:footnote w:id="12">
    <w:p w:rsidR="006C6361" w:rsidRPr="00FE3698" w:rsidRDefault="006C6361" w:rsidP="00FE3698">
      <w:pPr>
        <w:pStyle w:val="FootnoteText"/>
        <w:rPr>
          <w:rFonts w:ascii="Arial" w:hAnsi="Arial" w:cs="Arial"/>
          <w:sz w:val="18"/>
          <w:szCs w:val="18"/>
          <w:lang w:val="sr-Latn-ME"/>
        </w:rPr>
      </w:pPr>
      <w:r w:rsidRPr="00FE3698">
        <w:rPr>
          <w:rStyle w:val="FootnoteReference"/>
          <w:rFonts w:ascii="Arial" w:hAnsi="Arial" w:cs="Arial"/>
          <w:sz w:val="18"/>
          <w:szCs w:val="18"/>
        </w:rPr>
        <w:footnoteRef/>
      </w:r>
      <w:r w:rsidRPr="00FE3698">
        <w:rPr>
          <w:rFonts w:ascii="Arial" w:hAnsi="Arial" w:cs="Arial"/>
          <w:sz w:val="18"/>
          <w:szCs w:val="18"/>
        </w:rPr>
        <w:t xml:space="preserve"> </w:t>
      </w:r>
      <w:r w:rsidRPr="00FE3698">
        <w:rPr>
          <w:rFonts w:ascii="Arial" w:hAnsi="Arial" w:cs="Arial"/>
          <w:color w:val="000000"/>
          <w:sz w:val="18"/>
          <w:szCs w:val="18"/>
        </w:rPr>
        <w:t>Za procjenu djelova budžeta sektorskih institucija (različitih ministarstva i uprava) koji se odnose na zaštitu/ očuvanje biodiverziteta, korišćene su stope za alokaciju. Ove stope (biodiv</w:t>
      </w:r>
      <w:r>
        <w:rPr>
          <w:rFonts w:ascii="Arial" w:hAnsi="Arial" w:cs="Arial"/>
          <w:color w:val="000000"/>
          <w:sz w:val="18"/>
          <w:szCs w:val="18"/>
        </w:rPr>
        <w:t>ersity attribution rates – BAR)</w:t>
      </w:r>
      <w:r w:rsidRPr="00FE3698">
        <w:rPr>
          <w:rFonts w:ascii="Arial" w:hAnsi="Arial" w:cs="Arial"/>
          <w:color w:val="000000"/>
          <w:sz w:val="18"/>
          <w:szCs w:val="18"/>
        </w:rPr>
        <w:t xml:space="preserve"> su metoda preporučena kroz globalnu BIOFIN inicijativu kojom se na osnovu ocjene usklađenosti ciljeva sektorskih programa i mjera sa ciljevima zaštite biodiverziteta određuje iznos sredstava posvećen zaštiti biodiverziteta (kao udio ukupnog budžeta sektors</w:t>
      </w:r>
      <w:r>
        <w:rPr>
          <w:rFonts w:ascii="Arial" w:hAnsi="Arial" w:cs="Arial"/>
          <w:color w:val="000000"/>
          <w:sz w:val="18"/>
          <w:szCs w:val="18"/>
        </w:rPr>
        <w:t>kih institucija).</w:t>
      </w:r>
    </w:p>
  </w:footnote>
  <w:footnote w:id="13">
    <w:p w:rsidR="006C6361" w:rsidRPr="002C41E5" w:rsidRDefault="006C6361">
      <w:pPr>
        <w:pStyle w:val="FootnoteText"/>
        <w:rPr>
          <w:lang w:val="en-US"/>
        </w:rPr>
      </w:pPr>
      <w:r>
        <w:rPr>
          <w:rStyle w:val="FootnoteReference"/>
        </w:rPr>
        <w:footnoteRef/>
      </w:r>
      <w:r>
        <w:t xml:space="preserve"> “</w:t>
      </w:r>
      <w:r w:rsidRPr="002C41E5">
        <w:rPr>
          <w:i/>
          <w:lang w:val="en-US"/>
        </w:rPr>
        <w:t xml:space="preserve">Living </w:t>
      </w:r>
      <w:r>
        <w:rPr>
          <w:i/>
          <w:lang w:val="en-US"/>
        </w:rPr>
        <w:t>in</w:t>
      </w:r>
      <w:r w:rsidRPr="002C41E5">
        <w:rPr>
          <w:i/>
          <w:lang w:val="en-US"/>
        </w:rPr>
        <w:t xml:space="preserve"> harmony</w:t>
      </w:r>
      <w:r>
        <w:rPr>
          <w:lang w:val="en-US"/>
        </w:rPr>
        <w:t xml:space="preserve"> with nature” – CBD/KM-GBF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6361" w:rsidRDefault="006C636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31025"/>
    <w:multiLevelType w:val="hybridMultilevel"/>
    <w:tmpl w:val="1AB6318A"/>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1" w15:restartNumberingAfterBreak="0">
    <w:nsid w:val="00A56321"/>
    <w:multiLevelType w:val="multilevel"/>
    <w:tmpl w:val="7B3A013A"/>
    <w:lvl w:ilvl="0">
      <w:start w:val="1"/>
      <w:numFmt w:val="decimal"/>
      <w:lvlText w:val="%1"/>
      <w:lvlJc w:val="left"/>
      <w:pPr>
        <w:ind w:left="610" w:hanging="6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1ED1EE7"/>
    <w:multiLevelType w:val="multilevel"/>
    <w:tmpl w:val="9ABA7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4B4F83"/>
    <w:multiLevelType w:val="hybridMultilevel"/>
    <w:tmpl w:val="46021B9E"/>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4" w15:restartNumberingAfterBreak="0">
    <w:nsid w:val="06796F46"/>
    <w:multiLevelType w:val="hybridMultilevel"/>
    <w:tmpl w:val="3FAC2A08"/>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5" w15:restartNumberingAfterBreak="0">
    <w:nsid w:val="074800C1"/>
    <w:multiLevelType w:val="hybridMultilevel"/>
    <w:tmpl w:val="457290D0"/>
    <w:lvl w:ilvl="0" w:tplc="049C525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6" w15:restartNumberingAfterBreak="0">
    <w:nsid w:val="10984EAE"/>
    <w:multiLevelType w:val="hybridMultilevel"/>
    <w:tmpl w:val="745C852E"/>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7" w15:restartNumberingAfterBreak="0">
    <w:nsid w:val="11AF0D58"/>
    <w:multiLevelType w:val="multilevel"/>
    <w:tmpl w:val="499E847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ascii="Calibri" w:eastAsia="Calibri" w:hAnsi="Calibri" w:cs="Calibri" w:hint="default"/>
        <w:sz w:val="22"/>
      </w:rPr>
    </w:lvl>
    <w:lvl w:ilvl="2">
      <w:start w:val="1"/>
      <w:numFmt w:val="decimal"/>
      <w:isLgl/>
      <w:lvlText w:val="%1.%2.%3"/>
      <w:lvlJc w:val="left"/>
      <w:pPr>
        <w:ind w:left="720" w:hanging="720"/>
      </w:pPr>
      <w:rPr>
        <w:rFonts w:ascii="Calibri" w:eastAsia="Calibri" w:hAnsi="Calibri" w:cs="Calibri" w:hint="default"/>
        <w:sz w:val="22"/>
      </w:rPr>
    </w:lvl>
    <w:lvl w:ilvl="3">
      <w:start w:val="1"/>
      <w:numFmt w:val="decimal"/>
      <w:isLgl/>
      <w:lvlText w:val="%1.%2.%3.%4"/>
      <w:lvlJc w:val="left"/>
      <w:pPr>
        <w:ind w:left="720" w:hanging="720"/>
      </w:pPr>
      <w:rPr>
        <w:rFonts w:ascii="Calibri" w:eastAsia="Calibri" w:hAnsi="Calibri" w:cs="Calibri" w:hint="default"/>
        <w:sz w:val="22"/>
      </w:rPr>
    </w:lvl>
    <w:lvl w:ilvl="4">
      <w:start w:val="1"/>
      <w:numFmt w:val="decimal"/>
      <w:isLgl/>
      <w:lvlText w:val="%1.%2.%3.%4.%5"/>
      <w:lvlJc w:val="left"/>
      <w:pPr>
        <w:ind w:left="1080" w:hanging="1080"/>
      </w:pPr>
      <w:rPr>
        <w:rFonts w:ascii="Calibri" w:eastAsia="Calibri" w:hAnsi="Calibri" w:cs="Calibri" w:hint="default"/>
        <w:sz w:val="22"/>
      </w:rPr>
    </w:lvl>
    <w:lvl w:ilvl="5">
      <w:start w:val="1"/>
      <w:numFmt w:val="decimal"/>
      <w:isLgl/>
      <w:lvlText w:val="%1.%2.%3.%4.%5.%6"/>
      <w:lvlJc w:val="left"/>
      <w:pPr>
        <w:ind w:left="1080" w:hanging="1080"/>
      </w:pPr>
      <w:rPr>
        <w:rFonts w:ascii="Calibri" w:eastAsia="Calibri" w:hAnsi="Calibri" w:cs="Calibri" w:hint="default"/>
        <w:sz w:val="22"/>
      </w:rPr>
    </w:lvl>
    <w:lvl w:ilvl="6">
      <w:start w:val="1"/>
      <w:numFmt w:val="decimal"/>
      <w:isLgl/>
      <w:lvlText w:val="%1.%2.%3.%4.%5.%6.%7"/>
      <w:lvlJc w:val="left"/>
      <w:pPr>
        <w:ind w:left="1440" w:hanging="1440"/>
      </w:pPr>
      <w:rPr>
        <w:rFonts w:ascii="Calibri" w:eastAsia="Calibri" w:hAnsi="Calibri" w:cs="Calibri" w:hint="default"/>
        <w:sz w:val="22"/>
      </w:rPr>
    </w:lvl>
    <w:lvl w:ilvl="7">
      <w:start w:val="1"/>
      <w:numFmt w:val="decimal"/>
      <w:isLgl/>
      <w:lvlText w:val="%1.%2.%3.%4.%5.%6.%7.%8"/>
      <w:lvlJc w:val="left"/>
      <w:pPr>
        <w:ind w:left="1440" w:hanging="1440"/>
      </w:pPr>
      <w:rPr>
        <w:rFonts w:ascii="Calibri" w:eastAsia="Calibri" w:hAnsi="Calibri" w:cs="Calibri" w:hint="default"/>
        <w:sz w:val="22"/>
      </w:rPr>
    </w:lvl>
    <w:lvl w:ilvl="8">
      <w:start w:val="1"/>
      <w:numFmt w:val="decimal"/>
      <w:isLgl/>
      <w:lvlText w:val="%1.%2.%3.%4.%5.%6.%7.%8.%9"/>
      <w:lvlJc w:val="left"/>
      <w:pPr>
        <w:ind w:left="1440" w:hanging="1440"/>
      </w:pPr>
      <w:rPr>
        <w:rFonts w:ascii="Calibri" w:eastAsia="Calibri" w:hAnsi="Calibri" w:cs="Calibri" w:hint="default"/>
        <w:sz w:val="22"/>
      </w:rPr>
    </w:lvl>
  </w:abstractNum>
  <w:abstractNum w:abstractNumId="8" w15:restartNumberingAfterBreak="0">
    <w:nsid w:val="136D7929"/>
    <w:multiLevelType w:val="hybridMultilevel"/>
    <w:tmpl w:val="E8A23406"/>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9" w15:restartNumberingAfterBreak="0">
    <w:nsid w:val="17B6675F"/>
    <w:multiLevelType w:val="hybridMultilevel"/>
    <w:tmpl w:val="082828AE"/>
    <w:lvl w:ilvl="0" w:tplc="7468498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0" w15:restartNumberingAfterBreak="0">
    <w:nsid w:val="1AFC77EF"/>
    <w:multiLevelType w:val="multilevel"/>
    <w:tmpl w:val="A9AA50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BFD7AB9"/>
    <w:multiLevelType w:val="multilevel"/>
    <w:tmpl w:val="B908D7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1D03444B"/>
    <w:multiLevelType w:val="multilevel"/>
    <w:tmpl w:val="49A47D10"/>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3" w15:restartNumberingAfterBreak="0">
    <w:nsid w:val="1E61386B"/>
    <w:multiLevelType w:val="hybridMultilevel"/>
    <w:tmpl w:val="63F2D300"/>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14" w15:restartNumberingAfterBreak="0">
    <w:nsid w:val="1F2D39AB"/>
    <w:multiLevelType w:val="hybridMultilevel"/>
    <w:tmpl w:val="3EBAFA28"/>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15" w15:restartNumberingAfterBreak="0">
    <w:nsid w:val="20063B0F"/>
    <w:multiLevelType w:val="multilevel"/>
    <w:tmpl w:val="EA9E6A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20546570"/>
    <w:multiLevelType w:val="multilevel"/>
    <w:tmpl w:val="7FA2C91C"/>
    <w:lvl w:ilvl="0">
      <w:start w:val="1"/>
      <w:numFmt w:val="decimal"/>
      <w:lvlText w:val="%1."/>
      <w:lvlJc w:val="left"/>
      <w:pPr>
        <w:ind w:left="380" w:hanging="380"/>
      </w:pPr>
      <w:rPr>
        <w:rFonts w:cs="Times New Roman" w:hint="default"/>
        <w:color w:val="auto"/>
      </w:rPr>
    </w:lvl>
    <w:lvl w:ilvl="1">
      <w:start w:val="1"/>
      <w:numFmt w:val="decimal"/>
      <w:lvlText w:val="%1.%2."/>
      <w:lvlJc w:val="left"/>
      <w:pPr>
        <w:ind w:left="380" w:hanging="380"/>
      </w:pPr>
      <w:rPr>
        <w:rFonts w:cs="Times New Roman" w:hint="default"/>
        <w:color w:val="auto"/>
      </w:rPr>
    </w:lvl>
    <w:lvl w:ilvl="2">
      <w:start w:val="1"/>
      <w:numFmt w:val="decimal"/>
      <w:lvlText w:val="%1.%2.%3."/>
      <w:lvlJc w:val="left"/>
      <w:pPr>
        <w:ind w:left="720" w:hanging="720"/>
      </w:pPr>
      <w:rPr>
        <w:rFonts w:cs="Times New Roman" w:hint="default"/>
        <w:color w:val="auto"/>
      </w:rPr>
    </w:lvl>
    <w:lvl w:ilvl="3">
      <w:start w:val="1"/>
      <w:numFmt w:val="decimal"/>
      <w:lvlText w:val="%1.%2.%3.%4."/>
      <w:lvlJc w:val="left"/>
      <w:pPr>
        <w:ind w:left="720" w:hanging="720"/>
      </w:pPr>
      <w:rPr>
        <w:rFonts w:cs="Times New Roman" w:hint="default"/>
        <w:color w:val="auto"/>
      </w:rPr>
    </w:lvl>
    <w:lvl w:ilvl="4">
      <w:start w:val="1"/>
      <w:numFmt w:val="decimal"/>
      <w:lvlText w:val="%1.%2.%3.%4.%5."/>
      <w:lvlJc w:val="left"/>
      <w:pPr>
        <w:ind w:left="1080" w:hanging="1080"/>
      </w:pPr>
      <w:rPr>
        <w:rFonts w:cs="Times New Roman" w:hint="default"/>
        <w:color w:val="auto"/>
      </w:rPr>
    </w:lvl>
    <w:lvl w:ilvl="5">
      <w:start w:val="1"/>
      <w:numFmt w:val="decimal"/>
      <w:lvlText w:val="%1.%2.%3.%4.%5.%6."/>
      <w:lvlJc w:val="left"/>
      <w:pPr>
        <w:ind w:left="1080" w:hanging="1080"/>
      </w:pPr>
      <w:rPr>
        <w:rFonts w:cs="Times New Roman" w:hint="default"/>
        <w:color w:val="auto"/>
      </w:rPr>
    </w:lvl>
    <w:lvl w:ilvl="6">
      <w:start w:val="1"/>
      <w:numFmt w:val="decimal"/>
      <w:lvlText w:val="%1.%2.%3.%4.%5.%6.%7."/>
      <w:lvlJc w:val="left"/>
      <w:pPr>
        <w:ind w:left="1440" w:hanging="1440"/>
      </w:pPr>
      <w:rPr>
        <w:rFonts w:cs="Times New Roman" w:hint="default"/>
        <w:color w:val="auto"/>
      </w:rPr>
    </w:lvl>
    <w:lvl w:ilvl="7">
      <w:start w:val="1"/>
      <w:numFmt w:val="decimal"/>
      <w:lvlText w:val="%1.%2.%3.%4.%5.%6.%7.%8."/>
      <w:lvlJc w:val="left"/>
      <w:pPr>
        <w:ind w:left="1440" w:hanging="1440"/>
      </w:pPr>
      <w:rPr>
        <w:rFonts w:cs="Times New Roman" w:hint="default"/>
        <w:color w:val="auto"/>
      </w:rPr>
    </w:lvl>
    <w:lvl w:ilvl="8">
      <w:start w:val="1"/>
      <w:numFmt w:val="decimal"/>
      <w:lvlText w:val="%1.%2.%3.%4.%5.%6.%7.%8.%9."/>
      <w:lvlJc w:val="left"/>
      <w:pPr>
        <w:ind w:left="1800" w:hanging="1800"/>
      </w:pPr>
      <w:rPr>
        <w:rFonts w:cs="Times New Roman" w:hint="default"/>
        <w:color w:val="auto"/>
      </w:rPr>
    </w:lvl>
  </w:abstractNum>
  <w:abstractNum w:abstractNumId="17" w15:restartNumberingAfterBreak="0">
    <w:nsid w:val="211D7EF3"/>
    <w:multiLevelType w:val="hybridMultilevel"/>
    <w:tmpl w:val="2466A2BC"/>
    <w:lvl w:ilvl="0" w:tplc="2C1A000F">
      <w:start w:val="1"/>
      <w:numFmt w:val="decimal"/>
      <w:lvlText w:val="%1."/>
      <w:lvlJc w:val="left"/>
      <w:pPr>
        <w:ind w:left="360" w:hanging="360"/>
      </w:pPr>
      <w:rPr>
        <w:rFonts w:hint="default"/>
      </w:rPr>
    </w:lvl>
    <w:lvl w:ilvl="1" w:tplc="2C1A0019" w:tentative="1">
      <w:start w:val="1"/>
      <w:numFmt w:val="lowerLetter"/>
      <w:lvlText w:val="%2."/>
      <w:lvlJc w:val="left"/>
      <w:pPr>
        <w:ind w:left="1080" w:hanging="360"/>
      </w:pPr>
    </w:lvl>
    <w:lvl w:ilvl="2" w:tplc="2C1A001B" w:tentative="1">
      <w:start w:val="1"/>
      <w:numFmt w:val="lowerRoman"/>
      <w:lvlText w:val="%3."/>
      <w:lvlJc w:val="right"/>
      <w:pPr>
        <w:ind w:left="1800" w:hanging="180"/>
      </w:pPr>
    </w:lvl>
    <w:lvl w:ilvl="3" w:tplc="2C1A000F" w:tentative="1">
      <w:start w:val="1"/>
      <w:numFmt w:val="decimal"/>
      <w:lvlText w:val="%4."/>
      <w:lvlJc w:val="left"/>
      <w:pPr>
        <w:ind w:left="2520" w:hanging="360"/>
      </w:pPr>
    </w:lvl>
    <w:lvl w:ilvl="4" w:tplc="2C1A0019" w:tentative="1">
      <w:start w:val="1"/>
      <w:numFmt w:val="lowerLetter"/>
      <w:lvlText w:val="%5."/>
      <w:lvlJc w:val="left"/>
      <w:pPr>
        <w:ind w:left="3240" w:hanging="360"/>
      </w:pPr>
    </w:lvl>
    <w:lvl w:ilvl="5" w:tplc="2C1A001B" w:tentative="1">
      <w:start w:val="1"/>
      <w:numFmt w:val="lowerRoman"/>
      <w:lvlText w:val="%6."/>
      <w:lvlJc w:val="right"/>
      <w:pPr>
        <w:ind w:left="3960" w:hanging="180"/>
      </w:pPr>
    </w:lvl>
    <w:lvl w:ilvl="6" w:tplc="2C1A000F" w:tentative="1">
      <w:start w:val="1"/>
      <w:numFmt w:val="decimal"/>
      <w:lvlText w:val="%7."/>
      <w:lvlJc w:val="left"/>
      <w:pPr>
        <w:ind w:left="4680" w:hanging="360"/>
      </w:pPr>
    </w:lvl>
    <w:lvl w:ilvl="7" w:tplc="2C1A0019" w:tentative="1">
      <w:start w:val="1"/>
      <w:numFmt w:val="lowerLetter"/>
      <w:lvlText w:val="%8."/>
      <w:lvlJc w:val="left"/>
      <w:pPr>
        <w:ind w:left="5400" w:hanging="360"/>
      </w:pPr>
    </w:lvl>
    <w:lvl w:ilvl="8" w:tplc="2C1A001B" w:tentative="1">
      <w:start w:val="1"/>
      <w:numFmt w:val="lowerRoman"/>
      <w:lvlText w:val="%9."/>
      <w:lvlJc w:val="right"/>
      <w:pPr>
        <w:ind w:left="6120" w:hanging="180"/>
      </w:pPr>
    </w:lvl>
  </w:abstractNum>
  <w:abstractNum w:abstractNumId="18" w15:restartNumberingAfterBreak="0">
    <w:nsid w:val="28E45D6D"/>
    <w:multiLevelType w:val="hybridMultilevel"/>
    <w:tmpl w:val="D706A34C"/>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19" w15:restartNumberingAfterBreak="0">
    <w:nsid w:val="2C311A35"/>
    <w:multiLevelType w:val="multilevel"/>
    <w:tmpl w:val="0E88F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800C0F"/>
    <w:multiLevelType w:val="multilevel"/>
    <w:tmpl w:val="B72A7C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3062FA4"/>
    <w:multiLevelType w:val="hybridMultilevel"/>
    <w:tmpl w:val="AE7AEA08"/>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22" w15:restartNumberingAfterBreak="0">
    <w:nsid w:val="33DB1AEC"/>
    <w:multiLevelType w:val="multilevel"/>
    <w:tmpl w:val="2C0AF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62147C0"/>
    <w:multiLevelType w:val="multilevel"/>
    <w:tmpl w:val="950A1CF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39FA7197"/>
    <w:multiLevelType w:val="multilevel"/>
    <w:tmpl w:val="E2A8C4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3AA452BA"/>
    <w:multiLevelType w:val="multilevel"/>
    <w:tmpl w:val="C0982374"/>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E3E5F65"/>
    <w:multiLevelType w:val="hybridMultilevel"/>
    <w:tmpl w:val="F7E004B4"/>
    <w:lvl w:ilvl="0" w:tplc="7468498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7" w15:restartNumberingAfterBreak="0">
    <w:nsid w:val="50A62DA7"/>
    <w:multiLevelType w:val="hybridMultilevel"/>
    <w:tmpl w:val="5A3051BC"/>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28" w15:restartNumberingAfterBreak="0">
    <w:nsid w:val="5206787A"/>
    <w:multiLevelType w:val="multilevel"/>
    <w:tmpl w:val="3FA647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52595ACD"/>
    <w:multiLevelType w:val="multilevel"/>
    <w:tmpl w:val="88269C1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0" w15:restartNumberingAfterBreak="0">
    <w:nsid w:val="52F003C3"/>
    <w:multiLevelType w:val="multilevel"/>
    <w:tmpl w:val="14765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5518E2"/>
    <w:multiLevelType w:val="hybridMultilevel"/>
    <w:tmpl w:val="7EE809C4"/>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32" w15:restartNumberingAfterBreak="0">
    <w:nsid w:val="535662EA"/>
    <w:multiLevelType w:val="hybridMultilevel"/>
    <w:tmpl w:val="F66C2E60"/>
    <w:lvl w:ilvl="0" w:tplc="7468498C">
      <w:start w:val="1"/>
      <w:numFmt w:val="bullet"/>
      <w:lvlText w:val=""/>
      <w:lvlJc w:val="left"/>
      <w:pPr>
        <w:ind w:left="360" w:hanging="360"/>
      </w:pPr>
      <w:rPr>
        <w:rFonts w:ascii="Symbol" w:hAnsi="Symbol" w:hint="default"/>
      </w:rPr>
    </w:lvl>
    <w:lvl w:ilvl="1" w:tplc="2C1A0003">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33" w15:restartNumberingAfterBreak="0">
    <w:nsid w:val="53662C3A"/>
    <w:multiLevelType w:val="hybridMultilevel"/>
    <w:tmpl w:val="D83644A6"/>
    <w:lvl w:ilvl="0" w:tplc="049C525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34" w15:restartNumberingAfterBreak="0">
    <w:nsid w:val="569E256B"/>
    <w:multiLevelType w:val="hybridMultilevel"/>
    <w:tmpl w:val="9AC4DFD4"/>
    <w:lvl w:ilvl="0" w:tplc="2C1A000F">
      <w:start w:val="4"/>
      <w:numFmt w:val="decimal"/>
      <w:lvlText w:val="%1."/>
      <w:lvlJc w:val="left"/>
      <w:pPr>
        <w:ind w:left="720" w:hanging="360"/>
      </w:pPr>
      <w:rPr>
        <w:rFonts w:hint="default"/>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35" w15:restartNumberingAfterBreak="0">
    <w:nsid w:val="5CE63C2F"/>
    <w:multiLevelType w:val="multilevel"/>
    <w:tmpl w:val="51E64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EAF184C"/>
    <w:multiLevelType w:val="hybridMultilevel"/>
    <w:tmpl w:val="AD368514"/>
    <w:lvl w:ilvl="0" w:tplc="049C525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37" w15:restartNumberingAfterBreak="0">
    <w:nsid w:val="634F16A7"/>
    <w:multiLevelType w:val="multilevel"/>
    <w:tmpl w:val="6B66BA70"/>
    <w:lvl w:ilvl="0">
      <w:start w:val="1"/>
      <w:numFmt w:val="bullet"/>
      <w:lvlText w:val=""/>
      <w:lvlJc w:val="left"/>
      <w:pPr>
        <w:ind w:left="720" w:hanging="360"/>
      </w:pPr>
      <w:rPr>
        <w:rFonts w:ascii="Symbol" w:hAnsi="Symbol"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67421969"/>
    <w:multiLevelType w:val="multilevel"/>
    <w:tmpl w:val="F744A5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6A5A5149"/>
    <w:multiLevelType w:val="hybridMultilevel"/>
    <w:tmpl w:val="44B2D2BC"/>
    <w:lvl w:ilvl="0" w:tplc="049C525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0" w15:restartNumberingAfterBreak="0">
    <w:nsid w:val="6C2C1DAE"/>
    <w:multiLevelType w:val="hybridMultilevel"/>
    <w:tmpl w:val="613E0BB8"/>
    <w:lvl w:ilvl="0" w:tplc="7468498C">
      <w:start w:val="1"/>
      <w:numFmt w:val="bullet"/>
      <w:lvlText w:val=""/>
      <w:lvlJc w:val="left"/>
      <w:pPr>
        <w:ind w:left="360" w:hanging="360"/>
      </w:pPr>
      <w:rPr>
        <w:rFonts w:ascii="Symbol" w:hAnsi="Symbol" w:hint="default"/>
      </w:rPr>
    </w:lvl>
    <w:lvl w:ilvl="1" w:tplc="EA5444C4">
      <w:start w:val="3"/>
      <w:numFmt w:val="bullet"/>
      <w:lvlText w:val="–"/>
      <w:lvlJc w:val="left"/>
      <w:pPr>
        <w:ind w:left="1080" w:hanging="360"/>
      </w:pPr>
      <w:rPr>
        <w:rFonts w:ascii="Calibri" w:eastAsia="Calibri" w:hAnsi="Calibri" w:cs="Calibri"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41" w15:restartNumberingAfterBreak="0">
    <w:nsid w:val="6C623D0E"/>
    <w:multiLevelType w:val="multilevel"/>
    <w:tmpl w:val="108A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E4C2FFF"/>
    <w:multiLevelType w:val="multilevel"/>
    <w:tmpl w:val="0F8E36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757C598F"/>
    <w:multiLevelType w:val="hybridMultilevel"/>
    <w:tmpl w:val="0804FE00"/>
    <w:lvl w:ilvl="0" w:tplc="7468498C">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44" w15:restartNumberingAfterBreak="0">
    <w:nsid w:val="76FB5DF4"/>
    <w:multiLevelType w:val="multilevel"/>
    <w:tmpl w:val="314487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785B0F69"/>
    <w:multiLevelType w:val="multilevel"/>
    <w:tmpl w:val="BBC05C2A"/>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 w15:restartNumberingAfterBreak="0">
    <w:nsid w:val="7FCB541F"/>
    <w:multiLevelType w:val="hybridMultilevel"/>
    <w:tmpl w:val="EBFCBFC0"/>
    <w:lvl w:ilvl="0" w:tplc="049C525C">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num w:numId="1">
    <w:abstractNumId w:val="42"/>
  </w:num>
  <w:num w:numId="2">
    <w:abstractNumId w:val="20"/>
  </w:num>
  <w:num w:numId="3">
    <w:abstractNumId w:val="38"/>
  </w:num>
  <w:num w:numId="4">
    <w:abstractNumId w:val="24"/>
  </w:num>
  <w:num w:numId="5">
    <w:abstractNumId w:val="44"/>
  </w:num>
  <w:num w:numId="6">
    <w:abstractNumId w:val="45"/>
  </w:num>
  <w:num w:numId="7">
    <w:abstractNumId w:val="12"/>
  </w:num>
  <w:num w:numId="8">
    <w:abstractNumId w:val="15"/>
  </w:num>
  <w:num w:numId="9">
    <w:abstractNumId w:val="11"/>
  </w:num>
  <w:num w:numId="10">
    <w:abstractNumId w:val="10"/>
  </w:num>
  <w:num w:numId="11">
    <w:abstractNumId w:val="28"/>
  </w:num>
  <w:num w:numId="12">
    <w:abstractNumId w:val="22"/>
  </w:num>
  <w:num w:numId="13">
    <w:abstractNumId w:val="29"/>
  </w:num>
  <w:num w:numId="14">
    <w:abstractNumId w:val="1"/>
  </w:num>
  <w:num w:numId="15">
    <w:abstractNumId w:val="23"/>
  </w:num>
  <w:num w:numId="16">
    <w:abstractNumId w:val="16"/>
  </w:num>
  <w:num w:numId="17">
    <w:abstractNumId w:val="19"/>
  </w:num>
  <w:num w:numId="18">
    <w:abstractNumId w:val="2"/>
  </w:num>
  <w:num w:numId="19">
    <w:abstractNumId w:val="25"/>
  </w:num>
  <w:num w:numId="20">
    <w:abstractNumId w:val="39"/>
  </w:num>
  <w:num w:numId="21">
    <w:abstractNumId w:val="33"/>
  </w:num>
  <w:num w:numId="22">
    <w:abstractNumId w:val="46"/>
  </w:num>
  <w:num w:numId="23">
    <w:abstractNumId w:val="30"/>
  </w:num>
  <w:num w:numId="24">
    <w:abstractNumId w:val="35"/>
  </w:num>
  <w:num w:numId="25">
    <w:abstractNumId w:val="41"/>
  </w:num>
  <w:num w:numId="26">
    <w:abstractNumId w:val="37"/>
  </w:num>
  <w:num w:numId="27">
    <w:abstractNumId w:val="7"/>
  </w:num>
  <w:num w:numId="28">
    <w:abstractNumId w:val="34"/>
  </w:num>
  <w:num w:numId="29">
    <w:abstractNumId w:val="40"/>
  </w:num>
  <w:num w:numId="30">
    <w:abstractNumId w:val="27"/>
  </w:num>
  <w:num w:numId="31">
    <w:abstractNumId w:val="13"/>
  </w:num>
  <w:num w:numId="32">
    <w:abstractNumId w:val="0"/>
  </w:num>
  <w:num w:numId="33">
    <w:abstractNumId w:val="3"/>
  </w:num>
  <w:num w:numId="34">
    <w:abstractNumId w:val="4"/>
  </w:num>
  <w:num w:numId="35">
    <w:abstractNumId w:val="32"/>
  </w:num>
  <w:num w:numId="36">
    <w:abstractNumId w:val="31"/>
  </w:num>
  <w:num w:numId="37">
    <w:abstractNumId w:val="18"/>
  </w:num>
  <w:num w:numId="38">
    <w:abstractNumId w:val="8"/>
  </w:num>
  <w:num w:numId="39">
    <w:abstractNumId w:val="21"/>
  </w:num>
  <w:num w:numId="40">
    <w:abstractNumId w:val="14"/>
  </w:num>
  <w:num w:numId="41">
    <w:abstractNumId w:val="6"/>
  </w:num>
  <w:num w:numId="42">
    <w:abstractNumId w:val="43"/>
  </w:num>
  <w:num w:numId="43">
    <w:abstractNumId w:val="26"/>
  </w:num>
  <w:num w:numId="44">
    <w:abstractNumId w:val="9"/>
  </w:num>
  <w:num w:numId="45">
    <w:abstractNumId w:val="17"/>
  </w:num>
  <w:num w:numId="46">
    <w:abstractNumId w:val="36"/>
  </w:num>
  <w:num w:numId="47">
    <w:abstractNumId w:val="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hideSpellingErrors/>
  <w:activeWritingStyle w:appName="MSWord" w:lang="en-GB" w:vendorID="64" w:dllVersion="6" w:nlCheck="1" w:checkStyle="0"/>
  <w:activeWritingStyle w:appName="MSWord" w:lang="en-US" w:vendorID="64" w:dllVersion="6" w:nlCheck="1" w:checkStyle="0"/>
  <w:activeWritingStyle w:appName="MSWord" w:lang="en-US" w:vendorID="64" w:dllVersion="4096" w:nlCheck="1" w:checkStyle="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4804"/>
    <w:rsid w:val="0000537F"/>
    <w:rsid w:val="00007B5E"/>
    <w:rsid w:val="000378E2"/>
    <w:rsid w:val="000437C5"/>
    <w:rsid w:val="000633A8"/>
    <w:rsid w:val="00071684"/>
    <w:rsid w:val="00074E79"/>
    <w:rsid w:val="00087BB3"/>
    <w:rsid w:val="000B1037"/>
    <w:rsid w:val="000B4004"/>
    <w:rsid w:val="000B46FD"/>
    <w:rsid w:val="000D32BD"/>
    <w:rsid w:val="000D6CD8"/>
    <w:rsid w:val="000F4B01"/>
    <w:rsid w:val="00105C6C"/>
    <w:rsid w:val="0011449C"/>
    <w:rsid w:val="00126C41"/>
    <w:rsid w:val="00142615"/>
    <w:rsid w:val="0015251B"/>
    <w:rsid w:val="0016294A"/>
    <w:rsid w:val="00171B37"/>
    <w:rsid w:val="0018000D"/>
    <w:rsid w:val="001A0EC7"/>
    <w:rsid w:val="001C6D7D"/>
    <w:rsid w:val="001C7869"/>
    <w:rsid w:val="001E7C35"/>
    <w:rsid w:val="001F2463"/>
    <w:rsid w:val="00212FE9"/>
    <w:rsid w:val="0021529C"/>
    <w:rsid w:val="00217AFA"/>
    <w:rsid w:val="00230B95"/>
    <w:rsid w:val="00232084"/>
    <w:rsid w:val="00260647"/>
    <w:rsid w:val="00267456"/>
    <w:rsid w:val="002727F1"/>
    <w:rsid w:val="002927FA"/>
    <w:rsid w:val="002C327F"/>
    <w:rsid w:val="002C3E9E"/>
    <w:rsid w:val="002C41E5"/>
    <w:rsid w:val="002C70F4"/>
    <w:rsid w:val="002D6547"/>
    <w:rsid w:val="002E1DAF"/>
    <w:rsid w:val="002E41CB"/>
    <w:rsid w:val="00302676"/>
    <w:rsid w:val="003102B4"/>
    <w:rsid w:val="003330F4"/>
    <w:rsid w:val="00337896"/>
    <w:rsid w:val="00351998"/>
    <w:rsid w:val="003613D9"/>
    <w:rsid w:val="00370123"/>
    <w:rsid w:val="00387C89"/>
    <w:rsid w:val="003947AB"/>
    <w:rsid w:val="00396EC0"/>
    <w:rsid w:val="003B5F9E"/>
    <w:rsid w:val="003C7CCA"/>
    <w:rsid w:val="003E5CFF"/>
    <w:rsid w:val="003E64CF"/>
    <w:rsid w:val="003E7ABA"/>
    <w:rsid w:val="003F2C7F"/>
    <w:rsid w:val="003F42CC"/>
    <w:rsid w:val="0040764B"/>
    <w:rsid w:val="0041151F"/>
    <w:rsid w:val="004208DB"/>
    <w:rsid w:val="00433F26"/>
    <w:rsid w:val="00440A21"/>
    <w:rsid w:val="00444953"/>
    <w:rsid w:val="00454403"/>
    <w:rsid w:val="0045792E"/>
    <w:rsid w:val="0047545B"/>
    <w:rsid w:val="004758CE"/>
    <w:rsid w:val="004768CD"/>
    <w:rsid w:val="004805A8"/>
    <w:rsid w:val="00496363"/>
    <w:rsid w:val="00497BDC"/>
    <w:rsid w:val="004A03A5"/>
    <w:rsid w:val="004A03B9"/>
    <w:rsid w:val="004B15C9"/>
    <w:rsid w:val="004B1989"/>
    <w:rsid w:val="004B3619"/>
    <w:rsid w:val="004B4C80"/>
    <w:rsid w:val="004D3FF5"/>
    <w:rsid w:val="004E35B8"/>
    <w:rsid w:val="004E6928"/>
    <w:rsid w:val="004F4BEF"/>
    <w:rsid w:val="004F5BEA"/>
    <w:rsid w:val="00502D97"/>
    <w:rsid w:val="00510EDA"/>
    <w:rsid w:val="0051152D"/>
    <w:rsid w:val="00513D53"/>
    <w:rsid w:val="005146B8"/>
    <w:rsid w:val="0052366E"/>
    <w:rsid w:val="00526D39"/>
    <w:rsid w:val="00532486"/>
    <w:rsid w:val="0053416F"/>
    <w:rsid w:val="0053626F"/>
    <w:rsid w:val="005406F9"/>
    <w:rsid w:val="00541AAF"/>
    <w:rsid w:val="00544096"/>
    <w:rsid w:val="00545ABF"/>
    <w:rsid w:val="005514DB"/>
    <w:rsid w:val="00554372"/>
    <w:rsid w:val="00556B80"/>
    <w:rsid w:val="00567800"/>
    <w:rsid w:val="00594AB0"/>
    <w:rsid w:val="005D5A58"/>
    <w:rsid w:val="005F1501"/>
    <w:rsid w:val="005F53C0"/>
    <w:rsid w:val="006148AF"/>
    <w:rsid w:val="006376B5"/>
    <w:rsid w:val="0064038B"/>
    <w:rsid w:val="006436B9"/>
    <w:rsid w:val="00647D1B"/>
    <w:rsid w:val="0065284B"/>
    <w:rsid w:val="006548FB"/>
    <w:rsid w:val="0065713D"/>
    <w:rsid w:val="00672EF4"/>
    <w:rsid w:val="0069406B"/>
    <w:rsid w:val="006942D7"/>
    <w:rsid w:val="0069661A"/>
    <w:rsid w:val="006C3C24"/>
    <w:rsid w:val="006C58FD"/>
    <w:rsid w:val="006C6361"/>
    <w:rsid w:val="006D4B36"/>
    <w:rsid w:val="006D4D08"/>
    <w:rsid w:val="006F2CEA"/>
    <w:rsid w:val="00702C95"/>
    <w:rsid w:val="00711039"/>
    <w:rsid w:val="007117DA"/>
    <w:rsid w:val="007163DB"/>
    <w:rsid w:val="00721DEF"/>
    <w:rsid w:val="0073617E"/>
    <w:rsid w:val="00754664"/>
    <w:rsid w:val="00757BA0"/>
    <w:rsid w:val="007657E5"/>
    <w:rsid w:val="007842FC"/>
    <w:rsid w:val="00784AE2"/>
    <w:rsid w:val="00785783"/>
    <w:rsid w:val="00790E60"/>
    <w:rsid w:val="00793741"/>
    <w:rsid w:val="007B1FA3"/>
    <w:rsid w:val="007B3F54"/>
    <w:rsid w:val="007F2ADC"/>
    <w:rsid w:val="007F751E"/>
    <w:rsid w:val="007F7E20"/>
    <w:rsid w:val="00800757"/>
    <w:rsid w:val="008106A0"/>
    <w:rsid w:val="008166A6"/>
    <w:rsid w:val="0082016D"/>
    <w:rsid w:val="0083364F"/>
    <w:rsid w:val="00862F80"/>
    <w:rsid w:val="008722E0"/>
    <w:rsid w:val="00876EA6"/>
    <w:rsid w:val="00882CF8"/>
    <w:rsid w:val="00885D93"/>
    <w:rsid w:val="0088752D"/>
    <w:rsid w:val="00895703"/>
    <w:rsid w:val="008A4395"/>
    <w:rsid w:val="008B019D"/>
    <w:rsid w:val="008C434E"/>
    <w:rsid w:val="008D4259"/>
    <w:rsid w:val="009058A4"/>
    <w:rsid w:val="00905C68"/>
    <w:rsid w:val="0091223E"/>
    <w:rsid w:val="00924359"/>
    <w:rsid w:val="0094417E"/>
    <w:rsid w:val="00952631"/>
    <w:rsid w:val="00954AE7"/>
    <w:rsid w:val="00965757"/>
    <w:rsid w:val="00970154"/>
    <w:rsid w:val="00971B9B"/>
    <w:rsid w:val="00982E92"/>
    <w:rsid w:val="009A0C50"/>
    <w:rsid w:val="009B3514"/>
    <w:rsid w:val="009C1704"/>
    <w:rsid w:val="009F27B7"/>
    <w:rsid w:val="00A0738F"/>
    <w:rsid w:val="00A11DC3"/>
    <w:rsid w:val="00A16581"/>
    <w:rsid w:val="00A25329"/>
    <w:rsid w:val="00A26374"/>
    <w:rsid w:val="00A31C03"/>
    <w:rsid w:val="00A95799"/>
    <w:rsid w:val="00AA2EF2"/>
    <w:rsid w:val="00AA32B2"/>
    <w:rsid w:val="00AA4F07"/>
    <w:rsid w:val="00AE1CAD"/>
    <w:rsid w:val="00AE400D"/>
    <w:rsid w:val="00AF165F"/>
    <w:rsid w:val="00AF7953"/>
    <w:rsid w:val="00B168D6"/>
    <w:rsid w:val="00B176AC"/>
    <w:rsid w:val="00B36BAA"/>
    <w:rsid w:val="00B462FA"/>
    <w:rsid w:val="00B65735"/>
    <w:rsid w:val="00B66597"/>
    <w:rsid w:val="00B73D23"/>
    <w:rsid w:val="00B74DB1"/>
    <w:rsid w:val="00B75CD4"/>
    <w:rsid w:val="00B8352A"/>
    <w:rsid w:val="00B86241"/>
    <w:rsid w:val="00B97126"/>
    <w:rsid w:val="00B97C2D"/>
    <w:rsid w:val="00BB2E23"/>
    <w:rsid w:val="00C06B5B"/>
    <w:rsid w:val="00C10000"/>
    <w:rsid w:val="00C400B6"/>
    <w:rsid w:val="00C50CF7"/>
    <w:rsid w:val="00C53792"/>
    <w:rsid w:val="00C90628"/>
    <w:rsid w:val="00CA5523"/>
    <w:rsid w:val="00CB158C"/>
    <w:rsid w:val="00CC3B2F"/>
    <w:rsid w:val="00CE4AFB"/>
    <w:rsid w:val="00D00174"/>
    <w:rsid w:val="00D02DC0"/>
    <w:rsid w:val="00D1352F"/>
    <w:rsid w:val="00D14804"/>
    <w:rsid w:val="00D14B03"/>
    <w:rsid w:val="00D174EB"/>
    <w:rsid w:val="00D25D6D"/>
    <w:rsid w:val="00D429A4"/>
    <w:rsid w:val="00D44E7B"/>
    <w:rsid w:val="00D51E3E"/>
    <w:rsid w:val="00D5462A"/>
    <w:rsid w:val="00D571A6"/>
    <w:rsid w:val="00D65EE2"/>
    <w:rsid w:val="00D7501D"/>
    <w:rsid w:val="00D865A2"/>
    <w:rsid w:val="00D86793"/>
    <w:rsid w:val="00D920FA"/>
    <w:rsid w:val="00D94F48"/>
    <w:rsid w:val="00DA18AE"/>
    <w:rsid w:val="00DB79F2"/>
    <w:rsid w:val="00DB7D81"/>
    <w:rsid w:val="00DC4669"/>
    <w:rsid w:val="00DC7952"/>
    <w:rsid w:val="00DD1CC5"/>
    <w:rsid w:val="00DE0BA9"/>
    <w:rsid w:val="00DE51A4"/>
    <w:rsid w:val="00DE75DC"/>
    <w:rsid w:val="00DF1628"/>
    <w:rsid w:val="00E166B0"/>
    <w:rsid w:val="00E20EB9"/>
    <w:rsid w:val="00E300F1"/>
    <w:rsid w:val="00E3172F"/>
    <w:rsid w:val="00E47E1B"/>
    <w:rsid w:val="00E60CD7"/>
    <w:rsid w:val="00E64513"/>
    <w:rsid w:val="00E67847"/>
    <w:rsid w:val="00E67C8B"/>
    <w:rsid w:val="00E7520F"/>
    <w:rsid w:val="00E76186"/>
    <w:rsid w:val="00E81108"/>
    <w:rsid w:val="00E85AE3"/>
    <w:rsid w:val="00E91D11"/>
    <w:rsid w:val="00E939EB"/>
    <w:rsid w:val="00EE1129"/>
    <w:rsid w:val="00F01C47"/>
    <w:rsid w:val="00F10E11"/>
    <w:rsid w:val="00F173F5"/>
    <w:rsid w:val="00F17CDE"/>
    <w:rsid w:val="00F237FB"/>
    <w:rsid w:val="00F33FBE"/>
    <w:rsid w:val="00F42388"/>
    <w:rsid w:val="00F4645F"/>
    <w:rsid w:val="00F46A6C"/>
    <w:rsid w:val="00F5487B"/>
    <w:rsid w:val="00F665A1"/>
    <w:rsid w:val="00F71BA6"/>
    <w:rsid w:val="00FA3CDD"/>
    <w:rsid w:val="00FA549D"/>
    <w:rsid w:val="00FB202E"/>
    <w:rsid w:val="00FE3698"/>
    <w:rsid w:val="00FF696D"/>
  </w:rsids>
  <m:mathPr>
    <m:mathFont m:val="Cambria Math"/>
    <m:brkBin m:val="before"/>
    <m:brkBinSub m:val="--"/>
    <m:smallFrac m:val="0"/>
    <m:dispDef/>
    <m:lMargin m:val="0"/>
    <m:rMargin m:val="0"/>
    <m:defJc m:val="centerGroup"/>
    <m:wrapIndent m:val="1440"/>
    <m:intLim m:val="subSup"/>
    <m:naryLim m:val="undOvr"/>
  </m:mathPr>
  <w:themeFontLang w:val="sr-Latn-M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8CDF7"/>
  <w15:docId w15:val="{FEF5D34E-A123-4DB5-B83E-A6ADDB7A1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sr-Latn-ME" w:eastAsia="sr-Latn-M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link w:val="Heading1Char"/>
    <w:pPr>
      <w:spacing w:line="240" w:lineRule="auto"/>
      <w:outlineLvl w:val="0"/>
    </w:pPr>
    <w:rPr>
      <w:rFonts w:ascii="Times New Roman" w:eastAsia="Times New Roman" w:hAnsi="Times New Roman" w:cs="Times New Roman"/>
      <w:b/>
      <w:bCs/>
      <w:sz w:val="48"/>
      <w:szCs w:val="48"/>
    </w:rPr>
  </w:style>
  <w:style w:type="paragraph" w:styleId="Heading2">
    <w:name w:val="heading 2"/>
    <w:basedOn w:val="Normal"/>
    <w:next w:val="Normal"/>
    <w:link w:val="Heading2Char"/>
    <w:pPr>
      <w:spacing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pPr>
      <w:spacing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pPr>
      <w:keepNext/>
      <w:keepLines/>
      <w:spacing w:before="40" w:after="0"/>
      <w:outlineLvl w:val="3"/>
    </w:pPr>
    <w:rPr>
      <w:i/>
      <w:iCs/>
      <w:color w:val="2E75B5"/>
    </w:rPr>
  </w:style>
  <w:style w:type="paragraph" w:styleId="Heading5">
    <w:name w:val="heading 5"/>
    <w:basedOn w:val="Normal"/>
    <w:next w:val="Normal"/>
    <w:link w:val="Heading5Char"/>
    <w:pPr>
      <w:keepNext/>
      <w:keepLines/>
      <w:spacing w:before="40" w:after="0"/>
      <w:outlineLvl w:val="4"/>
    </w:pPr>
    <w:rPr>
      <w:color w:val="2E75B5"/>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character" w:customStyle="1" w:styleId="Heading1Char">
    <w:name w:val="Heading 1 Char"/>
    <w:basedOn w:val="DefaultParagraphFont"/>
    <w:link w:val="Heading1"/>
    <w:uiPriority w:val="9"/>
    <w:rsid w:val="00856D19"/>
    <w:rPr>
      <w:rFonts w:ascii="Times New Roman" w:eastAsia="Times New Roman" w:hAnsi="Times New Roman" w:cs="Times New Roman"/>
      <w:b/>
      <w:bCs/>
      <w:kern w:val="36"/>
      <w:sz w:val="48"/>
      <w:szCs w:val="48"/>
      <w:lang w:eastAsia="sr-Latn-ME"/>
    </w:rPr>
  </w:style>
  <w:style w:type="character" w:customStyle="1" w:styleId="Heading2Char">
    <w:name w:val="Heading 2 Char"/>
    <w:basedOn w:val="DefaultParagraphFont"/>
    <w:link w:val="Heading2"/>
    <w:uiPriority w:val="9"/>
    <w:rsid w:val="00856D19"/>
    <w:rPr>
      <w:rFonts w:ascii="Times New Roman" w:eastAsia="Times New Roman" w:hAnsi="Times New Roman" w:cs="Times New Roman"/>
      <w:b/>
      <w:bCs/>
      <w:sz w:val="36"/>
      <w:szCs w:val="36"/>
      <w:lang w:eastAsia="sr-Latn-ME"/>
    </w:rPr>
  </w:style>
  <w:style w:type="character" w:customStyle="1" w:styleId="Heading3Char">
    <w:name w:val="Heading 3 Char"/>
    <w:basedOn w:val="DefaultParagraphFont"/>
    <w:link w:val="Heading3"/>
    <w:uiPriority w:val="9"/>
    <w:rsid w:val="00856D19"/>
    <w:rPr>
      <w:rFonts w:ascii="Times New Roman" w:eastAsia="Times New Roman" w:hAnsi="Times New Roman" w:cs="Times New Roman"/>
      <w:b/>
      <w:bCs/>
      <w:sz w:val="27"/>
      <w:szCs w:val="27"/>
      <w:lang w:eastAsia="sr-Latn-ME"/>
    </w:rPr>
  </w:style>
  <w:style w:type="paragraph" w:styleId="NormalWeb">
    <w:name w:val="Normal (Web)"/>
    <w:basedOn w:val="Normal"/>
    <w:uiPriority w:val="99"/>
    <w:unhideWhenUsed/>
    <w:rsid w:val="00856D1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56D19"/>
    <w:rPr>
      <w:b/>
      <w:bCs/>
    </w:rPr>
  </w:style>
  <w:style w:type="character" w:styleId="FootnoteReference">
    <w:name w:val="footnote reference"/>
    <w:aliases w:val="Footnote symbol,IT Fußnotenzeichen,Footnote symboFußnotenzeichen,Footnote sign,-E Fußnotenzeichen,ESPON Footnote No,Footnote call,Footnote Reference Superscript,Footnote reference number,Times 10 Point,Exposant 3 Point,Ref,SUPERS,num"/>
    <w:basedOn w:val="DefaultParagraphFont"/>
    <w:link w:val="FootnotesymbolCarZchn"/>
    <w:uiPriority w:val="99"/>
    <w:unhideWhenUsed/>
    <w:qFormat/>
    <w:rsid w:val="00B6090D"/>
    <w:rPr>
      <w:rFonts w:cs="Times New Roman"/>
      <w:vertAlign w:val="superscript"/>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link w:val="FootnoteReference"/>
    <w:uiPriority w:val="99"/>
    <w:rsid w:val="00B6090D"/>
    <w:pPr>
      <w:spacing w:line="240" w:lineRule="exact"/>
      <w:jc w:val="both"/>
    </w:pPr>
    <w:rPr>
      <w:rFonts w:cs="Times New Roman"/>
      <w:vertAlign w:val="superscript"/>
    </w:rPr>
  </w:style>
  <w:style w:type="paragraph" w:styleId="ListParagraph">
    <w:name w:val="List Paragraph"/>
    <w:basedOn w:val="Normal"/>
    <w:uiPriority w:val="34"/>
    <w:qFormat/>
    <w:rsid w:val="00D54625"/>
    <w:pPr>
      <w:spacing w:after="200" w:line="276" w:lineRule="auto"/>
      <w:ind w:left="720"/>
      <w:contextualSpacing/>
    </w:pPr>
    <w:rPr>
      <w:lang w:val="nl"/>
    </w:rPr>
  </w:style>
  <w:style w:type="paragraph" w:styleId="FootnoteText">
    <w:name w:val="footnote text"/>
    <w:basedOn w:val="Normal"/>
    <w:link w:val="FootnoteTextChar"/>
    <w:uiPriority w:val="99"/>
    <w:semiHidden/>
    <w:unhideWhenUsed/>
    <w:rsid w:val="00D54625"/>
    <w:pPr>
      <w:spacing w:after="0" w:line="240" w:lineRule="auto"/>
    </w:pPr>
    <w:rPr>
      <w:kern w:val="2"/>
      <w:sz w:val="20"/>
      <w:szCs w:val="20"/>
      <w:lang w:val="en-GB"/>
    </w:rPr>
  </w:style>
  <w:style w:type="character" w:customStyle="1" w:styleId="FootnoteTextChar">
    <w:name w:val="Footnote Text Char"/>
    <w:basedOn w:val="DefaultParagraphFont"/>
    <w:link w:val="FootnoteText"/>
    <w:uiPriority w:val="99"/>
    <w:semiHidden/>
    <w:rsid w:val="00D54625"/>
    <w:rPr>
      <w:kern w:val="2"/>
      <w:sz w:val="20"/>
      <w:szCs w:val="20"/>
      <w:lang w:val="en-GB"/>
    </w:rPr>
  </w:style>
  <w:style w:type="paragraph" w:styleId="BalloonText">
    <w:name w:val="Balloon Text"/>
    <w:basedOn w:val="Normal"/>
    <w:link w:val="BalloonTextChar"/>
    <w:uiPriority w:val="99"/>
    <w:semiHidden/>
    <w:unhideWhenUsed/>
    <w:rsid w:val="00D546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4625"/>
    <w:rPr>
      <w:rFonts w:ascii="Segoe UI" w:hAnsi="Segoe UI" w:cs="Segoe UI"/>
      <w:sz w:val="18"/>
      <w:szCs w:val="1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Footer">
    <w:name w:val="footer"/>
    <w:basedOn w:val="Normal"/>
    <w:link w:val="FooterChar"/>
    <w:uiPriority w:val="99"/>
    <w:unhideWhenUsed/>
    <w:rsid w:val="00406F14"/>
    <w:pPr>
      <w:tabs>
        <w:tab w:val="center" w:pos="4513"/>
        <w:tab w:val="right" w:pos="9026"/>
      </w:tabs>
      <w:spacing w:after="0" w:line="240" w:lineRule="auto"/>
    </w:pPr>
    <w:rPr>
      <w:lang w:val="nl"/>
    </w:rPr>
  </w:style>
  <w:style w:type="character" w:customStyle="1" w:styleId="FooterChar">
    <w:name w:val="Footer Char"/>
    <w:basedOn w:val="DefaultParagraphFont"/>
    <w:link w:val="Footer"/>
    <w:uiPriority w:val="99"/>
    <w:rsid w:val="00406F14"/>
    <w:rPr>
      <w:rFonts w:ascii="Calibri" w:eastAsia="Calibri" w:hAnsi="Calibri" w:cs="Calibri"/>
      <w:lang w:val="nl" w:eastAsia="sr-Latn-ME"/>
    </w:rPr>
  </w:style>
  <w:style w:type="paragraph" w:styleId="CommentSubject">
    <w:name w:val="annotation subject"/>
    <w:basedOn w:val="CommentText"/>
    <w:next w:val="CommentText"/>
    <w:link w:val="CommentSubjectChar"/>
    <w:uiPriority w:val="99"/>
    <w:semiHidden/>
    <w:unhideWhenUsed/>
    <w:rsid w:val="00AA6EDC"/>
    <w:rPr>
      <w:b/>
      <w:bCs/>
    </w:rPr>
  </w:style>
  <w:style w:type="character" w:customStyle="1" w:styleId="CommentSubjectChar">
    <w:name w:val="Comment Subject Char"/>
    <w:basedOn w:val="CommentTextChar"/>
    <w:link w:val="CommentSubject"/>
    <w:uiPriority w:val="99"/>
    <w:semiHidden/>
    <w:rsid w:val="00AA6EDC"/>
    <w:rPr>
      <w:b/>
      <w:bCs/>
      <w:sz w:val="20"/>
      <w:szCs w:val="20"/>
    </w:rPr>
  </w:style>
  <w:style w:type="character" w:customStyle="1" w:styleId="Heading4Char">
    <w:name w:val="Heading 4 Char"/>
    <w:basedOn w:val="DefaultParagraphFont"/>
    <w:link w:val="Heading4"/>
    <w:uiPriority w:val="9"/>
    <w:rsid w:val="00BB124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D54202"/>
    <w:rPr>
      <w:rFonts w:asciiTheme="majorHAnsi" w:eastAsiaTheme="majorEastAsia" w:hAnsiTheme="majorHAnsi" w:cstheme="majorBidi"/>
      <w:color w:val="2E74B5" w:themeColor="accent1" w:themeShade="BF"/>
    </w:r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character" w:customStyle="1" w:styleId="whitespace-normal">
    <w:name w:val="whitespace-normal"/>
    <w:basedOn w:val="DefaultParagraphFont"/>
    <w:rsid w:val="00E47E1B"/>
  </w:style>
  <w:style w:type="paragraph" w:styleId="TOCHeading">
    <w:name w:val="TOC Heading"/>
    <w:basedOn w:val="Heading1"/>
    <w:next w:val="Normal"/>
    <w:uiPriority w:val="39"/>
    <w:unhideWhenUsed/>
    <w:qFormat/>
    <w:rsid w:val="00E47E1B"/>
    <w:pPr>
      <w:keepNext/>
      <w:keepLines/>
      <w:spacing w:before="240" w:after="0" w:line="259" w:lineRule="auto"/>
      <w:outlineLvl w:val="9"/>
    </w:pPr>
    <w:rPr>
      <w:rFonts w:asciiTheme="majorHAnsi" w:eastAsiaTheme="majorEastAsia" w:hAnsiTheme="majorHAnsi" w:cstheme="majorBidi"/>
      <w:b w:val="0"/>
      <w:bCs w:val="0"/>
      <w:color w:val="2E74B5" w:themeColor="accent1" w:themeShade="BF"/>
      <w:sz w:val="32"/>
      <w:szCs w:val="32"/>
      <w:lang w:val="en-US" w:eastAsia="en-US"/>
    </w:rPr>
  </w:style>
  <w:style w:type="paragraph" w:styleId="TOC1">
    <w:name w:val="toc 1"/>
    <w:basedOn w:val="Normal"/>
    <w:next w:val="Normal"/>
    <w:autoRedefine/>
    <w:uiPriority w:val="39"/>
    <w:unhideWhenUsed/>
    <w:rsid w:val="00E47E1B"/>
    <w:pPr>
      <w:spacing w:after="100"/>
    </w:pPr>
  </w:style>
  <w:style w:type="paragraph" w:styleId="TOC2">
    <w:name w:val="toc 2"/>
    <w:basedOn w:val="Normal"/>
    <w:next w:val="Normal"/>
    <w:autoRedefine/>
    <w:uiPriority w:val="39"/>
    <w:unhideWhenUsed/>
    <w:rsid w:val="00E47E1B"/>
    <w:pPr>
      <w:spacing w:after="100"/>
      <w:ind w:left="220"/>
    </w:pPr>
  </w:style>
  <w:style w:type="paragraph" w:styleId="TOC3">
    <w:name w:val="toc 3"/>
    <w:basedOn w:val="Normal"/>
    <w:next w:val="Normal"/>
    <w:autoRedefine/>
    <w:uiPriority w:val="39"/>
    <w:unhideWhenUsed/>
    <w:rsid w:val="00E47E1B"/>
    <w:pPr>
      <w:spacing w:after="100"/>
      <w:ind w:left="440"/>
    </w:pPr>
  </w:style>
  <w:style w:type="character" w:styleId="Hyperlink">
    <w:name w:val="Hyperlink"/>
    <w:basedOn w:val="DefaultParagraphFont"/>
    <w:uiPriority w:val="99"/>
    <w:unhideWhenUsed/>
    <w:rsid w:val="00E47E1B"/>
    <w:rPr>
      <w:color w:val="0563C1" w:themeColor="hyperlink"/>
      <w:u w:val="single"/>
    </w:rPr>
  </w:style>
  <w:style w:type="paragraph" w:styleId="Header">
    <w:name w:val="header"/>
    <w:basedOn w:val="Normal"/>
    <w:link w:val="HeaderChar"/>
    <w:uiPriority w:val="99"/>
    <w:unhideWhenUsed/>
    <w:rsid w:val="00387C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87C89"/>
  </w:style>
  <w:style w:type="table" w:styleId="TableGrid">
    <w:name w:val="Table Grid"/>
    <w:basedOn w:val="TableNormal"/>
    <w:uiPriority w:val="39"/>
    <w:rsid w:val="00230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195165">
      <w:bodyDiv w:val="1"/>
      <w:marLeft w:val="0"/>
      <w:marRight w:val="0"/>
      <w:marTop w:val="0"/>
      <w:marBottom w:val="0"/>
      <w:divBdr>
        <w:top w:val="none" w:sz="0" w:space="0" w:color="auto"/>
        <w:left w:val="none" w:sz="0" w:space="0" w:color="auto"/>
        <w:bottom w:val="none" w:sz="0" w:space="0" w:color="auto"/>
        <w:right w:val="none" w:sz="0" w:space="0" w:color="auto"/>
      </w:divBdr>
    </w:div>
    <w:div w:id="102070845">
      <w:bodyDiv w:val="1"/>
      <w:marLeft w:val="0"/>
      <w:marRight w:val="0"/>
      <w:marTop w:val="0"/>
      <w:marBottom w:val="0"/>
      <w:divBdr>
        <w:top w:val="none" w:sz="0" w:space="0" w:color="auto"/>
        <w:left w:val="none" w:sz="0" w:space="0" w:color="auto"/>
        <w:bottom w:val="none" w:sz="0" w:space="0" w:color="auto"/>
        <w:right w:val="none" w:sz="0" w:space="0" w:color="auto"/>
      </w:divBdr>
    </w:div>
    <w:div w:id="471562098">
      <w:bodyDiv w:val="1"/>
      <w:marLeft w:val="0"/>
      <w:marRight w:val="0"/>
      <w:marTop w:val="0"/>
      <w:marBottom w:val="0"/>
      <w:divBdr>
        <w:top w:val="none" w:sz="0" w:space="0" w:color="auto"/>
        <w:left w:val="none" w:sz="0" w:space="0" w:color="auto"/>
        <w:bottom w:val="none" w:sz="0" w:space="0" w:color="auto"/>
        <w:right w:val="none" w:sz="0" w:space="0" w:color="auto"/>
      </w:divBdr>
    </w:div>
    <w:div w:id="478108920">
      <w:bodyDiv w:val="1"/>
      <w:marLeft w:val="0"/>
      <w:marRight w:val="0"/>
      <w:marTop w:val="0"/>
      <w:marBottom w:val="0"/>
      <w:divBdr>
        <w:top w:val="none" w:sz="0" w:space="0" w:color="auto"/>
        <w:left w:val="none" w:sz="0" w:space="0" w:color="auto"/>
        <w:bottom w:val="none" w:sz="0" w:space="0" w:color="auto"/>
        <w:right w:val="none" w:sz="0" w:space="0" w:color="auto"/>
      </w:divBdr>
    </w:div>
    <w:div w:id="508524149">
      <w:bodyDiv w:val="1"/>
      <w:marLeft w:val="0"/>
      <w:marRight w:val="0"/>
      <w:marTop w:val="0"/>
      <w:marBottom w:val="0"/>
      <w:divBdr>
        <w:top w:val="none" w:sz="0" w:space="0" w:color="auto"/>
        <w:left w:val="none" w:sz="0" w:space="0" w:color="auto"/>
        <w:bottom w:val="none" w:sz="0" w:space="0" w:color="auto"/>
        <w:right w:val="none" w:sz="0" w:space="0" w:color="auto"/>
      </w:divBdr>
    </w:div>
    <w:div w:id="563638388">
      <w:bodyDiv w:val="1"/>
      <w:marLeft w:val="0"/>
      <w:marRight w:val="0"/>
      <w:marTop w:val="0"/>
      <w:marBottom w:val="0"/>
      <w:divBdr>
        <w:top w:val="none" w:sz="0" w:space="0" w:color="auto"/>
        <w:left w:val="none" w:sz="0" w:space="0" w:color="auto"/>
        <w:bottom w:val="none" w:sz="0" w:space="0" w:color="auto"/>
        <w:right w:val="none" w:sz="0" w:space="0" w:color="auto"/>
      </w:divBdr>
    </w:div>
    <w:div w:id="595484095">
      <w:bodyDiv w:val="1"/>
      <w:marLeft w:val="0"/>
      <w:marRight w:val="0"/>
      <w:marTop w:val="0"/>
      <w:marBottom w:val="0"/>
      <w:divBdr>
        <w:top w:val="none" w:sz="0" w:space="0" w:color="auto"/>
        <w:left w:val="none" w:sz="0" w:space="0" w:color="auto"/>
        <w:bottom w:val="none" w:sz="0" w:space="0" w:color="auto"/>
        <w:right w:val="none" w:sz="0" w:space="0" w:color="auto"/>
      </w:divBdr>
    </w:div>
    <w:div w:id="606740072">
      <w:bodyDiv w:val="1"/>
      <w:marLeft w:val="0"/>
      <w:marRight w:val="0"/>
      <w:marTop w:val="0"/>
      <w:marBottom w:val="0"/>
      <w:divBdr>
        <w:top w:val="none" w:sz="0" w:space="0" w:color="auto"/>
        <w:left w:val="none" w:sz="0" w:space="0" w:color="auto"/>
        <w:bottom w:val="none" w:sz="0" w:space="0" w:color="auto"/>
        <w:right w:val="none" w:sz="0" w:space="0" w:color="auto"/>
      </w:divBdr>
    </w:div>
    <w:div w:id="616260087">
      <w:bodyDiv w:val="1"/>
      <w:marLeft w:val="0"/>
      <w:marRight w:val="0"/>
      <w:marTop w:val="0"/>
      <w:marBottom w:val="0"/>
      <w:divBdr>
        <w:top w:val="none" w:sz="0" w:space="0" w:color="auto"/>
        <w:left w:val="none" w:sz="0" w:space="0" w:color="auto"/>
        <w:bottom w:val="none" w:sz="0" w:space="0" w:color="auto"/>
        <w:right w:val="none" w:sz="0" w:space="0" w:color="auto"/>
      </w:divBdr>
    </w:div>
    <w:div w:id="746145856">
      <w:bodyDiv w:val="1"/>
      <w:marLeft w:val="0"/>
      <w:marRight w:val="0"/>
      <w:marTop w:val="0"/>
      <w:marBottom w:val="0"/>
      <w:divBdr>
        <w:top w:val="none" w:sz="0" w:space="0" w:color="auto"/>
        <w:left w:val="none" w:sz="0" w:space="0" w:color="auto"/>
        <w:bottom w:val="none" w:sz="0" w:space="0" w:color="auto"/>
        <w:right w:val="none" w:sz="0" w:space="0" w:color="auto"/>
      </w:divBdr>
    </w:div>
    <w:div w:id="796684092">
      <w:bodyDiv w:val="1"/>
      <w:marLeft w:val="0"/>
      <w:marRight w:val="0"/>
      <w:marTop w:val="0"/>
      <w:marBottom w:val="0"/>
      <w:divBdr>
        <w:top w:val="none" w:sz="0" w:space="0" w:color="auto"/>
        <w:left w:val="none" w:sz="0" w:space="0" w:color="auto"/>
        <w:bottom w:val="none" w:sz="0" w:space="0" w:color="auto"/>
        <w:right w:val="none" w:sz="0" w:space="0" w:color="auto"/>
      </w:divBdr>
    </w:div>
    <w:div w:id="853110389">
      <w:bodyDiv w:val="1"/>
      <w:marLeft w:val="0"/>
      <w:marRight w:val="0"/>
      <w:marTop w:val="0"/>
      <w:marBottom w:val="0"/>
      <w:divBdr>
        <w:top w:val="none" w:sz="0" w:space="0" w:color="auto"/>
        <w:left w:val="none" w:sz="0" w:space="0" w:color="auto"/>
        <w:bottom w:val="none" w:sz="0" w:space="0" w:color="auto"/>
        <w:right w:val="none" w:sz="0" w:space="0" w:color="auto"/>
      </w:divBdr>
    </w:div>
    <w:div w:id="869492298">
      <w:bodyDiv w:val="1"/>
      <w:marLeft w:val="0"/>
      <w:marRight w:val="0"/>
      <w:marTop w:val="0"/>
      <w:marBottom w:val="0"/>
      <w:divBdr>
        <w:top w:val="none" w:sz="0" w:space="0" w:color="auto"/>
        <w:left w:val="none" w:sz="0" w:space="0" w:color="auto"/>
        <w:bottom w:val="none" w:sz="0" w:space="0" w:color="auto"/>
        <w:right w:val="none" w:sz="0" w:space="0" w:color="auto"/>
      </w:divBdr>
    </w:div>
    <w:div w:id="900605197">
      <w:bodyDiv w:val="1"/>
      <w:marLeft w:val="0"/>
      <w:marRight w:val="0"/>
      <w:marTop w:val="0"/>
      <w:marBottom w:val="0"/>
      <w:divBdr>
        <w:top w:val="none" w:sz="0" w:space="0" w:color="auto"/>
        <w:left w:val="none" w:sz="0" w:space="0" w:color="auto"/>
        <w:bottom w:val="none" w:sz="0" w:space="0" w:color="auto"/>
        <w:right w:val="none" w:sz="0" w:space="0" w:color="auto"/>
      </w:divBdr>
    </w:div>
    <w:div w:id="902715580">
      <w:bodyDiv w:val="1"/>
      <w:marLeft w:val="0"/>
      <w:marRight w:val="0"/>
      <w:marTop w:val="0"/>
      <w:marBottom w:val="0"/>
      <w:divBdr>
        <w:top w:val="none" w:sz="0" w:space="0" w:color="auto"/>
        <w:left w:val="none" w:sz="0" w:space="0" w:color="auto"/>
        <w:bottom w:val="none" w:sz="0" w:space="0" w:color="auto"/>
        <w:right w:val="none" w:sz="0" w:space="0" w:color="auto"/>
      </w:divBdr>
    </w:div>
    <w:div w:id="974139496">
      <w:bodyDiv w:val="1"/>
      <w:marLeft w:val="0"/>
      <w:marRight w:val="0"/>
      <w:marTop w:val="0"/>
      <w:marBottom w:val="0"/>
      <w:divBdr>
        <w:top w:val="none" w:sz="0" w:space="0" w:color="auto"/>
        <w:left w:val="none" w:sz="0" w:space="0" w:color="auto"/>
        <w:bottom w:val="none" w:sz="0" w:space="0" w:color="auto"/>
        <w:right w:val="none" w:sz="0" w:space="0" w:color="auto"/>
      </w:divBdr>
    </w:div>
    <w:div w:id="992103944">
      <w:bodyDiv w:val="1"/>
      <w:marLeft w:val="0"/>
      <w:marRight w:val="0"/>
      <w:marTop w:val="0"/>
      <w:marBottom w:val="0"/>
      <w:divBdr>
        <w:top w:val="none" w:sz="0" w:space="0" w:color="auto"/>
        <w:left w:val="none" w:sz="0" w:space="0" w:color="auto"/>
        <w:bottom w:val="none" w:sz="0" w:space="0" w:color="auto"/>
        <w:right w:val="none" w:sz="0" w:space="0" w:color="auto"/>
      </w:divBdr>
    </w:div>
    <w:div w:id="1021056501">
      <w:bodyDiv w:val="1"/>
      <w:marLeft w:val="0"/>
      <w:marRight w:val="0"/>
      <w:marTop w:val="0"/>
      <w:marBottom w:val="0"/>
      <w:divBdr>
        <w:top w:val="none" w:sz="0" w:space="0" w:color="auto"/>
        <w:left w:val="none" w:sz="0" w:space="0" w:color="auto"/>
        <w:bottom w:val="none" w:sz="0" w:space="0" w:color="auto"/>
        <w:right w:val="none" w:sz="0" w:space="0" w:color="auto"/>
      </w:divBdr>
    </w:div>
    <w:div w:id="1287812805">
      <w:bodyDiv w:val="1"/>
      <w:marLeft w:val="0"/>
      <w:marRight w:val="0"/>
      <w:marTop w:val="0"/>
      <w:marBottom w:val="0"/>
      <w:divBdr>
        <w:top w:val="none" w:sz="0" w:space="0" w:color="auto"/>
        <w:left w:val="none" w:sz="0" w:space="0" w:color="auto"/>
        <w:bottom w:val="none" w:sz="0" w:space="0" w:color="auto"/>
        <w:right w:val="none" w:sz="0" w:space="0" w:color="auto"/>
      </w:divBdr>
    </w:div>
    <w:div w:id="1299143483">
      <w:bodyDiv w:val="1"/>
      <w:marLeft w:val="0"/>
      <w:marRight w:val="0"/>
      <w:marTop w:val="0"/>
      <w:marBottom w:val="0"/>
      <w:divBdr>
        <w:top w:val="none" w:sz="0" w:space="0" w:color="auto"/>
        <w:left w:val="none" w:sz="0" w:space="0" w:color="auto"/>
        <w:bottom w:val="none" w:sz="0" w:space="0" w:color="auto"/>
        <w:right w:val="none" w:sz="0" w:space="0" w:color="auto"/>
      </w:divBdr>
    </w:div>
    <w:div w:id="1324551901">
      <w:bodyDiv w:val="1"/>
      <w:marLeft w:val="0"/>
      <w:marRight w:val="0"/>
      <w:marTop w:val="0"/>
      <w:marBottom w:val="0"/>
      <w:divBdr>
        <w:top w:val="none" w:sz="0" w:space="0" w:color="auto"/>
        <w:left w:val="none" w:sz="0" w:space="0" w:color="auto"/>
        <w:bottom w:val="none" w:sz="0" w:space="0" w:color="auto"/>
        <w:right w:val="none" w:sz="0" w:space="0" w:color="auto"/>
      </w:divBdr>
    </w:div>
    <w:div w:id="1333410522">
      <w:bodyDiv w:val="1"/>
      <w:marLeft w:val="0"/>
      <w:marRight w:val="0"/>
      <w:marTop w:val="0"/>
      <w:marBottom w:val="0"/>
      <w:divBdr>
        <w:top w:val="none" w:sz="0" w:space="0" w:color="auto"/>
        <w:left w:val="none" w:sz="0" w:space="0" w:color="auto"/>
        <w:bottom w:val="none" w:sz="0" w:space="0" w:color="auto"/>
        <w:right w:val="none" w:sz="0" w:space="0" w:color="auto"/>
      </w:divBdr>
    </w:div>
    <w:div w:id="1383478758">
      <w:bodyDiv w:val="1"/>
      <w:marLeft w:val="0"/>
      <w:marRight w:val="0"/>
      <w:marTop w:val="0"/>
      <w:marBottom w:val="0"/>
      <w:divBdr>
        <w:top w:val="none" w:sz="0" w:space="0" w:color="auto"/>
        <w:left w:val="none" w:sz="0" w:space="0" w:color="auto"/>
        <w:bottom w:val="none" w:sz="0" w:space="0" w:color="auto"/>
        <w:right w:val="none" w:sz="0" w:space="0" w:color="auto"/>
      </w:divBdr>
    </w:div>
    <w:div w:id="1404062681">
      <w:bodyDiv w:val="1"/>
      <w:marLeft w:val="0"/>
      <w:marRight w:val="0"/>
      <w:marTop w:val="0"/>
      <w:marBottom w:val="0"/>
      <w:divBdr>
        <w:top w:val="none" w:sz="0" w:space="0" w:color="auto"/>
        <w:left w:val="none" w:sz="0" w:space="0" w:color="auto"/>
        <w:bottom w:val="none" w:sz="0" w:space="0" w:color="auto"/>
        <w:right w:val="none" w:sz="0" w:space="0" w:color="auto"/>
      </w:divBdr>
    </w:div>
    <w:div w:id="1441561031">
      <w:bodyDiv w:val="1"/>
      <w:marLeft w:val="0"/>
      <w:marRight w:val="0"/>
      <w:marTop w:val="0"/>
      <w:marBottom w:val="0"/>
      <w:divBdr>
        <w:top w:val="none" w:sz="0" w:space="0" w:color="auto"/>
        <w:left w:val="none" w:sz="0" w:space="0" w:color="auto"/>
        <w:bottom w:val="none" w:sz="0" w:space="0" w:color="auto"/>
        <w:right w:val="none" w:sz="0" w:space="0" w:color="auto"/>
      </w:divBdr>
    </w:div>
    <w:div w:id="1567187443">
      <w:bodyDiv w:val="1"/>
      <w:marLeft w:val="0"/>
      <w:marRight w:val="0"/>
      <w:marTop w:val="0"/>
      <w:marBottom w:val="0"/>
      <w:divBdr>
        <w:top w:val="none" w:sz="0" w:space="0" w:color="auto"/>
        <w:left w:val="none" w:sz="0" w:space="0" w:color="auto"/>
        <w:bottom w:val="none" w:sz="0" w:space="0" w:color="auto"/>
        <w:right w:val="none" w:sz="0" w:space="0" w:color="auto"/>
      </w:divBdr>
    </w:div>
    <w:div w:id="1748529334">
      <w:bodyDiv w:val="1"/>
      <w:marLeft w:val="0"/>
      <w:marRight w:val="0"/>
      <w:marTop w:val="0"/>
      <w:marBottom w:val="0"/>
      <w:divBdr>
        <w:top w:val="none" w:sz="0" w:space="0" w:color="auto"/>
        <w:left w:val="none" w:sz="0" w:space="0" w:color="auto"/>
        <w:bottom w:val="none" w:sz="0" w:space="0" w:color="auto"/>
        <w:right w:val="none" w:sz="0" w:space="0" w:color="auto"/>
      </w:divBdr>
    </w:div>
    <w:div w:id="1780372338">
      <w:bodyDiv w:val="1"/>
      <w:marLeft w:val="0"/>
      <w:marRight w:val="0"/>
      <w:marTop w:val="0"/>
      <w:marBottom w:val="0"/>
      <w:divBdr>
        <w:top w:val="none" w:sz="0" w:space="0" w:color="auto"/>
        <w:left w:val="none" w:sz="0" w:space="0" w:color="auto"/>
        <w:bottom w:val="none" w:sz="0" w:space="0" w:color="auto"/>
        <w:right w:val="none" w:sz="0" w:space="0" w:color="auto"/>
      </w:divBdr>
    </w:div>
    <w:div w:id="1786847563">
      <w:bodyDiv w:val="1"/>
      <w:marLeft w:val="0"/>
      <w:marRight w:val="0"/>
      <w:marTop w:val="0"/>
      <w:marBottom w:val="0"/>
      <w:divBdr>
        <w:top w:val="none" w:sz="0" w:space="0" w:color="auto"/>
        <w:left w:val="none" w:sz="0" w:space="0" w:color="auto"/>
        <w:bottom w:val="none" w:sz="0" w:space="0" w:color="auto"/>
        <w:right w:val="none" w:sz="0" w:space="0" w:color="auto"/>
      </w:divBdr>
    </w:div>
    <w:div w:id="1801145770">
      <w:bodyDiv w:val="1"/>
      <w:marLeft w:val="0"/>
      <w:marRight w:val="0"/>
      <w:marTop w:val="0"/>
      <w:marBottom w:val="0"/>
      <w:divBdr>
        <w:top w:val="none" w:sz="0" w:space="0" w:color="auto"/>
        <w:left w:val="none" w:sz="0" w:space="0" w:color="auto"/>
        <w:bottom w:val="none" w:sz="0" w:space="0" w:color="auto"/>
        <w:right w:val="none" w:sz="0" w:space="0" w:color="auto"/>
      </w:divBdr>
    </w:div>
    <w:div w:id="1874612946">
      <w:bodyDiv w:val="1"/>
      <w:marLeft w:val="0"/>
      <w:marRight w:val="0"/>
      <w:marTop w:val="0"/>
      <w:marBottom w:val="0"/>
      <w:divBdr>
        <w:top w:val="none" w:sz="0" w:space="0" w:color="auto"/>
        <w:left w:val="none" w:sz="0" w:space="0" w:color="auto"/>
        <w:bottom w:val="none" w:sz="0" w:space="0" w:color="auto"/>
        <w:right w:val="none" w:sz="0" w:space="0" w:color="auto"/>
      </w:divBdr>
    </w:div>
    <w:div w:id="20738471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pn2.propisi.net/Account/Login?skipAuto=True"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WX031Vx9e6xaYO/iAXTvN3BFhw==">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8F0BEBB-4872-4E98-AAC0-A479EC6A4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91</Pages>
  <Words>35305</Words>
  <Characters>201239</Characters>
  <Application>Microsoft Office Word</Application>
  <DocSecurity>0</DocSecurity>
  <Lines>1676</Lines>
  <Paragraphs>472</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236072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Aneta Kankaras</dc:creator>
  <cp:lastModifiedBy>Milica Rudic</cp:lastModifiedBy>
  <cp:revision>4</cp:revision>
  <dcterms:created xsi:type="dcterms:W3CDTF">2026-02-23T15:12:00Z</dcterms:created>
  <dcterms:modified xsi:type="dcterms:W3CDTF">2026-02-24T11:55:00Z</dcterms:modified>
</cp:coreProperties>
</file>