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742BB8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25pt;margin-top:-7.5pt;width:315pt;height:100.5pt;z-index:251658240;mso-position-horizontal-relative:text;mso-position-vertical-relative:text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                                                     </w:t>
                  </w:r>
                </w:p>
              </w:txbxContent>
            </v:textbox>
            <w10:wrap side="left"/>
          </v:shape>
        </w:pic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71D"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E05C36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E05C36">
      <w:pPr>
        <w:pStyle w:val="Title"/>
        <w:rPr>
          <w:rFonts w:ascii="Arial" w:hAnsi="Arial" w:cs="Arial"/>
          <w:sz w:val="21"/>
          <w:szCs w:val="21"/>
        </w:rPr>
      </w:pPr>
    </w:p>
    <w:p w:rsidR="00A9171D" w:rsidRDefault="00A9171D" w:rsidP="00E05C36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E05C36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E05C36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E05C36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E05C36">
        <w:rPr>
          <w:rFonts w:ascii="Arial" w:hAnsi="Arial" w:cs="Arial"/>
          <w:sz w:val="21"/>
          <w:szCs w:val="21"/>
        </w:rPr>
        <w:t>APRIL</w:t>
      </w:r>
      <w:r w:rsidR="004C19F2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</w:t>
      </w:r>
      <w:r w:rsidR="00BD3CBC">
        <w:rPr>
          <w:rFonts w:ascii="Arial" w:hAnsi="Arial" w:cs="Arial"/>
          <w:sz w:val="21"/>
          <w:szCs w:val="21"/>
        </w:rPr>
        <w:t>5</w:t>
      </w:r>
    </w:p>
    <w:p w:rsidR="00FF29D7" w:rsidRDefault="00FF29D7" w:rsidP="00E05C36">
      <w:pPr>
        <w:pStyle w:val="Title"/>
        <w:rPr>
          <w:rFonts w:ascii="Arial" w:hAnsi="Arial" w:cs="Arial"/>
          <w:sz w:val="21"/>
          <w:szCs w:val="21"/>
        </w:rPr>
      </w:pPr>
    </w:p>
    <w:p w:rsidR="00175FF6" w:rsidRPr="00E912A9" w:rsidRDefault="00175FF6" w:rsidP="00E05C36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1A02C8" w:rsidRPr="003C417F" w:rsidRDefault="001A02C8" w:rsidP="00E05C36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3C417F">
        <w:rPr>
          <w:rFonts w:ascii="Arial" w:eastAsia="Calibri" w:hAnsi="Arial" w:cs="Arial"/>
          <w:lang w:val="sr-Latn-ME"/>
        </w:rPr>
        <w:t>● ● ◊ ● ●</w:t>
      </w:r>
    </w:p>
    <w:p w:rsidR="001A02C8" w:rsidRDefault="001A02C8" w:rsidP="00E05C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3C417F">
        <w:rPr>
          <w:rFonts w:ascii="Arial" w:hAnsi="Arial" w:cs="Arial"/>
          <w:b/>
          <w:bCs/>
          <w:lang w:val="sr-Latn-ME"/>
        </w:rPr>
        <w:t xml:space="preserve">■ Kontrole </w:t>
      </w:r>
      <w:r>
        <w:rPr>
          <w:rFonts w:ascii="Arial" w:hAnsi="Arial" w:cs="Arial"/>
          <w:b/>
          <w:bCs/>
          <w:lang w:val="sr-Latn-ME"/>
        </w:rPr>
        <w:t>po službenoj dužnosti</w:t>
      </w:r>
      <w:r w:rsidRPr="003C417F">
        <w:rPr>
          <w:rFonts w:ascii="Arial" w:hAnsi="Arial" w:cs="Arial"/>
          <w:b/>
          <w:bCs/>
          <w:lang w:val="sr-Latn-ME"/>
        </w:rPr>
        <w:t xml:space="preserve"> </w:t>
      </w:r>
    </w:p>
    <w:p w:rsidR="004A7D82" w:rsidRDefault="004A7D82" w:rsidP="00E05C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</w:p>
    <w:p w:rsidR="00E05C36" w:rsidRPr="006F267B" w:rsidRDefault="00E05C36" w:rsidP="00E05C3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6F267B">
        <w:rPr>
          <w:rFonts w:ascii="Arial" w:hAnsi="Arial" w:cs="Arial"/>
          <w:lang w:val="sr-Latn-ME"/>
        </w:rPr>
        <w:t>Službenici Odjeljenja za unutrašnju kontrolu policije su tokom aprila 2025.godine, izvršili devet kontrola – provjera zakonitosti postupanja policijskih službenika na osnovu operativnih i drugih saznanja o mogućim nezakonitostima i nepravilnostima u radu i postupanju policijskih službenika.</w:t>
      </w:r>
    </w:p>
    <w:p w:rsidR="00E05C36" w:rsidRPr="006F267B" w:rsidRDefault="00E05C36" w:rsidP="00E05C36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E05C36" w:rsidRPr="006F267B" w:rsidRDefault="00E05C36" w:rsidP="00E05C36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 w:rsidRPr="006F267B"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E05C36" w:rsidRPr="006F267B" w:rsidRDefault="00E05C36" w:rsidP="00E05C36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E05C36" w:rsidRPr="006F267B" w:rsidRDefault="00E05C36" w:rsidP="00E05C36">
      <w:pPr>
        <w:spacing w:after="0" w:line="240" w:lineRule="auto"/>
        <w:jc w:val="both"/>
        <w:rPr>
          <w:rFonts w:ascii="Arial" w:hAnsi="Arial"/>
          <w:lang w:val="sr-Latn-ME"/>
        </w:rPr>
      </w:pPr>
      <w:r w:rsidRPr="006F267B">
        <w:rPr>
          <w:rFonts w:ascii="Arial" w:hAnsi="Arial" w:cs="Arial"/>
          <w:iCs/>
          <w:lang w:val="sr-Latn-ME"/>
        </w:rPr>
        <w:t xml:space="preserve">■ </w:t>
      </w:r>
      <w:r>
        <w:rPr>
          <w:rFonts w:ascii="Arial" w:hAnsi="Arial" w:cs="Arial"/>
          <w:iCs/>
          <w:lang w:val="sr-Latn-ME"/>
        </w:rPr>
        <w:t>U tr</w:t>
      </w:r>
      <w:r w:rsidRPr="006F267B">
        <w:rPr>
          <w:rFonts w:ascii="Arial" w:hAnsi="Arial" w:cs="Arial"/>
          <w:iCs/>
          <w:lang w:val="sr-Latn-ME"/>
        </w:rPr>
        <w:t xml:space="preserve">i slučaja unutrašne kontrole </w:t>
      </w:r>
      <w:r w:rsidRPr="006F267B">
        <w:rPr>
          <w:rFonts w:ascii="Arial" w:hAnsi="Arial"/>
          <w:lang w:val="sr-Latn-ME"/>
        </w:rPr>
        <w:t>konstatovani</w:t>
      </w:r>
      <w:r w:rsidR="00146250">
        <w:rPr>
          <w:rFonts w:ascii="Arial" w:hAnsi="Arial"/>
          <w:lang w:val="sr-Latn-ME"/>
        </w:rPr>
        <w:t xml:space="preserve"> su</w:t>
      </w:r>
      <w:r w:rsidRPr="006F267B">
        <w:rPr>
          <w:rFonts w:ascii="Arial" w:hAnsi="Arial"/>
          <w:lang w:val="sr-Latn-ME"/>
        </w:rPr>
        <w:t xml:space="preserve"> izvjesni propusti ili nezakonitosti u radu policijskih službenika, usljed čega su preduzete sljedeće mjere:</w:t>
      </w:r>
    </w:p>
    <w:p w:rsidR="00E05C36" w:rsidRPr="006F267B" w:rsidRDefault="00E05C36" w:rsidP="00E05C36">
      <w:pPr>
        <w:spacing w:after="0" w:line="240" w:lineRule="auto"/>
        <w:jc w:val="both"/>
        <w:rPr>
          <w:rFonts w:ascii="Arial" w:hAnsi="Arial"/>
          <w:lang w:val="sr-Latn-ME"/>
        </w:rPr>
      </w:pPr>
    </w:p>
    <w:p w:rsidR="00E05C36" w:rsidRPr="006F267B" w:rsidRDefault="00E05C36" w:rsidP="00E05C36">
      <w:pPr>
        <w:pStyle w:val="ListParagraph"/>
        <w:ind w:left="0" w:right="178"/>
        <w:jc w:val="both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●</w:t>
      </w:r>
      <w:r>
        <w:rPr>
          <w:rFonts w:ascii="Arial" w:hAnsi="Arial"/>
          <w:sz w:val="22"/>
          <w:szCs w:val="22"/>
          <w:lang w:val="sr-Latn-ME"/>
        </w:rPr>
        <w:t xml:space="preserve"> </w:t>
      </w:r>
      <w:r w:rsidRPr="006F267B">
        <w:rPr>
          <w:rFonts w:ascii="Arial" w:hAnsi="Arial"/>
          <w:sz w:val="22"/>
          <w:szCs w:val="22"/>
          <w:lang w:val="sr-Latn-ME"/>
        </w:rPr>
        <w:t xml:space="preserve">U jednom slučaju </w:t>
      </w:r>
      <w:r w:rsidRPr="006F267B">
        <w:rPr>
          <w:rFonts w:ascii="Arial" w:hAnsi="Arial"/>
          <w:bCs/>
          <w:sz w:val="22"/>
          <w:szCs w:val="22"/>
          <w:lang w:val="sr-Latn-ME"/>
        </w:rPr>
        <w:t xml:space="preserve">je, na osnovu činjenica i dokaza, kao i novih izjava datih u postupku unutrašnje kontrole od strane nekadašnjih policijskih službenika Interventne jedinice Stanice policije za javni red i mir CB Podgorica,  </w:t>
      </w:r>
      <w:r w:rsidRPr="006F267B">
        <w:rPr>
          <w:rFonts w:ascii="Arial" w:hAnsi="Arial"/>
          <w:bCs/>
          <w:lang w:val="sr-Latn-ME"/>
        </w:rPr>
        <w:t xml:space="preserve"> </w:t>
      </w:r>
      <w:r w:rsidRPr="006F267B">
        <w:rPr>
          <w:rFonts w:ascii="Arial" w:hAnsi="Arial"/>
          <w:bCs/>
          <w:sz w:val="22"/>
          <w:szCs w:val="22"/>
          <w:lang w:val="sr-Latn-ME"/>
        </w:rPr>
        <w:t>Izvještaj o izvršenoj unutrašnjoj kontroli, sa spisima sačinjenim u</w:t>
      </w:r>
      <w:r w:rsidR="00146250">
        <w:rPr>
          <w:rFonts w:ascii="Arial" w:hAnsi="Arial"/>
          <w:bCs/>
          <w:sz w:val="22"/>
          <w:szCs w:val="22"/>
          <w:lang w:val="sr-Latn-ME"/>
        </w:rPr>
        <w:t xml:space="preserve"> postupku unutrašnje kontrole</w:t>
      </w:r>
      <w:r w:rsidRPr="006F267B">
        <w:rPr>
          <w:rFonts w:ascii="Arial" w:hAnsi="Arial"/>
          <w:bCs/>
          <w:sz w:val="22"/>
          <w:szCs w:val="22"/>
          <w:lang w:val="sr-Latn-ME"/>
        </w:rPr>
        <w:t xml:space="preserve"> dostavljen postupajućem tužiocu na dal</w:t>
      </w:r>
      <w:r w:rsidR="00742BB8">
        <w:rPr>
          <w:rFonts w:ascii="Arial" w:hAnsi="Arial"/>
          <w:bCs/>
          <w:sz w:val="22"/>
          <w:szCs w:val="22"/>
          <w:lang w:val="sr-Latn-ME"/>
        </w:rPr>
        <w:t>ju nadležnost, usljed</w:t>
      </w:r>
      <w:r w:rsidRPr="006F267B">
        <w:rPr>
          <w:rFonts w:ascii="Arial" w:hAnsi="Arial"/>
          <w:bCs/>
          <w:sz w:val="22"/>
          <w:szCs w:val="22"/>
          <w:lang w:val="sr-Latn-ME"/>
        </w:rPr>
        <w:t xml:space="preserve"> navoda o policisjkoj torturi od strane bivšeg starješine, kao i trojice policijkih službenika OB Podgorica. </w:t>
      </w:r>
    </w:p>
    <w:p w:rsidR="00E05C36" w:rsidRPr="006F267B" w:rsidRDefault="00E05C36" w:rsidP="00E05C36">
      <w:pPr>
        <w:spacing w:after="0" w:line="240" w:lineRule="auto"/>
        <w:ind w:right="178"/>
        <w:jc w:val="both"/>
        <w:rPr>
          <w:rFonts w:ascii="Arial" w:hAnsi="Arial"/>
          <w:lang w:val="sr-Latn-ME"/>
        </w:rPr>
      </w:pPr>
    </w:p>
    <w:p w:rsidR="00E05C36" w:rsidRPr="006F267B" w:rsidRDefault="00E05C36" w:rsidP="00E05C36">
      <w:pPr>
        <w:pStyle w:val="ListParagraph"/>
        <w:ind w:left="0" w:right="178"/>
        <w:jc w:val="both"/>
        <w:rPr>
          <w:rFonts w:ascii="Arial" w:hAnsi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●</w:t>
      </w:r>
      <w:r>
        <w:rPr>
          <w:rFonts w:ascii="Arial" w:hAnsi="Arial"/>
          <w:noProof/>
          <w:sz w:val="22"/>
          <w:szCs w:val="22"/>
        </w:rPr>
        <w:t xml:space="preserve"> </w:t>
      </w:r>
      <w:r w:rsidRPr="006F267B">
        <w:rPr>
          <w:rFonts w:ascii="Arial" w:hAnsi="Arial"/>
          <w:noProof/>
          <w:sz w:val="22"/>
          <w:szCs w:val="22"/>
        </w:rPr>
        <w:t>U</w:t>
      </w:r>
      <w:r>
        <w:rPr>
          <w:rFonts w:ascii="Arial" w:hAnsi="Arial"/>
          <w:noProof/>
          <w:sz w:val="22"/>
          <w:szCs w:val="22"/>
        </w:rPr>
        <w:t xml:space="preserve"> drugom sluč</w:t>
      </w:r>
      <w:r w:rsidRPr="006F267B">
        <w:rPr>
          <w:rFonts w:ascii="Arial" w:hAnsi="Arial"/>
          <w:noProof/>
          <w:sz w:val="22"/>
          <w:szCs w:val="22"/>
        </w:rPr>
        <w:t>aju, na osnovu činjenica i dokaza utvrđenih u postupku unutrašnj</w:t>
      </w:r>
      <w:r w:rsidR="006569CF">
        <w:rPr>
          <w:rFonts w:ascii="Arial" w:hAnsi="Arial"/>
          <w:noProof/>
          <w:sz w:val="22"/>
          <w:szCs w:val="22"/>
        </w:rPr>
        <w:t>e kontrole konstatovano je da je</w:t>
      </w:r>
      <w:r w:rsidRPr="006F267B">
        <w:rPr>
          <w:rFonts w:ascii="Arial" w:hAnsi="Arial"/>
          <w:noProof/>
          <w:sz w:val="22"/>
          <w:szCs w:val="22"/>
        </w:rPr>
        <w:t xml:space="preserve"> šest policijskih službenika Sektora za</w:t>
      </w:r>
      <w:r w:rsidR="006569CF">
        <w:rPr>
          <w:rFonts w:ascii="Arial" w:hAnsi="Arial"/>
          <w:noProof/>
          <w:sz w:val="22"/>
          <w:szCs w:val="22"/>
        </w:rPr>
        <w:t xml:space="preserve"> borbu protiv kriminala počinilo</w:t>
      </w:r>
      <w:r w:rsidRPr="006F267B">
        <w:rPr>
          <w:rFonts w:ascii="Arial" w:hAnsi="Arial"/>
          <w:noProof/>
          <w:sz w:val="22"/>
          <w:szCs w:val="22"/>
        </w:rPr>
        <w:t xml:space="preserve"> teže povrede službene dužnosti iz člana 95 stav 1 tačka 11 (davanje netačnih podataka koji su od uticaja za donošenje odluke), usljed čega je Izvještaj o izvršenim provjerama sa spisima sačinjenim u postupku unutrašnje kontrole, dostavljen v.d. direktora Uprave policije, radi preduzimanja mjera iz nadležnosti i pokretanja postupka za utvrđivanje disciplinske odgovornosti  policijskih službenika. </w:t>
      </w:r>
    </w:p>
    <w:p w:rsidR="00E05C36" w:rsidRPr="006F267B" w:rsidRDefault="00E05C36" w:rsidP="00E05C36">
      <w:pPr>
        <w:pStyle w:val="ListParagraph"/>
        <w:ind w:left="0" w:right="178"/>
        <w:jc w:val="both"/>
        <w:rPr>
          <w:rFonts w:ascii="Arial" w:hAnsi="Arial"/>
          <w:sz w:val="22"/>
          <w:szCs w:val="22"/>
          <w:lang w:val="sl-SI"/>
        </w:rPr>
      </w:pPr>
      <w:r w:rsidRPr="006F267B">
        <w:rPr>
          <w:rFonts w:ascii="Arial" w:hAnsi="Arial"/>
          <w:noProof/>
          <w:sz w:val="22"/>
          <w:szCs w:val="22"/>
        </w:rPr>
        <w:t xml:space="preserve">Osim navednog, Izvještaj o izvršenim provjerama sa spisima sačinjenim u postupku unutrašnje kontrole, dostavljen je i nadležnom državnom tužilaštvu u Beranama </w:t>
      </w:r>
      <w:r w:rsidRPr="006F267B">
        <w:rPr>
          <w:rFonts w:ascii="Arial" w:hAnsi="Arial"/>
          <w:sz w:val="22"/>
          <w:szCs w:val="22"/>
          <w:lang w:val="sl-SI"/>
        </w:rPr>
        <w:t xml:space="preserve">na dalji postupak i odlučivanje da li u radnjama i postupanju policijskih službenika ima elemenata krivičnog djela za koje se gonjenje preduzima po službenoj dužnosti. </w:t>
      </w:r>
    </w:p>
    <w:p w:rsidR="00E05C36" w:rsidRPr="006F267B" w:rsidRDefault="00E05C36" w:rsidP="00E05C36">
      <w:pPr>
        <w:pStyle w:val="ListParagraph"/>
        <w:ind w:left="0" w:right="178"/>
        <w:jc w:val="both"/>
        <w:rPr>
          <w:rFonts w:ascii="Arial" w:hAnsi="Arial"/>
          <w:sz w:val="22"/>
          <w:szCs w:val="22"/>
          <w:lang w:val="sl-SI"/>
        </w:rPr>
      </w:pPr>
      <w:r w:rsidRPr="006F267B">
        <w:rPr>
          <w:rFonts w:ascii="Arial" w:hAnsi="Arial"/>
          <w:sz w:val="22"/>
          <w:szCs w:val="22"/>
          <w:lang w:val="sl-SI"/>
        </w:rPr>
        <w:t>Takođe, Odjeljenje za unutrašnju kontrolu policije dostavilo je Izvještaj o izvršenim provjerama sa ishodom postupka unutrašnje kontrole Zaštitniku ljudskih prava i sloboda koji je od ovog Odjeljenja zahtijevao dostavu sačinjenog Izvještaja.</w:t>
      </w:r>
    </w:p>
    <w:p w:rsidR="00E05C36" w:rsidRPr="006F267B" w:rsidRDefault="00E05C36" w:rsidP="00E05C36">
      <w:pPr>
        <w:spacing w:after="0" w:line="240" w:lineRule="auto"/>
        <w:ind w:right="178"/>
        <w:jc w:val="both"/>
        <w:rPr>
          <w:rFonts w:ascii="Arial" w:hAnsi="Arial"/>
          <w:lang w:val="sl-SI"/>
        </w:rPr>
      </w:pPr>
    </w:p>
    <w:p w:rsidR="00E05C36" w:rsidRPr="006F267B" w:rsidRDefault="00E05C36" w:rsidP="00E05C36">
      <w:pPr>
        <w:spacing w:after="0" w:line="240" w:lineRule="auto"/>
        <w:ind w:right="178"/>
        <w:jc w:val="both"/>
        <w:rPr>
          <w:rFonts w:ascii="Arial" w:hAnsi="Arial"/>
          <w:shd w:val="clear" w:color="auto" w:fill="FFFFFF" w:themeFill="background1"/>
          <w:lang w:val="sr-Latn-ME"/>
        </w:rPr>
      </w:pPr>
      <w:r>
        <w:rPr>
          <w:rFonts w:ascii="Arial" w:hAnsi="Arial" w:cs="Arial"/>
          <w:noProof/>
        </w:rPr>
        <w:t>●</w:t>
      </w:r>
      <w:r>
        <w:rPr>
          <w:rFonts w:ascii="Arial" w:hAnsi="Arial"/>
          <w:noProof/>
        </w:rPr>
        <w:t xml:space="preserve"> </w:t>
      </w:r>
      <w:r w:rsidRPr="006F267B">
        <w:rPr>
          <w:rFonts w:ascii="Arial" w:hAnsi="Arial"/>
          <w:noProof/>
        </w:rPr>
        <w:t>U</w:t>
      </w:r>
      <w:r>
        <w:rPr>
          <w:rFonts w:ascii="Arial" w:hAnsi="Arial"/>
          <w:noProof/>
        </w:rPr>
        <w:t xml:space="preserve">  trećem sluč</w:t>
      </w:r>
      <w:r w:rsidRPr="006F267B">
        <w:rPr>
          <w:rFonts w:ascii="Arial" w:hAnsi="Arial"/>
          <w:noProof/>
        </w:rPr>
        <w:t>aju,</w:t>
      </w:r>
      <w:r>
        <w:rPr>
          <w:rFonts w:ascii="Arial" w:hAnsi="Arial"/>
          <w:noProof/>
        </w:rPr>
        <w:t xml:space="preserve"> n</w:t>
      </w:r>
      <w:r w:rsidRPr="006F267B">
        <w:rPr>
          <w:rFonts w:ascii="Arial" w:hAnsi="Arial"/>
          <w:shd w:val="clear" w:color="auto" w:fill="FFFFFF" w:themeFill="background1"/>
          <w:lang w:val="sr-Latn-ME"/>
        </w:rPr>
        <w:t>a osnovu činjenica i okolnosti utvrđenih u postupku unutrašnje kontrole koje upućuju na zaključak da su tejelesne povrede, koje su građaninu D</w:t>
      </w:r>
      <w:r>
        <w:rPr>
          <w:rFonts w:ascii="Arial" w:hAnsi="Arial"/>
          <w:shd w:val="clear" w:color="auto" w:fill="FFFFFF" w:themeFill="background1"/>
          <w:lang w:val="sr-Latn-ME"/>
        </w:rPr>
        <w:t>.</w:t>
      </w:r>
      <w:r w:rsidRPr="006F267B">
        <w:rPr>
          <w:rFonts w:ascii="Arial" w:hAnsi="Arial"/>
          <w:shd w:val="clear" w:color="auto" w:fill="FFFFFF" w:themeFill="background1"/>
          <w:lang w:val="sr-Latn-ME"/>
        </w:rPr>
        <w:t>S</w:t>
      </w:r>
      <w:r>
        <w:rPr>
          <w:rFonts w:ascii="Arial" w:hAnsi="Arial"/>
          <w:shd w:val="clear" w:color="auto" w:fill="FFFFFF" w:themeFill="background1"/>
          <w:lang w:val="sr-Latn-ME"/>
        </w:rPr>
        <w:t>.</w:t>
      </w:r>
      <w:r w:rsidRPr="006F267B">
        <w:rPr>
          <w:rFonts w:ascii="Arial" w:hAnsi="Arial"/>
          <w:shd w:val="clear" w:color="auto" w:fill="FFFFFF" w:themeFill="background1"/>
          <w:lang w:val="sr-Latn-ME"/>
        </w:rPr>
        <w:t xml:space="preserve">konstatovane u medicinskoj dokumentaciji, mogle nastati tokom upotrebe sredstava prinude – fizičke snage  od strane policijskog službenika Stanice policije za </w:t>
      </w:r>
      <w:r>
        <w:rPr>
          <w:rFonts w:ascii="Arial" w:hAnsi="Arial"/>
          <w:shd w:val="clear" w:color="auto" w:fill="FFFFFF" w:themeFill="background1"/>
          <w:lang w:val="sr-Latn-ME"/>
        </w:rPr>
        <w:t>javni red i mir,</w:t>
      </w:r>
      <w:r w:rsidRPr="006F267B">
        <w:rPr>
          <w:rFonts w:ascii="Arial" w:hAnsi="Arial"/>
          <w:shd w:val="clear" w:color="auto" w:fill="FFFFFF" w:themeFill="background1"/>
          <w:lang w:val="sr-Latn-ME"/>
        </w:rPr>
        <w:t xml:space="preserve"> prema imenovanom, kao i pri postojanju kontradiktornosti između, s jedne strane sadržine navoda policijskog službenika i s druge strane, sadržine navoda građanina S</w:t>
      </w:r>
      <w:r>
        <w:rPr>
          <w:rFonts w:ascii="Arial" w:hAnsi="Arial"/>
          <w:shd w:val="clear" w:color="auto" w:fill="FFFFFF" w:themeFill="background1"/>
          <w:lang w:val="sr-Latn-ME"/>
        </w:rPr>
        <w:t>.</w:t>
      </w:r>
      <w:r w:rsidRPr="006F267B">
        <w:rPr>
          <w:rFonts w:ascii="Arial" w:hAnsi="Arial"/>
          <w:shd w:val="clear" w:color="auto" w:fill="FFFFFF" w:themeFill="background1"/>
          <w:lang w:val="sr-Latn-ME"/>
        </w:rPr>
        <w:t>D</w:t>
      </w:r>
      <w:r>
        <w:rPr>
          <w:rFonts w:ascii="Arial" w:hAnsi="Arial"/>
          <w:shd w:val="clear" w:color="auto" w:fill="FFFFFF" w:themeFill="background1"/>
          <w:lang w:val="sr-Latn-ME"/>
        </w:rPr>
        <w:t>.</w:t>
      </w:r>
      <w:r w:rsidRPr="006F267B">
        <w:rPr>
          <w:rFonts w:ascii="Arial" w:hAnsi="Arial"/>
          <w:shd w:val="clear" w:color="auto" w:fill="FFFFFF" w:themeFill="background1"/>
          <w:lang w:val="sr-Latn-ME"/>
        </w:rPr>
        <w:t xml:space="preserve"> o porijeklu nastalih povreda, Izvještaj unutrašnje kontrole sa spisima sačinjenim u postupku unutrašnje kontrole dostavljen je postupajućem državnom tužilaštvu na dalji postupak i konačnu ocjenu i odlučivanje da li u radnjama i postupanju policijskog službenika ima elemenata krivičnog</w:t>
      </w:r>
      <w:r w:rsidRPr="00E05C36">
        <w:rPr>
          <w:rFonts w:ascii="Arial" w:hAnsi="Arial"/>
          <w:lang w:val="sr-Latn-ME"/>
        </w:rPr>
        <w:t xml:space="preserve"> </w:t>
      </w:r>
      <w:r w:rsidRPr="006F267B">
        <w:rPr>
          <w:rFonts w:ascii="Arial" w:hAnsi="Arial"/>
          <w:shd w:val="clear" w:color="auto" w:fill="FFFFFF" w:themeFill="background1"/>
          <w:lang w:val="sr-Latn-ME"/>
        </w:rPr>
        <w:t>djela za koje se gonjenje preduzima po službenoj dužnosti.</w:t>
      </w:r>
    </w:p>
    <w:p w:rsidR="00E05C36" w:rsidRPr="006F267B" w:rsidRDefault="00E05C36" w:rsidP="00E05C36">
      <w:pPr>
        <w:pStyle w:val="ListParagraph"/>
        <w:ind w:left="0" w:right="178"/>
        <w:jc w:val="both"/>
        <w:rPr>
          <w:rFonts w:ascii="Arial" w:hAnsi="Arial"/>
          <w:sz w:val="22"/>
          <w:szCs w:val="22"/>
          <w:lang w:val="sr-Latn-ME"/>
        </w:rPr>
      </w:pPr>
    </w:p>
    <w:p w:rsidR="00E05C36" w:rsidRPr="006F267B" w:rsidRDefault="00E05C36" w:rsidP="00E05C36">
      <w:pPr>
        <w:spacing w:after="0" w:line="240" w:lineRule="auto"/>
        <w:jc w:val="both"/>
        <w:rPr>
          <w:rFonts w:ascii="Arial" w:hAnsi="Arial"/>
          <w:b/>
          <w:bCs/>
          <w:lang w:val="sr-Latn-ME"/>
        </w:rPr>
      </w:pPr>
      <w:r w:rsidRPr="006F267B">
        <w:rPr>
          <w:rFonts w:ascii="Arial" w:hAnsi="Arial" w:cs="Arial"/>
          <w:iCs/>
          <w:lang w:val="sr-Latn-ME"/>
        </w:rPr>
        <w:t xml:space="preserve">■ U preostalih šest slučajeva unutrašnjih kontrola </w:t>
      </w:r>
      <w:r w:rsidRPr="006F267B">
        <w:rPr>
          <w:rFonts w:ascii="Arial" w:hAnsi="Arial"/>
          <w:lang w:val="sr-Latn-ME"/>
        </w:rPr>
        <w:t>nijesu utvrđene činjenice i dokazi koji bi ukazali na nezakonito ili neprofesionalno postupanje policijskih službenika u predmetnim slučajevima.</w:t>
      </w:r>
    </w:p>
    <w:p w:rsidR="00E05C36" w:rsidRPr="006F267B" w:rsidRDefault="00E05C36" w:rsidP="00E05C36">
      <w:pPr>
        <w:spacing w:after="0" w:line="240" w:lineRule="auto"/>
        <w:jc w:val="both"/>
        <w:rPr>
          <w:rFonts w:ascii="Arial" w:hAnsi="Arial"/>
          <w:noProof/>
          <w:lang w:val="sr-Latn-ME"/>
        </w:rPr>
      </w:pPr>
    </w:p>
    <w:p w:rsidR="00E05C36" w:rsidRPr="006F267B" w:rsidRDefault="00E05C36" w:rsidP="00E05C36">
      <w:pPr>
        <w:spacing w:after="0" w:line="240" w:lineRule="auto"/>
        <w:ind w:right="178" w:firstLine="720"/>
        <w:jc w:val="both"/>
        <w:rPr>
          <w:rFonts w:ascii="Arial" w:hAnsi="Arial"/>
          <w:noProof/>
          <w:lang w:val="sr-Latn-ME"/>
        </w:rPr>
      </w:pPr>
      <w:r w:rsidRPr="006F267B">
        <w:rPr>
          <w:rFonts w:ascii="Arial" w:hAnsi="Arial"/>
          <w:noProof/>
          <w:lang w:val="sr-Latn-ME"/>
        </w:rPr>
        <w:t xml:space="preserve">I pored navedenog, u </w:t>
      </w:r>
      <w:r>
        <w:rPr>
          <w:rFonts w:ascii="Arial" w:hAnsi="Arial"/>
          <w:noProof/>
          <w:lang w:val="sr-Latn-ME"/>
        </w:rPr>
        <w:t>četiri od naznačenih</w:t>
      </w:r>
      <w:r w:rsidRPr="006F267B">
        <w:rPr>
          <w:rFonts w:ascii="Arial" w:hAnsi="Arial"/>
          <w:noProof/>
          <w:lang w:val="sr-Latn-ME"/>
        </w:rPr>
        <w:t xml:space="preserve"> slučajeva, Izvještaji sa spisima sačinjenim u postupcima unutrašnje kontrole dostavljeni su nadležnim postupajućem tužilaštvima, uzimajući u obzir činjenicu da su ova tužilaštva z</w:t>
      </w:r>
      <w:r w:rsidRPr="006F267B">
        <w:rPr>
          <w:rFonts w:ascii="Arial" w:hAnsi="Arial" w:cs="Arial"/>
          <w:iCs/>
          <w:lang w:val="sr-Latn-ME"/>
        </w:rPr>
        <w:t xml:space="preserve">atražila provjere postupanja i primjene policijskih ovlašćenja, a naročito u pogledu poštovanja i zaštite ljudskih prava prilikom izvršavanja policijskih zadataka i primjene policijskih ovlašćenja. </w:t>
      </w:r>
      <w:r w:rsidRPr="006F267B">
        <w:rPr>
          <w:rFonts w:ascii="Arial" w:hAnsi="Arial"/>
          <w:noProof/>
          <w:lang w:val="sr-Latn-ME"/>
        </w:rPr>
        <w:t xml:space="preserve">  </w:t>
      </w:r>
    </w:p>
    <w:p w:rsidR="00E05C36" w:rsidRPr="006F267B" w:rsidRDefault="00E05C36" w:rsidP="00E05C36">
      <w:pPr>
        <w:spacing w:after="0" w:line="240" w:lineRule="auto"/>
        <w:jc w:val="both"/>
        <w:rPr>
          <w:rFonts w:ascii="Arial" w:hAnsi="Arial"/>
          <w:noProof/>
          <w:lang w:val="sr-Latn-ME"/>
        </w:rPr>
      </w:pPr>
    </w:p>
    <w:p w:rsidR="001A02C8" w:rsidRPr="003C417F" w:rsidRDefault="001A02C8" w:rsidP="00E05C36">
      <w:pPr>
        <w:spacing w:after="0" w:line="240" w:lineRule="auto"/>
        <w:ind w:right="178" w:firstLine="720"/>
        <w:jc w:val="both"/>
        <w:rPr>
          <w:rFonts w:ascii="Arial" w:hAnsi="Arial"/>
          <w:noProof/>
          <w:lang w:val="sr-Latn-ME"/>
        </w:rPr>
      </w:pPr>
    </w:p>
    <w:p w:rsidR="001A02C8" w:rsidRDefault="001A02C8" w:rsidP="00E05C3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3C417F">
        <w:rPr>
          <w:rFonts w:ascii="Arial" w:hAnsi="Arial" w:cs="Arial"/>
          <w:b/>
          <w:bCs/>
          <w:lang w:val="sr-Latn-ME"/>
        </w:rPr>
        <w:t>■</w:t>
      </w:r>
      <w:r w:rsidR="009F6AD5">
        <w:rPr>
          <w:rFonts w:ascii="Arial" w:hAnsi="Arial" w:cs="Arial"/>
          <w:b/>
          <w:bCs/>
          <w:lang w:val="sr-Latn-ME"/>
        </w:rPr>
        <w:t xml:space="preserve"> </w:t>
      </w:r>
      <w:r w:rsidRPr="003C417F">
        <w:rPr>
          <w:rFonts w:ascii="Arial" w:hAnsi="Arial" w:cs="Arial"/>
          <w:b/>
          <w:bCs/>
          <w:lang w:val="sr-Latn-ME"/>
        </w:rPr>
        <w:t xml:space="preserve">Pritužbe – žalbe građana </w:t>
      </w:r>
    </w:p>
    <w:p w:rsidR="005C76F8" w:rsidRPr="00A7766E" w:rsidRDefault="005C76F8" w:rsidP="00E05C36">
      <w:pPr>
        <w:spacing w:after="0" w:line="240" w:lineRule="auto"/>
        <w:ind w:right="178"/>
        <w:jc w:val="both"/>
        <w:rPr>
          <w:rFonts w:ascii="Arial" w:hAnsi="Arial" w:cs="Arial"/>
          <w:lang w:val="sr-Latn-ME"/>
        </w:rPr>
      </w:pPr>
    </w:p>
    <w:p w:rsidR="00E05C36" w:rsidRPr="006F267B" w:rsidRDefault="00E05C36" w:rsidP="00E05C36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6F267B">
        <w:rPr>
          <w:rFonts w:ascii="Arial" w:hAnsi="Arial" w:cs="Arial"/>
          <w:lang w:val="sr-Latn-ME"/>
        </w:rPr>
        <w:t>Službenici Odjeljenja za unutrašnju kontrolu policije su tokom aprila 2025.godine, izvršili kontrolu zakonitosti postupanja policijskih službenika na osnovu osam pritužbi na postupanje policijskih službenika.</w:t>
      </w:r>
    </w:p>
    <w:p w:rsidR="00E05C36" w:rsidRPr="006F267B" w:rsidRDefault="00E05C36" w:rsidP="00E05C36">
      <w:pPr>
        <w:spacing w:line="240" w:lineRule="auto"/>
        <w:ind w:right="-108" w:firstLine="720"/>
        <w:jc w:val="both"/>
        <w:rPr>
          <w:rFonts w:ascii="Arial" w:hAnsi="Arial" w:cs="Arial"/>
          <w:lang w:val="sr-Latn-ME"/>
        </w:rPr>
      </w:pPr>
      <w:r w:rsidRPr="006F267B">
        <w:rPr>
          <w:rFonts w:ascii="Arial" w:hAnsi="Arial" w:cs="Arial"/>
          <w:lang w:val="sr-Latn-ME"/>
        </w:rPr>
        <w:t>Pritužbe su se sadržinski odnosile na način vršenja policijskih poslova i primjenu policijskih ovlašćenja.</w:t>
      </w:r>
    </w:p>
    <w:p w:rsidR="00E05C36" w:rsidRPr="006F267B" w:rsidRDefault="00E05C36" w:rsidP="00E05C36">
      <w:pPr>
        <w:spacing w:line="240" w:lineRule="auto"/>
        <w:jc w:val="both"/>
        <w:rPr>
          <w:rFonts w:ascii="Arial" w:hAnsi="Arial" w:cs="Arial"/>
          <w:iCs/>
          <w:lang w:val="sr-Latn-ME"/>
        </w:rPr>
      </w:pPr>
      <w:r w:rsidRPr="006F267B"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E05C36" w:rsidRPr="006F267B" w:rsidRDefault="00E05C36" w:rsidP="00E05C36">
      <w:pPr>
        <w:spacing w:line="240" w:lineRule="auto"/>
        <w:jc w:val="both"/>
        <w:rPr>
          <w:rFonts w:ascii="Arial" w:hAnsi="Arial" w:cs="Arial"/>
          <w:lang w:val="sr-Latn-ME"/>
        </w:rPr>
      </w:pPr>
      <w:r w:rsidRPr="006F267B">
        <w:rPr>
          <w:rFonts w:ascii="Arial" w:hAnsi="Arial" w:cs="Arial"/>
          <w:lang w:val="sr-Latn-ME"/>
        </w:rPr>
        <w:t>► U</w:t>
      </w:r>
      <w:r>
        <w:rPr>
          <w:rFonts w:ascii="Arial" w:hAnsi="Arial" w:cs="Arial"/>
          <w:lang w:val="sr-Latn-ME"/>
        </w:rPr>
        <w:t xml:space="preserve"> tri</w:t>
      </w:r>
      <w:r w:rsidRPr="006F267B">
        <w:rPr>
          <w:rFonts w:ascii="Arial" w:hAnsi="Arial" w:cs="Arial"/>
          <w:lang w:val="sr-Latn-ME"/>
        </w:rPr>
        <w:t xml:space="preserve"> slučaja pritužbe su ocijenjene osnovanim, usljed čega je:</w:t>
      </w:r>
    </w:p>
    <w:p w:rsidR="00E05C36" w:rsidRPr="006F267B" w:rsidRDefault="00E05C36" w:rsidP="00E05C36">
      <w:pPr>
        <w:spacing w:line="240" w:lineRule="auto"/>
        <w:jc w:val="both"/>
        <w:rPr>
          <w:rFonts w:ascii="Arial" w:hAnsi="Arial"/>
          <w:noProof/>
        </w:rPr>
      </w:pPr>
      <w:r w:rsidRPr="006F267B">
        <w:rPr>
          <w:rFonts w:ascii="Arial" w:hAnsi="Arial" w:cs="Arial"/>
          <w:iCs/>
          <w:lang w:val="sr-Latn-ME"/>
        </w:rPr>
        <w:t xml:space="preserve">■ U jednom slučaju, </w:t>
      </w:r>
      <w:r>
        <w:rPr>
          <w:rFonts w:ascii="Arial" w:hAnsi="Arial"/>
          <w:noProof/>
        </w:rPr>
        <w:t>n</w:t>
      </w:r>
      <w:r w:rsidRPr="006F267B">
        <w:rPr>
          <w:rFonts w:ascii="Arial" w:hAnsi="Arial"/>
          <w:noProof/>
        </w:rPr>
        <w:t xml:space="preserve">a osnovu utvrđenog činjeničnog stanja i prikupljenih dokaza u postupku unutrašnje kontrole, utvrđeno je da postoji osnovana sumnja  da su </w:t>
      </w:r>
      <w:r w:rsidR="004A7D82">
        <w:rPr>
          <w:rFonts w:ascii="Arial" w:hAnsi="Arial"/>
          <w:noProof/>
        </w:rPr>
        <w:t xml:space="preserve">tri </w:t>
      </w:r>
      <w:r w:rsidRPr="006F267B">
        <w:rPr>
          <w:rFonts w:ascii="Arial" w:hAnsi="Arial"/>
          <w:noProof/>
        </w:rPr>
        <w:t>policijsk</w:t>
      </w:r>
      <w:r w:rsidR="004A7D82">
        <w:rPr>
          <w:rFonts w:ascii="Arial" w:hAnsi="Arial"/>
          <w:noProof/>
        </w:rPr>
        <w:t>a službenika</w:t>
      </w:r>
      <w:r w:rsidRPr="006F267B">
        <w:rPr>
          <w:rFonts w:ascii="Arial" w:hAnsi="Arial"/>
          <w:noProof/>
        </w:rPr>
        <w:t xml:space="preserve"> Odjeljenja bezbjednosti Podgorica, Stanice policije za javni red i mir,  počinil</w:t>
      </w:r>
      <w:r w:rsidR="004A7D82">
        <w:rPr>
          <w:rFonts w:ascii="Arial" w:hAnsi="Arial"/>
          <w:noProof/>
        </w:rPr>
        <w:t>a</w:t>
      </w:r>
      <w:r w:rsidRPr="006F267B">
        <w:rPr>
          <w:rFonts w:ascii="Arial" w:hAnsi="Arial"/>
          <w:noProof/>
        </w:rPr>
        <w:t xml:space="preserve"> težu povredu službene dužnosti iz člana 95 stav 1 tačka 1 Zakona o državnim službenicima i namještenicima  - neizvršavanje ili nesavjesno ili neblagovremeno  ili nemarno vršenje službenih obaveza, usljed čega je Izvještaj  koji je sačinjen u postupku unutrašnje kontrole, sa spisima predmeta dostavljen v.d. direktora Uprave policije sa predlogom da Uprava policije preduzme zakonske mjere u cilju pokretanja postupka za utvrđivanje disciplinske odgovornosti imenovanih. S obzirom na činjenicu da je </w:t>
      </w:r>
      <w:r w:rsidR="004A7D82">
        <w:rPr>
          <w:rFonts w:ascii="Arial" w:hAnsi="Arial"/>
          <w:noProof/>
        </w:rPr>
        <w:t xml:space="preserve">jednom </w:t>
      </w:r>
      <w:r w:rsidRPr="006F267B">
        <w:rPr>
          <w:rFonts w:ascii="Arial" w:hAnsi="Arial"/>
          <w:noProof/>
        </w:rPr>
        <w:t xml:space="preserve">policijskom službeniku, u međuvremenu prestao radni odnos u Upravi policije zbog ostvarivanja prava na penziju, konstatovano je da nije postojao zakonski osnov za pokretanje disciplinskog postupka u cilju utvrđivanja njegove disciplinske odgovornosti, zbog utvrđenih nepravilnosti u radu tj.zbog nesavjesnog i nemarnog vršenja službene obaveze. Takođe, Izvještaj o izvršenoj kontroli sa spisima predmeta je dostavljen i Osnovnom državnom tužilaštvu u Podgorici na ocjenu i odlučivanje da li u radnjama i postupanju policijskih službenika koji su preduzimali službene radnje u predmetnom slučaju, </w:t>
      </w:r>
      <w:r w:rsidR="004A7D82">
        <w:rPr>
          <w:rFonts w:ascii="Arial" w:hAnsi="Arial"/>
          <w:noProof/>
        </w:rPr>
        <w:t xml:space="preserve">( </w:t>
      </w:r>
      <w:r w:rsidR="004A7D82">
        <w:rPr>
          <w:rFonts w:ascii="Arial" w:hAnsi="Arial"/>
          <w:noProof/>
        </w:rPr>
        <w:lastRenderedPageBreak/>
        <w:t xml:space="preserve">uključujući </w:t>
      </w:r>
      <w:r w:rsidRPr="006F267B">
        <w:rPr>
          <w:rFonts w:ascii="Arial" w:hAnsi="Arial"/>
          <w:noProof/>
        </w:rPr>
        <w:t xml:space="preserve">i sada </w:t>
      </w:r>
      <w:r w:rsidR="004A7D82">
        <w:rPr>
          <w:rFonts w:ascii="Arial" w:hAnsi="Arial"/>
          <w:noProof/>
        </w:rPr>
        <w:t xml:space="preserve">već </w:t>
      </w:r>
      <w:r w:rsidRPr="006F267B">
        <w:rPr>
          <w:rFonts w:ascii="Arial" w:hAnsi="Arial"/>
          <w:noProof/>
        </w:rPr>
        <w:t xml:space="preserve">bivšeg </w:t>
      </w:r>
      <w:r w:rsidR="004A7D82">
        <w:rPr>
          <w:rFonts w:ascii="Arial" w:hAnsi="Arial"/>
          <w:noProof/>
        </w:rPr>
        <w:t xml:space="preserve">jednog </w:t>
      </w:r>
      <w:r w:rsidRPr="006F267B">
        <w:rPr>
          <w:rFonts w:ascii="Arial" w:hAnsi="Arial"/>
          <w:noProof/>
        </w:rPr>
        <w:t>policij</w:t>
      </w:r>
      <w:r w:rsidR="004A7D82">
        <w:rPr>
          <w:rFonts w:ascii="Arial" w:hAnsi="Arial"/>
          <w:noProof/>
        </w:rPr>
        <w:t>skog službenika)</w:t>
      </w:r>
      <w:r w:rsidRPr="006F267B">
        <w:rPr>
          <w:rFonts w:ascii="Arial" w:hAnsi="Arial"/>
          <w:noProof/>
        </w:rPr>
        <w:t xml:space="preserve"> ima elemenata krivičnog djela za koje se goni po službenoj dužnosti.</w:t>
      </w:r>
    </w:p>
    <w:p w:rsidR="00E05C36" w:rsidRPr="006F267B" w:rsidRDefault="00E05C36" w:rsidP="00E05C36">
      <w:pPr>
        <w:spacing w:line="240" w:lineRule="auto"/>
        <w:jc w:val="both"/>
        <w:rPr>
          <w:rFonts w:ascii="Arial" w:hAnsi="Arial"/>
          <w:noProof/>
        </w:rPr>
      </w:pPr>
      <w:r w:rsidRPr="006F267B">
        <w:rPr>
          <w:rFonts w:ascii="Arial" w:hAnsi="Arial" w:cs="Arial"/>
          <w:iCs/>
          <w:lang w:val="sr-Latn-ME"/>
        </w:rPr>
        <w:t xml:space="preserve">■ U drugom slučaju, </w:t>
      </w:r>
      <w:r>
        <w:rPr>
          <w:rFonts w:ascii="Arial" w:hAnsi="Arial"/>
          <w:noProof/>
        </w:rPr>
        <w:t>n</w:t>
      </w:r>
      <w:r w:rsidRPr="006F267B">
        <w:rPr>
          <w:rFonts w:ascii="Arial" w:hAnsi="Arial"/>
          <w:noProof/>
        </w:rPr>
        <w:t>a osnovu utvrđenog činjeničnog stanja i prikupljenih dokaza u postupku unutrašnje kontrole, utvrđeno je da postoji osnovana sumnja da je policijski službenik Regionalnog centra bezbjednosti “Centar” Odjeljenja bezbjednosti Danilovgrad, postupao suprotno Kodeksu policijske etike, usljed čega je Izvještaj o izvršenim provjerama dostavljen Etičkom odboru na dalji postupak i  odlučivanje.</w:t>
      </w:r>
    </w:p>
    <w:p w:rsidR="00E05C36" w:rsidRDefault="00E05C36" w:rsidP="00E05C36">
      <w:pPr>
        <w:spacing w:line="240" w:lineRule="auto"/>
        <w:jc w:val="both"/>
        <w:rPr>
          <w:rFonts w:ascii="Arial" w:hAnsi="Arial"/>
          <w:noProof/>
        </w:rPr>
      </w:pPr>
      <w:r w:rsidRPr="006F267B">
        <w:rPr>
          <w:rFonts w:ascii="Arial" w:hAnsi="Arial"/>
          <w:noProof/>
        </w:rPr>
        <w:t>*Osim navedenog, Izvještaj o izvršenoj kontroli sa spisima predmeta je dostavljen i Osnovnom državnom tužilaštvu u Podgorici na ocjenu i odlučivanje da li u radnjama i postupanju policijskog službenika ima elemenata krivičnog djela za koje se gonjenje preduzima po službenoj dužnosti.</w:t>
      </w:r>
    </w:p>
    <w:p w:rsidR="00E05C36" w:rsidRPr="006F267B" w:rsidRDefault="00E05C36" w:rsidP="00E05C36">
      <w:pPr>
        <w:spacing w:line="240" w:lineRule="auto"/>
        <w:jc w:val="both"/>
        <w:rPr>
          <w:rFonts w:ascii="Arial" w:hAnsi="Arial"/>
          <w:noProof/>
        </w:rPr>
      </w:pPr>
      <w:r w:rsidRPr="006F267B">
        <w:rPr>
          <w:rFonts w:ascii="Arial" w:hAnsi="Arial" w:cs="Arial"/>
          <w:iCs/>
          <w:lang w:val="sr-Latn-ME"/>
        </w:rPr>
        <w:t xml:space="preserve">■ </w:t>
      </w:r>
      <w:r>
        <w:rPr>
          <w:rFonts w:ascii="Arial" w:hAnsi="Arial" w:cs="Arial"/>
          <w:iCs/>
          <w:lang w:val="sr-Latn-ME"/>
        </w:rPr>
        <w:t>U trećem slučaju,n</w:t>
      </w:r>
      <w:r w:rsidRPr="006F267B">
        <w:rPr>
          <w:rFonts w:ascii="Arial" w:hAnsi="Arial"/>
          <w:noProof/>
        </w:rPr>
        <w:t>a osnovu utvrđenog činjeničnog stanja i prikupljenih dokaza u postupku unutrašnje kontrole, utvrđeno je da je za sprovođenje mjera povodom ovog slučaja nadležan Direktorat za bezbjednosno – nadzorne poslove, usljed čega je Izvještaj sa spisima sačinjenim u postupku unutrašnje kontrole dostavljen tom Direktoratu. Takođe, Izvještaj sa spisima sačinjenim u postupku unutrašnje kontrole dostavljen je i Osnovnom državnom tužilaštvu u Kotoru na konačnu ocjenu i mišljenje da li su policijski službenici u predmetnom događaju počinili krivično djelo za koje se gonjenje preduzima po službenoj dužnosti.</w:t>
      </w:r>
    </w:p>
    <w:p w:rsidR="00E05C36" w:rsidRPr="006F267B" w:rsidRDefault="00E05C36" w:rsidP="00E05C36">
      <w:pPr>
        <w:spacing w:line="240" w:lineRule="auto"/>
        <w:ind w:right="178"/>
        <w:jc w:val="both"/>
        <w:rPr>
          <w:rFonts w:ascii="Arial" w:hAnsi="Arial" w:cs="Arial"/>
          <w:lang w:val="sr-Latn-ME"/>
        </w:rPr>
      </w:pPr>
      <w:r w:rsidRPr="006F267B">
        <w:rPr>
          <w:rFonts w:ascii="Arial" w:hAnsi="Arial" w:cs="Arial"/>
          <w:lang w:val="sr-Latn-ME"/>
        </w:rPr>
        <w:t xml:space="preserve">► U </w:t>
      </w:r>
      <w:r>
        <w:rPr>
          <w:rFonts w:ascii="Arial" w:hAnsi="Arial" w:cs="Arial"/>
          <w:lang w:val="sr-Latn-ME"/>
        </w:rPr>
        <w:t xml:space="preserve"> preostalih pe</w:t>
      </w:r>
      <w:r w:rsidRPr="006F267B">
        <w:rPr>
          <w:rFonts w:ascii="Arial" w:hAnsi="Arial" w:cs="Arial"/>
          <w:lang w:val="sr-Latn-ME"/>
        </w:rPr>
        <w:t xml:space="preserve">t slućajeva u </w:t>
      </w:r>
      <w:r w:rsidRPr="006F267B">
        <w:rPr>
          <w:rFonts w:ascii="Arial" w:hAnsi="Arial" w:cs="Arial"/>
          <w:bCs/>
          <w:lang w:val="sr-Latn-ME"/>
        </w:rPr>
        <w:t xml:space="preserve">postupcima unutrašnje kontrole nijesu utvrđene činjenice i dokazi </w:t>
      </w:r>
      <w:r w:rsidRPr="006F267B">
        <w:rPr>
          <w:rFonts w:ascii="Arial" w:hAnsi="Arial" w:cs="Arial"/>
          <w:lang w:val="sr-Latn-ME"/>
        </w:rPr>
        <w:t>koji bi ukazivali na postojanje elemenata disiplinske ili druge odgovornosti u preduzimanju službenih radnji od strane policijskih službenika</w:t>
      </w:r>
      <w:r w:rsidR="00742BB8">
        <w:rPr>
          <w:rFonts w:ascii="Arial" w:hAnsi="Arial" w:cs="Arial"/>
          <w:lang w:val="sr-Latn-ME"/>
        </w:rPr>
        <w:t>,</w:t>
      </w:r>
      <w:bookmarkStart w:id="0" w:name="_GoBack"/>
      <w:bookmarkEnd w:id="0"/>
      <w:r w:rsidRPr="006F267B">
        <w:rPr>
          <w:rFonts w:ascii="Arial" w:hAnsi="Arial" w:cs="Arial"/>
          <w:lang w:val="sr-Latn-ME"/>
        </w:rPr>
        <w:t xml:space="preserve"> u predmetnim slučajevima.</w:t>
      </w:r>
    </w:p>
    <w:p w:rsidR="00E05C36" w:rsidRPr="006F267B" w:rsidRDefault="00E05C36" w:rsidP="00E05C36">
      <w:pPr>
        <w:spacing w:line="240" w:lineRule="auto"/>
        <w:ind w:right="178"/>
        <w:jc w:val="both"/>
        <w:rPr>
          <w:rFonts w:ascii="Arial" w:hAnsi="Arial" w:cs="Arial"/>
          <w:lang w:val="sr-Latn-ME"/>
        </w:rPr>
      </w:pPr>
    </w:p>
    <w:p w:rsidR="005C76F8" w:rsidRPr="003C417F" w:rsidRDefault="005C76F8" w:rsidP="00E05C3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</w:p>
    <w:sectPr w:rsidR="005C76F8" w:rsidRPr="003C417F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701AF"/>
    <w:multiLevelType w:val="hybridMultilevel"/>
    <w:tmpl w:val="F6862EFC"/>
    <w:lvl w:ilvl="0" w:tplc="3FAAECD2">
      <w:start w:val="1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E4771"/>
    <w:multiLevelType w:val="hybridMultilevel"/>
    <w:tmpl w:val="61F0ABFA"/>
    <w:lvl w:ilvl="0" w:tplc="5F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71D"/>
    <w:rsid w:val="00002286"/>
    <w:rsid w:val="000C5B24"/>
    <w:rsid w:val="000C5B7C"/>
    <w:rsid w:val="00146250"/>
    <w:rsid w:val="00175FF6"/>
    <w:rsid w:val="00180EDA"/>
    <w:rsid w:val="001A02C8"/>
    <w:rsid w:val="00310D26"/>
    <w:rsid w:val="00327C4C"/>
    <w:rsid w:val="00402B16"/>
    <w:rsid w:val="00473F39"/>
    <w:rsid w:val="004971E7"/>
    <w:rsid w:val="004A7D82"/>
    <w:rsid w:val="004C19F2"/>
    <w:rsid w:val="004C4FE8"/>
    <w:rsid w:val="00521784"/>
    <w:rsid w:val="00542BDA"/>
    <w:rsid w:val="005849CB"/>
    <w:rsid w:val="005C068E"/>
    <w:rsid w:val="005C2C16"/>
    <w:rsid w:val="005C76F8"/>
    <w:rsid w:val="00605ECF"/>
    <w:rsid w:val="006569CF"/>
    <w:rsid w:val="00665D39"/>
    <w:rsid w:val="00693821"/>
    <w:rsid w:val="006D0A32"/>
    <w:rsid w:val="00714980"/>
    <w:rsid w:val="00742BB8"/>
    <w:rsid w:val="00833A87"/>
    <w:rsid w:val="00880705"/>
    <w:rsid w:val="008F4D85"/>
    <w:rsid w:val="009F6AD5"/>
    <w:rsid w:val="00A9171D"/>
    <w:rsid w:val="00A97EE1"/>
    <w:rsid w:val="00AE6E6E"/>
    <w:rsid w:val="00B028EB"/>
    <w:rsid w:val="00B05599"/>
    <w:rsid w:val="00B1775B"/>
    <w:rsid w:val="00B17D94"/>
    <w:rsid w:val="00B36313"/>
    <w:rsid w:val="00BD3CBC"/>
    <w:rsid w:val="00C17046"/>
    <w:rsid w:val="00C45282"/>
    <w:rsid w:val="00C644B1"/>
    <w:rsid w:val="00CD3056"/>
    <w:rsid w:val="00CE359B"/>
    <w:rsid w:val="00D00E04"/>
    <w:rsid w:val="00D00F3A"/>
    <w:rsid w:val="00D05E53"/>
    <w:rsid w:val="00D56781"/>
    <w:rsid w:val="00E05C36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6B6F34A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MUP</cp:lastModifiedBy>
  <cp:revision>45</cp:revision>
  <dcterms:created xsi:type="dcterms:W3CDTF">2024-07-16T06:15:00Z</dcterms:created>
  <dcterms:modified xsi:type="dcterms:W3CDTF">2025-05-12T08:16:00Z</dcterms:modified>
</cp:coreProperties>
</file>