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D89" w:rsidRPr="000E4D89" w:rsidRDefault="000E4D89" w:rsidP="000E4D89">
      <w:pPr>
        <w:pStyle w:val="Title"/>
      </w:pPr>
      <w:r w:rsidRPr="000E4D89">
        <w:t xml:space="preserve">Procedure za razmjenu informacija </w:t>
      </w:r>
    </w:p>
    <w:p w:rsidR="000E4D89" w:rsidRPr="000E4D89" w:rsidRDefault="000E4D89" w:rsidP="000E4D89">
      <w:pPr>
        <w:pStyle w:val="Title"/>
      </w:pPr>
      <w:r w:rsidRPr="000E4D89">
        <w:t>Priručnik za izvještavanje po zemljama</w:t>
      </w:r>
    </w:p>
    <w:p w:rsidR="000E4D89" w:rsidRDefault="000E4D89" w:rsidP="000E4D89">
      <w:bookmarkStart w:id="0" w:name="_GoBack"/>
      <w:bookmarkEnd w:id="0"/>
    </w:p>
    <w:p w:rsidR="000E4D89" w:rsidRDefault="000E4D89" w:rsidP="00525575">
      <w:pPr>
        <w:pStyle w:val="Heading1"/>
        <w:ind w:left="360"/>
      </w:pPr>
      <w:r>
        <w:t>Uvod</w:t>
      </w:r>
    </w:p>
    <w:p w:rsidR="000E4D89" w:rsidRDefault="000E4D89" w:rsidP="000E4D89">
      <w:r>
        <w:t>U oktobru 2015. godine, Organizacija za ekonomsku saradnju i razvoj (OECD) objavila je dokumentaciju o transfernim cijenama i izvještavanje po zemljama Akcija 13: Konačni izvještaj za 2015. (Izvještaj o akciji 13). Konačni izvještaj OECD-a prepoznao je da je unapređenje transparentnosti za poreske uprave, pružanje adekvatnih informacija za sprovođenje procjen</w:t>
      </w:r>
      <w:r w:rsidR="00F6407B">
        <w:t>a</w:t>
      </w:r>
      <w:r>
        <w:t xml:space="preserve"> rizika od transfernih cijena, suštinski dio rješavanja problema BEPS-a. </w:t>
      </w:r>
    </w:p>
    <w:p w:rsidR="000E4D89" w:rsidRDefault="000E4D89" w:rsidP="000E4D89">
      <w:r>
        <w:t>CbCR zahtijeva od multinacionalnih preduzeća (MNE Grupe) koje ispunjavaju određene kriterijume da podnesu izvještaj od zemlje do zemlje (CbC Izvještaj) poreskim upravama koji daje pregled iznosa prihoda, dobiti, poreza i drugih pokazatelja ekonomskih aktivnosti za svaki porez jurisdikciji u kojoj posluje MNE Grupa.</w:t>
      </w:r>
    </w:p>
    <w:p w:rsidR="00FC4D2C" w:rsidRDefault="000E4D89" w:rsidP="00F034D1">
      <w:r>
        <w:t xml:space="preserve">Prema zahtjevima za CbCR (Country-by-Country Reporting), krajnji matični entitet (UPE) grupe čiji ukupni konsolidovani prihod u prethodnoj fiskalnoj godini iznosi 750 miliona eura ili više, mora da podnese CbC izvještaj u ime grupe multilateralnih preduzeća (MNE) lokalnoj poreskoj </w:t>
      </w:r>
      <w:r w:rsidR="00F6407B">
        <w:t>upravi</w:t>
      </w:r>
      <w:r>
        <w:t xml:space="preserve">. Poreska </w:t>
      </w:r>
      <w:r w:rsidR="00F6407B">
        <w:t xml:space="preserve">uprava, </w:t>
      </w:r>
      <w:r>
        <w:t>kojoj je podn</w:t>
      </w:r>
      <w:r w:rsidR="009459FB">
        <w:t>ij</w:t>
      </w:r>
      <w:r>
        <w:t xml:space="preserve">et CbC izvještaj razmijeniće taj izvještaj sa poreskom </w:t>
      </w:r>
      <w:r w:rsidR="00F6407B">
        <w:t xml:space="preserve">upravom </w:t>
      </w:r>
      <w:r>
        <w:t>u drugim jurisdikcijama u kojima grupa ima poslovanje, na osnovu bilateralnih ili multilateralnih poreskih ugovora ili sporazuma o razmjeni poreskih informacija (TIEA) koji omogućavaju automatsku razm</w:t>
      </w:r>
      <w:r w:rsidR="009459FB">
        <w:t>j</w:t>
      </w:r>
      <w:r>
        <w:t>enu informacija. Ovo je podložno određenim uslovima, uključujući postojanje pravnog okvira za CbC izv</w:t>
      </w:r>
      <w:r w:rsidR="009459FB">
        <w:t>j</w:t>
      </w:r>
      <w:r>
        <w:t>eštavanje u tim jurisdikcijama i ispunjavanje uslova koji se odnose na pov</w:t>
      </w:r>
      <w:r w:rsidR="009459FB">
        <w:t>j</w:t>
      </w:r>
      <w:r>
        <w:t>erljivost, dosl</w:t>
      </w:r>
      <w:r w:rsidR="009459FB">
        <w:t>j</w:t>
      </w:r>
      <w:r>
        <w:t>ednost i odgovarajuću upotrebu CbCR informacija</w:t>
      </w:r>
      <w:r w:rsidR="009459FB">
        <w:t xml:space="preserve">. </w:t>
      </w:r>
      <w:r w:rsidR="009459FB">
        <w:br/>
      </w:r>
      <w:r w:rsidR="009459FB">
        <w:br/>
      </w:r>
      <w:r w:rsidR="009459FB" w:rsidRPr="001C638E">
        <w:rPr>
          <w:rStyle w:val="Heading1Char"/>
        </w:rPr>
        <w:t>Procesi za automatsku razm</w:t>
      </w:r>
      <w:r w:rsidR="001C638E">
        <w:rPr>
          <w:rStyle w:val="Heading1Char"/>
        </w:rPr>
        <w:t>j</w:t>
      </w:r>
      <w:r w:rsidR="009459FB" w:rsidRPr="001C638E">
        <w:rPr>
          <w:rStyle w:val="Heading1Char"/>
        </w:rPr>
        <w:t>enu izv</w:t>
      </w:r>
      <w:r w:rsidR="001C638E">
        <w:rPr>
          <w:rStyle w:val="Heading1Char"/>
        </w:rPr>
        <w:t>j</w:t>
      </w:r>
      <w:r w:rsidR="009459FB" w:rsidRPr="001C638E">
        <w:rPr>
          <w:rStyle w:val="Heading1Char"/>
        </w:rPr>
        <w:t>eštaja po zemljama</w:t>
      </w:r>
      <w:r w:rsidR="001C638E">
        <w:rPr>
          <w:rStyle w:val="Heading1Char"/>
        </w:rPr>
        <w:br/>
      </w:r>
      <w:r w:rsidR="001C638E">
        <w:rPr>
          <w:rStyle w:val="Heading1Char"/>
        </w:rPr>
        <w:br/>
      </w:r>
      <w:r w:rsidR="00581FD2">
        <w:t>Poreska uprava Crne Gore</w:t>
      </w:r>
      <w:r w:rsidR="001C638E" w:rsidRPr="001C638E">
        <w:t xml:space="preserve"> je razvila procedure koje se odnose na razm</w:t>
      </w:r>
      <w:r w:rsidR="001C638E">
        <w:t>j</w:t>
      </w:r>
      <w:r w:rsidR="001C638E" w:rsidRPr="001C638E">
        <w:t>enu izv</w:t>
      </w:r>
      <w:r w:rsidR="001C638E">
        <w:t>j</w:t>
      </w:r>
      <w:r w:rsidR="001C638E" w:rsidRPr="001C638E">
        <w:t>eštaja od zemlje do zemlje. Ovi procesi i procedure su relevantni za CbC izv</w:t>
      </w:r>
      <w:r w:rsidR="001C638E">
        <w:t>j</w:t>
      </w:r>
      <w:r w:rsidR="001C638E" w:rsidRPr="001C638E">
        <w:t>eštaje primljene od rezidentnih UPE-a [Jurisdikcija] i CbC izv</w:t>
      </w:r>
      <w:r w:rsidR="001C638E">
        <w:t>j</w:t>
      </w:r>
      <w:r w:rsidR="001C638E" w:rsidRPr="001C638E">
        <w:t>eštaje primljene od partnerskih jurisdikcija</w:t>
      </w:r>
      <w:r w:rsidR="001C638E">
        <w:t xml:space="preserve">. </w:t>
      </w:r>
      <w:r w:rsidR="001C638E" w:rsidRPr="001C638E">
        <w:t>Ove procedure za automatsku razm</w:t>
      </w:r>
      <w:r w:rsidR="001C638E">
        <w:t>j</w:t>
      </w:r>
      <w:r w:rsidR="001C638E" w:rsidRPr="001C638E">
        <w:t>enu informacija (AEOI) zasnivaju se na već postojećim procedurama za razm</w:t>
      </w:r>
      <w:r w:rsidR="001C638E">
        <w:t>j</w:t>
      </w:r>
      <w:r w:rsidR="001C638E" w:rsidRPr="001C638E">
        <w:t>enu informacija na zaht</w:t>
      </w:r>
      <w:r w:rsidR="001C638E">
        <w:t>j</w:t>
      </w:r>
      <w:r w:rsidR="001C638E" w:rsidRPr="001C638E">
        <w:t>ev (EOIR) i spontanoj razm</w:t>
      </w:r>
      <w:r w:rsidR="001C638E">
        <w:t>j</w:t>
      </w:r>
      <w:r w:rsidR="001C638E" w:rsidRPr="001C638E">
        <w:t>eni informacija, gde je to relevantno. Procedure će biti dodatno ažurirane i proširene kako [Jurisdikcija] bude stekla dalje iskustvo sa AEOI i podacima izv</w:t>
      </w:r>
      <w:r w:rsidR="001B0A46">
        <w:t>j</w:t>
      </w:r>
      <w:r w:rsidR="001C638E" w:rsidRPr="001C638E">
        <w:t>eštavanja po zemljama.</w:t>
      </w:r>
      <w:r w:rsidR="00485A6D">
        <w:br/>
      </w:r>
      <w:r w:rsidR="00485A6D">
        <w:br/>
      </w:r>
      <w:r w:rsidR="00F6407B">
        <w:t xml:space="preserve">Poreska uprava Crne Gore </w:t>
      </w:r>
      <w:r w:rsidR="00485A6D">
        <w:t>će koristiti OECD-ov Zajednički sistem prenosa za razm</w:t>
      </w:r>
      <w:r w:rsidR="00F724F6">
        <w:t>j</w:t>
      </w:r>
      <w:r w:rsidR="00485A6D">
        <w:t>enu CbC izv</w:t>
      </w:r>
      <w:r w:rsidR="00F724F6">
        <w:t>j</w:t>
      </w:r>
      <w:r w:rsidR="00485A6D">
        <w:t>eštaja. [Jurisdikcija] kupuje softversko r</w:t>
      </w:r>
      <w:r w:rsidR="00F724F6">
        <w:t>j</w:t>
      </w:r>
      <w:r w:rsidR="00485A6D">
        <w:t>ešenje za povezivanje sa CTS u svrhu slanja i primanja CbC izveštaja, enkripcije i dekripcije CbC status poruka, kao i svih drugih zaht</w:t>
      </w:r>
      <w:r w:rsidR="00F724F6">
        <w:t>j</w:t>
      </w:r>
      <w:r w:rsidR="00485A6D">
        <w:t>eva u cilju osiguravanja usklađenosti sa OECD-ovim Uputstvima u vezi sa okvirom za razm</w:t>
      </w:r>
      <w:r w:rsidR="00F724F6">
        <w:t>j</w:t>
      </w:r>
      <w:r w:rsidR="00485A6D">
        <w:t>enu informacija.</w:t>
      </w:r>
      <w:r w:rsidR="00F724F6">
        <w:br/>
      </w:r>
    </w:p>
    <w:p w:rsidR="00F034D1" w:rsidRPr="00FC4D2C" w:rsidRDefault="00581FD2" w:rsidP="00F034D1">
      <w:r w:rsidRPr="00581FD2">
        <w:t xml:space="preserve">Ove smjernice su dopunske Zakonu o poreskoj administraciji, član 14f, stav 4 Zakona o poreskoj administraciji, Ministarstvo finansija je izdalo Uputstvo o detaljnom načinu izvještavanja podataka koje pravno lice, član međunarodne grupe poveznih pravnih lica, dostavlja organu nadležnom za </w:t>
      </w:r>
      <w:r w:rsidRPr="00581FD2">
        <w:lastRenderedPageBreak/>
        <w:t>poreske poslove ('Službeni list Crne Gore', br. 069/22 od 1. jula 2022. godine); Višestrani sporazum nadležnih tijela o "Izvještavanju po zemljama" ("CbC MCAA"), razvijen u skladu sa članom 6. Konvencije o međusobnoj administrativnoj pomoći u poreskim pitanjima ("Konvencija"), pruža glavnu pravnu osnovu za uspostavljanje međunarodnog pravnog okvira za automatsku razmjenu CbC informacija i treba se konsultovati u vezi sa tim pravilima.</w:t>
      </w:r>
      <w:r w:rsidR="00FC4D2C">
        <w:br/>
      </w:r>
      <w:r w:rsidR="00F724F6" w:rsidRPr="001044ED">
        <w:rPr>
          <w:rStyle w:val="Heading1Char"/>
        </w:rPr>
        <w:br/>
        <w:t xml:space="preserve">CbC izvještaji primljeni od </w:t>
      </w:r>
      <w:r w:rsidR="00FC4D2C">
        <w:rPr>
          <w:rStyle w:val="Heading1Char"/>
        </w:rPr>
        <w:t xml:space="preserve">crnogorskih </w:t>
      </w:r>
      <w:r w:rsidR="00F724F6" w:rsidRPr="001044ED">
        <w:rPr>
          <w:rStyle w:val="Heading1Char"/>
        </w:rPr>
        <w:t>rezidentnih UPE-</w:t>
      </w:r>
      <w:r w:rsidR="00FC4D2C">
        <w:rPr>
          <w:rStyle w:val="Heading1Char"/>
        </w:rPr>
        <w:t>ova (</w:t>
      </w:r>
      <w:r w:rsidR="00FC4D2C" w:rsidRPr="00FC4D2C">
        <w:rPr>
          <w:rStyle w:val="Heading1Char"/>
          <w:color w:val="C45911" w:themeColor="accent2" w:themeShade="BF"/>
        </w:rPr>
        <w:t>konačni matični entitet)</w:t>
      </w:r>
      <w:r w:rsidR="001044ED">
        <w:rPr>
          <w:rStyle w:val="Heading1Char"/>
        </w:rPr>
        <w:br/>
      </w:r>
      <w:r w:rsidR="001044ED">
        <w:rPr>
          <w:rStyle w:val="Heading1Char"/>
        </w:rPr>
        <w:br/>
      </w:r>
      <w:r w:rsidR="00FC4D2C">
        <w:t xml:space="preserve">Poreska uprva Crne Gore </w:t>
      </w:r>
      <w:r w:rsidR="001044ED" w:rsidRPr="001044ED">
        <w:t>nema konstitutivne entitete koji bi se smatrali krajnjim matičnim entitetom MNE grupe i koji takođe prelaze prag prihoda od 750 miliona e</w:t>
      </w:r>
      <w:r w:rsidR="00281BA9">
        <w:t>u</w:t>
      </w:r>
      <w:r w:rsidR="001044ED" w:rsidRPr="001044ED">
        <w:t>ra, što zaht</w:t>
      </w:r>
      <w:r w:rsidR="001044ED">
        <w:t>ij</w:t>
      </w:r>
      <w:r w:rsidR="001044ED" w:rsidRPr="001044ED">
        <w:t>eva podnošenje CbC izv</w:t>
      </w:r>
      <w:r w:rsidR="001044ED">
        <w:t>j</w:t>
      </w:r>
      <w:r w:rsidR="001044ED" w:rsidRPr="001044ED">
        <w:t xml:space="preserve">eštaja u [Jurisdikciji]. Kao takav, </w:t>
      </w:r>
      <w:r w:rsidR="00FC4D2C">
        <w:t xml:space="preserve">PUCG </w:t>
      </w:r>
      <w:r w:rsidR="001044ED" w:rsidRPr="001044ED">
        <w:t>ne očekuje da će primiti bilo kakve CbC izv</w:t>
      </w:r>
      <w:r w:rsidR="001044ED">
        <w:t>j</w:t>
      </w:r>
      <w:r w:rsidR="001044ED" w:rsidRPr="001044ED">
        <w:t>eštaje sa kojima će morati da razm</w:t>
      </w:r>
      <w:r w:rsidR="001044ED">
        <w:t>j</w:t>
      </w:r>
      <w:r w:rsidR="001044ED" w:rsidRPr="001044ED">
        <w:t>enjuje sa partnerskim jurisdikcijama</w:t>
      </w:r>
      <w:r w:rsidR="001044ED">
        <w:t>.</w:t>
      </w:r>
      <w:r w:rsidR="00281BA9">
        <w:br/>
      </w:r>
      <w:r w:rsidR="00281BA9">
        <w:br/>
        <w:t>Kako bi se provjerilo gore naved</w:t>
      </w:r>
      <w:r w:rsidR="00281BA9" w:rsidRPr="00281BA9">
        <w:t xml:space="preserve">eno, </w:t>
      </w:r>
      <w:r w:rsidR="00FC4D2C">
        <w:t>ti</w:t>
      </w:r>
      <w:r w:rsidR="00281BA9" w:rsidRPr="00FC4D2C">
        <w:t>m za Velike poreske obveznike</w:t>
      </w:r>
      <w:r w:rsidR="00281BA9" w:rsidRPr="00281BA9">
        <w:t xml:space="preserve"> (d</w:t>
      </w:r>
      <w:r w:rsidR="00281BA9">
        <w:t>i</w:t>
      </w:r>
      <w:r w:rsidR="00281BA9" w:rsidRPr="00281BA9">
        <w:t xml:space="preserve">o </w:t>
      </w:r>
      <w:r w:rsidR="00281BA9">
        <w:t xml:space="preserve">VPO </w:t>
      </w:r>
      <w:r w:rsidR="00281BA9" w:rsidRPr="00281BA9">
        <w:t>od</w:t>
      </w:r>
      <w:r w:rsidR="00281BA9">
        <w:t>j</w:t>
      </w:r>
      <w:r w:rsidR="00281BA9" w:rsidRPr="00281BA9">
        <w:t>eljenja</w:t>
      </w:r>
      <w:r w:rsidR="00FC4D2C">
        <w:t xml:space="preserve">) </w:t>
      </w:r>
      <w:r w:rsidR="00281BA9">
        <w:t>je iz</w:t>
      </w:r>
      <w:r w:rsidR="00281BA9" w:rsidRPr="00281BA9">
        <w:t>vrš</w:t>
      </w:r>
      <w:r w:rsidR="00281BA9">
        <w:t xml:space="preserve">io </w:t>
      </w:r>
      <w:r w:rsidR="00281BA9" w:rsidRPr="00281BA9">
        <w:t>prov</w:t>
      </w:r>
      <w:r w:rsidR="00281BA9">
        <w:t>j</w:t>
      </w:r>
      <w:r w:rsidR="00281BA9" w:rsidRPr="00281BA9">
        <w:t>ere kako bi utvrdio broj UPE-a sa s</w:t>
      </w:r>
      <w:r w:rsidR="00281BA9">
        <w:t>j</w:t>
      </w:r>
      <w:r w:rsidR="00281BA9" w:rsidRPr="00281BA9">
        <w:t xml:space="preserve">edištem u </w:t>
      </w:r>
      <w:r w:rsidR="00FC4D2C">
        <w:t xml:space="preserve">Crnoj Gori, </w:t>
      </w:r>
      <w:r w:rsidR="00281BA9" w:rsidRPr="00281BA9">
        <w:t>a zatim</w:t>
      </w:r>
      <w:r w:rsidR="00281BA9">
        <w:t xml:space="preserve"> je dodatno </w:t>
      </w:r>
      <w:r w:rsidR="00281BA9" w:rsidRPr="00281BA9">
        <w:t>proc</w:t>
      </w:r>
      <w:r w:rsidR="00281BA9">
        <w:t>ij</w:t>
      </w:r>
      <w:r w:rsidR="00281BA9" w:rsidRPr="00281BA9">
        <w:t xml:space="preserve">enio da li je bilo koji od ovih UPE-a premašio CbCR prag za podnošenje prijave. </w:t>
      </w:r>
      <w:r w:rsidR="00281BA9">
        <w:t>U</w:t>
      </w:r>
      <w:r w:rsidR="00281BA9" w:rsidRPr="00281BA9">
        <w:t xml:space="preserve">tvrđeno je da takvi entiteti ne postoje u </w:t>
      </w:r>
      <w:r w:rsidR="00FC4D2C">
        <w:t xml:space="preserve">Crnoj Gori, </w:t>
      </w:r>
      <w:r w:rsidR="00281BA9" w:rsidRPr="00281BA9">
        <w:t xml:space="preserve">tako da </w:t>
      </w:r>
      <w:r w:rsidR="00FC4D2C">
        <w:t xml:space="preserve">PUCG </w:t>
      </w:r>
      <w:r w:rsidR="00281BA9" w:rsidRPr="00281BA9">
        <w:t>očekuje da prima samo CbC izv</w:t>
      </w:r>
      <w:r w:rsidR="00281BA9">
        <w:t>j</w:t>
      </w:r>
      <w:r w:rsidR="00281BA9" w:rsidRPr="00281BA9">
        <w:t>eštaje o razm</w:t>
      </w:r>
      <w:r w:rsidR="00281BA9">
        <w:t>j</w:t>
      </w:r>
      <w:r w:rsidR="00281BA9" w:rsidRPr="00281BA9">
        <w:t>ena</w:t>
      </w:r>
      <w:r w:rsidR="00281BA9">
        <w:t>ma.</w:t>
      </w:r>
      <w:r w:rsidR="00281BA9">
        <w:br/>
      </w:r>
      <w:r w:rsidR="00281BA9">
        <w:br/>
      </w:r>
      <w:r w:rsidR="00281BA9" w:rsidRPr="00281BA9">
        <w:t>Ove prov</w:t>
      </w:r>
      <w:r w:rsidR="00281BA9">
        <w:t>j</w:t>
      </w:r>
      <w:r w:rsidR="00281BA9" w:rsidRPr="00281BA9">
        <w:t xml:space="preserve">ere su sprovedene na osnovu informacija dostupnih </w:t>
      </w:r>
      <w:r w:rsidR="00281BA9">
        <w:t xml:space="preserve">Poreskoj upravi Crne Gore </w:t>
      </w:r>
      <w:r w:rsidR="00281BA9" w:rsidRPr="00281BA9">
        <w:t>o aktivnostima, ud</w:t>
      </w:r>
      <w:r w:rsidR="00F034D1">
        <w:t>j</w:t>
      </w:r>
      <w:r w:rsidR="00281BA9" w:rsidRPr="00281BA9">
        <w:t>elima, prihodima itd. pravnih lica poreskih rezidenta u [jurisdikciji]. Finansijski izv</w:t>
      </w:r>
      <w:r w:rsidR="00F034D1">
        <w:t>j</w:t>
      </w:r>
      <w:r w:rsidR="00281BA9" w:rsidRPr="00281BA9">
        <w:t xml:space="preserve">eštaji poreskih rezidenata [Jurisdikcije] se podnose </w:t>
      </w:r>
      <w:r w:rsidR="00F034D1">
        <w:t>Poreskoj upravi Crne Gore g</w:t>
      </w:r>
      <w:r w:rsidR="00281BA9" w:rsidRPr="00281BA9">
        <w:t>odišnje.</w:t>
      </w:r>
      <w:r w:rsidR="00F034D1">
        <w:br/>
      </w:r>
      <w:r w:rsidR="00F034D1">
        <w:br/>
        <w:t>Poreska uprava Crne Gore</w:t>
      </w:r>
      <w:r w:rsidR="00F034D1" w:rsidRPr="00F034D1">
        <w:t xml:space="preserve"> obavezuje se da će ponovo proc</w:t>
      </w:r>
      <w:r w:rsidR="00F034D1">
        <w:t>ij</w:t>
      </w:r>
      <w:r w:rsidR="00F034D1" w:rsidRPr="00F034D1">
        <w:t xml:space="preserve">eniti situaciju u vezi sa UPE entitetima najmanje jednom godišnje, kako bi </w:t>
      </w:r>
      <w:r w:rsidR="00F034D1">
        <w:t xml:space="preserve">se </w:t>
      </w:r>
      <w:r w:rsidR="00F034D1" w:rsidRPr="00F034D1">
        <w:t>utvrdi</w:t>
      </w:r>
      <w:r w:rsidR="00F034D1">
        <w:t>l</w:t>
      </w:r>
      <w:r w:rsidR="00F034D1" w:rsidRPr="00F034D1">
        <w:t>o da li postoji bilo koji takav UPE koji premašuje CbCR prag za izv</w:t>
      </w:r>
      <w:r w:rsidR="00F034D1">
        <w:t>j</w:t>
      </w:r>
      <w:r w:rsidR="00F034D1" w:rsidRPr="00F034D1">
        <w:t xml:space="preserve">eštavanje. Ako informacije koje se nalaze u okviru </w:t>
      </w:r>
      <w:r w:rsidR="00F034D1">
        <w:t>Poreske uprave Crne Gore</w:t>
      </w:r>
      <w:r w:rsidR="00F034D1" w:rsidRPr="00F034D1">
        <w:t xml:space="preserve"> nisu dovoljne za donošenje takve odluke, relevantnom subjektu će biti upućen zaht</w:t>
      </w:r>
      <w:r w:rsidR="00F034D1">
        <w:t>j</w:t>
      </w:r>
      <w:r w:rsidR="00F034D1" w:rsidRPr="00F034D1">
        <w:t xml:space="preserve">ev za dodatnim informacijama kako bi </w:t>
      </w:r>
      <w:r w:rsidR="00F034D1">
        <w:t xml:space="preserve">se mogla donijeti odluka. </w:t>
      </w:r>
      <w:r w:rsidR="00281BA9">
        <w:br/>
      </w:r>
      <w:r w:rsidR="00F034D1">
        <w:br/>
      </w:r>
      <w:r w:rsidR="00751B3B" w:rsidRPr="00751B3B">
        <w:t xml:space="preserve">U slučaju da u budućnosti postoji crnogorski rezidentni konačni </w:t>
      </w:r>
      <w:r w:rsidR="00751B3B">
        <w:t>matični</w:t>
      </w:r>
      <w:r w:rsidR="00751B3B" w:rsidRPr="00751B3B">
        <w:t xml:space="preserve"> entitet (UPE), ili ako strani UPE sa s</w:t>
      </w:r>
      <w:r w:rsidR="00751B3B">
        <w:t>j</w:t>
      </w:r>
      <w:r w:rsidR="00751B3B" w:rsidRPr="00751B3B">
        <w:t xml:space="preserve">edištem izabere svoju crnogorsku rezidentnu filijalu kao posrednički </w:t>
      </w:r>
      <w:r w:rsidR="00751B3B">
        <w:t xml:space="preserve">matični </w:t>
      </w:r>
      <w:r w:rsidR="00751B3B" w:rsidRPr="00751B3B">
        <w:t xml:space="preserve">entitet, Poreska </w:t>
      </w:r>
      <w:r w:rsidR="00751B3B">
        <w:t>uprava</w:t>
      </w:r>
      <w:r w:rsidR="00751B3B" w:rsidRPr="00751B3B">
        <w:t xml:space="preserve"> Crne Gore se obavezuje da ponovo razmotri i proširi procedure u ovom dokumentu koje se odnose na slanje CbC izvještaja partnerskim jurisdikci</w:t>
      </w:r>
      <w:r w:rsidR="00751B3B">
        <w:t>j</w:t>
      </w:r>
      <w:r w:rsidR="00751B3B" w:rsidRPr="00751B3B">
        <w:t>ama.</w:t>
      </w:r>
      <w:r w:rsidR="00751B3B">
        <w:t xml:space="preserve"> </w:t>
      </w:r>
      <w:r w:rsidR="00F034D1" w:rsidRPr="00F034D1">
        <w:t>Takve revizije mogu uključivati, ali ne bi bile ograničene na:</w:t>
      </w:r>
      <w:r w:rsidR="00F034D1">
        <w:br/>
      </w:r>
      <w:r w:rsidR="00F034D1">
        <w:br/>
        <w:t>- Ažuriranje poreske baze podataka za dostavljanje podataka kako bi se osiguralo da CbC izvještaji mogu biti prihvaćeni;</w:t>
      </w:r>
    </w:p>
    <w:p w:rsidR="00F034D1" w:rsidRDefault="00F034D1" w:rsidP="00F034D1">
      <w:r>
        <w:t>- Objavljivanje smjernica koje zahtijevaju da se takvi izvještaji podnose u skladu sa XML šemom kako je navedeno u smjernicama OECD-a;</w:t>
      </w:r>
    </w:p>
    <w:p w:rsidR="00F034D1" w:rsidRDefault="00F034D1" w:rsidP="00F034D1">
      <w:r>
        <w:t xml:space="preserve">- Obučavanje osoblja iz odjeljenja </w:t>
      </w:r>
      <w:r w:rsidRPr="00B243DC">
        <w:rPr>
          <w:color w:val="262626" w:themeColor="text1" w:themeTint="D9"/>
        </w:rPr>
        <w:t xml:space="preserve">Medjunarodne saradnje </w:t>
      </w:r>
      <w:r w:rsidR="00A06967">
        <w:t xml:space="preserve">i </w:t>
      </w:r>
      <w:r w:rsidR="000B49C2">
        <w:t xml:space="preserve">iz odjeljenja VPO-a, </w:t>
      </w:r>
      <w:r>
        <w:t>o validaciji CbC izvještaja primljenih u odnosu na XML šemu;</w:t>
      </w:r>
    </w:p>
    <w:p w:rsidR="008D4D9C" w:rsidRDefault="00F034D1" w:rsidP="00F034D1">
      <w:pPr>
        <w:rPr>
          <w:rStyle w:val="Heading1Char"/>
        </w:rPr>
      </w:pPr>
      <w:r>
        <w:t>- Sva druga ažuriranja koja mogu biti potrebna da bi se obezbijedila usklađenost sa zadatkom u vezi sa slanjem CbC izvještaja partnerskim jurisdikcijama.</w:t>
      </w:r>
      <w:r>
        <w:br/>
      </w:r>
      <w:r>
        <w:br/>
      </w:r>
      <w:r w:rsidRPr="00F034D1">
        <w:rPr>
          <w:rStyle w:val="Heading1Char"/>
        </w:rPr>
        <w:lastRenderedPageBreak/>
        <w:t>CbC izveštaji primljeni od partnerskih jurisdikcija</w:t>
      </w:r>
      <w:r w:rsidR="009847C8">
        <w:rPr>
          <w:rStyle w:val="Heading1Char"/>
        </w:rPr>
        <w:br/>
      </w:r>
    </w:p>
    <w:p w:rsidR="00063579" w:rsidRDefault="00B243DC" w:rsidP="00063579">
      <w:r>
        <w:t>Ministarstvo Finansija</w:t>
      </w:r>
      <w:r w:rsidR="00063579">
        <w:t xml:space="preserve"> je podnije</w:t>
      </w:r>
      <w:r>
        <w:t xml:space="preserve">lo </w:t>
      </w:r>
      <w:r w:rsidR="00063579">
        <w:t xml:space="preserve">obavještenje Koordinacionom tijelu MCAA o obavještavanju kao nerecipročnoj nadležnosti. </w:t>
      </w:r>
      <w:r>
        <w:t xml:space="preserve">PUCG </w:t>
      </w:r>
      <w:r w:rsidR="00063579">
        <w:t xml:space="preserve">stoga neće primati CbC izvještaje o razmjeni od partnerskih jurisdikcija. </w:t>
      </w:r>
    </w:p>
    <w:p w:rsidR="00B243DC" w:rsidRDefault="00063579" w:rsidP="008528EC">
      <w:r>
        <w:t>Kada, u budućnosti,</w:t>
      </w:r>
      <w:r w:rsidR="00B243DC">
        <w:t xml:space="preserve"> Crna Gora bude</w:t>
      </w:r>
      <w:r>
        <w:t xml:space="preserve"> </w:t>
      </w:r>
      <w:r w:rsidR="00B243DC">
        <w:t>saopštena</w:t>
      </w:r>
      <w:r>
        <w:t xml:space="preserve"> kao recipročna nadležnost, </w:t>
      </w:r>
      <w:r w:rsidR="00B243DC">
        <w:t>PUCG</w:t>
      </w:r>
      <w:r>
        <w:t xml:space="preserve"> će slijediti procedure navedene u nastavku. Međutim, </w:t>
      </w:r>
      <w:r w:rsidR="00B243DC">
        <w:t>PU</w:t>
      </w:r>
      <w:r>
        <w:t xml:space="preserve"> se obavezuje da će ponovo razmotriti i proširiti procedure u ovom dokumentu koje se odnose na prijem CbC izvještaja iz partnerskih jurisdikcija pošto stekne dalje iskustvo sa AEOI i podacima izvještavanja po zemljama.</w:t>
      </w:r>
      <w:r>
        <w:br/>
      </w:r>
      <w:r>
        <w:br/>
        <w:t xml:space="preserve">Odjeljenje za Međunarodnu saradnju </w:t>
      </w:r>
      <w:r w:rsidRPr="00063579">
        <w:t>će imati odgovornost za prijem svih CbC izv</w:t>
      </w:r>
      <w:r>
        <w:t>j</w:t>
      </w:r>
      <w:r w:rsidRPr="00063579">
        <w:t>eštaja iz partnerskih jurisdikcija. Radeći sa IT od</w:t>
      </w:r>
      <w:r>
        <w:t>j</w:t>
      </w:r>
      <w:r w:rsidRPr="00063579">
        <w:t>eljenjem, oni će kupiti softversko r</w:t>
      </w:r>
      <w:r w:rsidR="00B243DC">
        <w:t>j</w:t>
      </w:r>
      <w:r w:rsidRPr="00063579">
        <w:t>ešenje za povezivanje sa CTS-om u svrhu preuzimanja i dešifrovanja CbC izv</w:t>
      </w:r>
      <w:r>
        <w:t>j</w:t>
      </w:r>
      <w:r w:rsidRPr="00063579">
        <w:t>eštaja primljenih na razm</w:t>
      </w:r>
      <w:r>
        <w:t>j</w:t>
      </w:r>
      <w:r w:rsidRPr="00063579">
        <w:t>eni.</w:t>
      </w:r>
      <w:r>
        <w:t xml:space="preserve"> </w:t>
      </w:r>
    </w:p>
    <w:p w:rsidR="008528EC" w:rsidRDefault="00063579" w:rsidP="008528EC">
      <w:r w:rsidRPr="00063579">
        <w:t>Ovaj sistem će automatski preuzeti CbC izv</w:t>
      </w:r>
      <w:r>
        <w:t>j</w:t>
      </w:r>
      <w:r w:rsidRPr="00063579">
        <w:t>eštaje primljene na razm</w:t>
      </w:r>
      <w:r>
        <w:t>j</w:t>
      </w:r>
      <w:r w:rsidRPr="00063579">
        <w:t xml:space="preserve">eni </w:t>
      </w:r>
      <w:r w:rsidR="00CC436E">
        <w:t xml:space="preserve">od </w:t>
      </w:r>
      <w:r w:rsidRPr="00063579">
        <w:t>CTS-a u internu bazu podataka. Kao d</w:t>
      </w:r>
      <w:r w:rsidR="00CC436E">
        <w:t>i</w:t>
      </w:r>
      <w:r w:rsidRPr="00063579">
        <w:t xml:space="preserve">o toga, </w:t>
      </w:r>
      <w:r w:rsidR="00CC436E" w:rsidRPr="00B243DC">
        <w:t>Odjeljenje VPO</w:t>
      </w:r>
      <w:r w:rsidRPr="00063579">
        <w:t xml:space="preserve"> će izvršiti pregled podataka na visokom nivou kako bi se uv</w:t>
      </w:r>
      <w:r w:rsidR="00CC436E">
        <w:t>j</w:t>
      </w:r>
      <w:r w:rsidRPr="00063579">
        <w:t>eri</w:t>
      </w:r>
      <w:r w:rsidR="00CC436E">
        <w:t xml:space="preserve">li </w:t>
      </w:r>
      <w:r w:rsidRPr="00063579">
        <w:t xml:space="preserve"> da nema grešaka ili podataka koji nedostaju. Kada se otkriju greške ili podaci koji nedostaju, </w:t>
      </w:r>
      <w:r w:rsidR="00CC436E" w:rsidRPr="00B243DC">
        <w:t xml:space="preserve">odjeljenje </w:t>
      </w:r>
      <w:r w:rsidR="00B243DC">
        <w:t xml:space="preserve">za </w:t>
      </w:r>
      <w:r w:rsidR="00CC436E" w:rsidRPr="00B243DC">
        <w:t>Me</w:t>
      </w:r>
      <w:r w:rsidR="00B243DC">
        <w:t>đ</w:t>
      </w:r>
      <w:r w:rsidR="00CC436E" w:rsidRPr="00B243DC">
        <w:t>unarodn</w:t>
      </w:r>
      <w:r w:rsidR="00B243DC">
        <w:t>u</w:t>
      </w:r>
      <w:r w:rsidR="00CC436E" w:rsidRPr="00B243DC">
        <w:t xml:space="preserve"> saradnj</w:t>
      </w:r>
      <w:r w:rsidR="00B243DC">
        <w:t>u</w:t>
      </w:r>
      <w:r w:rsidRPr="00B243DC">
        <w:t xml:space="preserve"> će</w:t>
      </w:r>
      <w:r w:rsidRPr="00063579">
        <w:t xml:space="preserve"> obav</w:t>
      </w:r>
      <w:r w:rsidR="00CC436E">
        <w:t>ij</w:t>
      </w:r>
      <w:r w:rsidRPr="00063579">
        <w:t>estiti jurisdikciju koja šalje kako bi toj jurisdikciji dozvolila da ispravi problem. Štaviše, ako se primi poruka o grešci i CbC izv</w:t>
      </w:r>
      <w:r w:rsidR="00CC436E">
        <w:t>j</w:t>
      </w:r>
      <w:r w:rsidRPr="00063579">
        <w:t xml:space="preserve">eštaj nije u mogućnosti da se izdvoji iz CTS-a, </w:t>
      </w:r>
      <w:r w:rsidR="00CC436E" w:rsidRPr="00B243DC">
        <w:t>odjeljenje</w:t>
      </w:r>
      <w:r w:rsidR="00B243DC">
        <w:t xml:space="preserve"> za</w:t>
      </w:r>
      <w:r w:rsidR="00CC436E" w:rsidRPr="00B243DC">
        <w:t xml:space="preserve"> Medjunarodn</w:t>
      </w:r>
      <w:r w:rsidR="00B243DC">
        <w:t xml:space="preserve">u </w:t>
      </w:r>
      <w:r w:rsidR="00CC436E" w:rsidRPr="00B243DC">
        <w:t>saradnj</w:t>
      </w:r>
      <w:r w:rsidR="00B243DC">
        <w:t>u</w:t>
      </w:r>
      <w:r w:rsidRPr="00063579">
        <w:t xml:space="preserve"> će obav</w:t>
      </w:r>
      <w:r w:rsidR="00CC436E">
        <w:t>ij</w:t>
      </w:r>
      <w:r w:rsidRPr="00063579">
        <w:t>estiti nadležnost za slanje.</w:t>
      </w:r>
      <w:r w:rsidR="00CC436E">
        <w:br/>
      </w:r>
      <w:r w:rsidR="00CC436E">
        <w:br/>
      </w:r>
      <w:r w:rsidR="00CC436E" w:rsidRPr="00CC436E">
        <w:t>Svi CbC izv</w:t>
      </w:r>
      <w:r w:rsidR="00CC436E">
        <w:t>j</w:t>
      </w:r>
      <w:r w:rsidR="00CC436E" w:rsidRPr="00CC436E">
        <w:t>eštaji primljeni na razm</w:t>
      </w:r>
      <w:r w:rsidR="00CC436E">
        <w:t>j</w:t>
      </w:r>
      <w:r w:rsidR="00CC436E" w:rsidRPr="00CC436E">
        <w:t xml:space="preserve">eni biće uskladišteni u bazi podataka </w:t>
      </w:r>
      <w:r w:rsidR="00CC436E">
        <w:t>Poreske uprave Crne Gore.</w:t>
      </w:r>
      <w:r w:rsidR="00CC436E" w:rsidRPr="00CC436E">
        <w:t xml:space="preserve"> Kada </w:t>
      </w:r>
      <w:r w:rsidR="00CC436E" w:rsidRPr="00B243DC">
        <w:t xml:space="preserve">poreski </w:t>
      </w:r>
      <w:r w:rsidR="000B49C2" w:rsidRPr="00B243DC">
        <w:t>inspektor</w:t>
      </w:r>
      <w:r w:rsidR="00CC436E" w:rsidRPr="00B243DC">
        <w:t xml:space="preserve"> zatraži pristup CbC izveštaju, </w:t>
      </w:r>
      <w:r w:rsidR="00B243DC">
        <w:t>o</w:t>
      </w:r>
      <w:r w:rsidR="000B49C2" w:rsidRPr="00B243DC">
        <w:t>djeljenje za Međunarodnu saradnju</w:t>
      </w:r>
      <w:r w:rsidR="00CC436E" w:rsidRPr="00B243DC">
        <w:t xml:space="preserve"> će izvršiti</w:t>
      </w:r>
      <w:r w:rsidR="00CC436E" w:rsidRPr="00CC436E">
        <w:t xml:space="preserve"> sl</w:t>
      </w:r>
      <w:r w:rsidR="008528EC">
        <w:t>j</w:t>
      </w:r>
      <w:r w:rsidR="00CC436E" w:rsidRPr="00CC436E">
        <w:t>edeće korake.</w:t>
      </w:r>
      <w:r w:rsidR="008528EC">
        <w:br/>
      </w:r>
      <w:r w:rsidR="008528EC">
        <w:br/>
        <w:t>1. Evidentiranje Zahtjeva – uključujući detalje o tome ko traži CbC izvještaj i svrhu za koju ga zahtijeva.</w:t>
      </w:r>
    </w:p>
    <w:p w:rsidR="008528EC" w:rsidRPr="00B243DC" w:rsidRDefault="008528EC" w:rsidP="008528EC">
      <w:r>
        <w:t xml:space="preserve">2. Potvrđivanje zahtjeva </w:t>
      </w:r>
      <w:r w:rsidRPr="00B243DC">
        <w:t xml:space="preserve">–  </w:t>
      </w:r>
      <w:r w:rsidR="00B243DC">
        <w:t>o</w:t>
      </w:r>
      <w:r w:rsidRPr="00B243DC">
        <w:t>djeljenje za Medjunarodnu saradnju će potvrditi da CbC izv</w:t>
      </w:r>
      <w:r w:rsidR="00B243DC">
        <w:t>j</w:t>
      </w:r>
      <w:r w:rsidRPr="00B243DC">
        <w:t xml:space="preserve">eštaj za relevantni entitet postoji, da je primljen i da ne sadrži greške. Štaviše, oni će tražiti potvrdu od poreskog </w:t>
      </w:r>
      <w:r w:rsidR="000B49C2" w:rsidRPr="00B243DC">
        <w:t xml:space="preserve">inspektora </w:t>
      </w:r>
      <w:r w:rsidRPr="00B243DC">
        <w:t xml:space="preserve">da je on ili ona upoznat sa zahtjevima u pogledu odgovarajuće upotrebe CbCR podataka. Kada se zahtjev smatra validnim </w:t>
      </w:r>
      <w:r w:rsidR="00C707FC" w:rsidRPr="00B243DC">
        <w:t xml:space="preserve">i </w:t>
      </w:r>
      <w:r w:rsidR="00B243DC">
        <w:t>o</w:t>
      </w:r>
      <w:r w:rsidR="00C707FC" w:rsidRPr="00B243DC">
        <w:t>djeljenje za Medjunarodnu saradnju</w:t>
      </w:r>
      <w:r w:rsidRPr="00B243DC">
        <w:t xml:space="preserve"> se uv</w:t>
      </w:r>
      <w:r w:rsidR="00C707FC" w:rsidRPr="00B243DC">
        <w:t>j</w:t>
      </w:r>
      <w:r w:rsidRPr="00B243DC">
        <w:t xml:space="preserve">eri da će poreski </w:t>
      </w:r>
      <w:r w:rsidR="000B49C2" w:rsidRPr="00B243DC">
        <w:t>inspektor</w:t>
      </w:r>
      <w:r w:rsidRPr="00B243DC">
        <w:t xml:space="preserve"> poštovati odgovarajuću upotrebu CbC izv</w:t>
      </w:r>
      <w:r w:rsidR="00C707FC" w:rsidRPr="00B243DC">
        <w:t>j</w:t>
      </w:r>
      <w:r w:rsidRPr="00B243DC">
        <w:t>eštaja, oni će prikupiti traženi izv</w:t>
      </w:r>
      <w:r w:rsidR="00C707FC" w:rsidRPr="00B243DC">
        <w:t>j</w:t>
      </w:r>
      <w:r w:rsidRPr="00B243DC">
        <w:t>eštaj i pod</w:t>
      </w:r>
      <w:r w:rsidR="00C707FC" w:rsidRPr="00B243DC">
        <w:t>ij</w:t>
      </w:r>
      <w:r w:rsidRPr="00B243DC">
        <w:t xml:space="preserve">eliti ga sa poreskim </w:t>
      </w:r>
      <w:r w:rsidR="000B49C2" w:rsidRPr="00B243DC">
        <w:t>inspektorom</w:t>
      </w:r>
      <w:r w:rsidRPr="00B243DC">
        <w:t>. Izv</w:t>
      </w:r>
      <w:r w:rsidR="00C707FC" w:rsidRPr="00B243DC">
        <w:t>j</w:t>
      </w:r>
      <w:r w:rsidRPr="00B243DC">
        <w:t xml:space="preserve">eštaj će sadržati vodeni žig i odricanje odgovornosti, u kojem se navodi da se </w:t>
      </w:r>
      <w:r w:rsidR="00B243DC">
        <w:t xml:space="preserve">izvještaj </w:t>
      </w:r>
      <w:r w:rsidRPr="00B243DC">
        <w:t>može koristiti samo u svrhu transfernih c</w:t>
      </w:r>
      <w:r w:rsidR="00C707FC" w:rsidRPr="00B243DC">
        <w:t>ij</w:t>
      </w:r>
      <w:r w:rsidRPr="00B243DC">
        <w:t>ena na visokom nivou i proc</w:t>
      </w:r>
      <w:r w:rsidR="00C707FC" w:rsidRPr="00B243DC">
        <w:t>j</w:t>
      </w:r>
      <w:r w:rsidRPr="00B243DC">
        <w:t xml:space="preserve">ene rizika u vezi sa BEPS-om, kao i ekonomske i statističke analize, gde je to prikladno. </w:t>
      </w:r>
      <w:r w:rsidR="000B49C2" w:rsidRPr="00B243DC">
        <w:t>Inspektor</w:t>
      </w:r>
      <w:r w:rsidRPr="00B243DC">
        <w:t xml:space="preserve"> neće dalje d</w:t>
      </w:r>
      <w:r w:rsidR="00C707FC" w:rsidRPr="00B243DC">
        <w:t>ij</w:t>
      </w:r>
      <w:r w:rsidRPr="00B243DC">
        <w:t xml:space="preserve">eliti CbC izveštaj sa bilo kojim drugim </w:t>
      </w:r>
      <w:r w:rsidR="000B49C2" w:rsidRPr="00B243DC">
        <w:t>inspektorima</w:t>
      </w:r>
      <w:r w:rsidRPr="00B243DC">
        <w:t xml:space="preserve">, i svaki </w:t>
      </w:r>
      <w:r w:rsidR="000B49C2" w:rsidRPr="00B243DC">
        <w:t>poreski inspektor</w:t>
      </w:r>
      <w:r w:rsidRPr="00B243DC">
        <w:t xml:space="preserve"> će podneti individualni zaht</w:t>
      </w:r>
      <w:r w:rsidR="00C707FC" w:rsidRPr="00B243DC">
        <w:t>j</w:t>
      </w:r>
      <w:r w:rsidRPr="00B243DC">
        <w:t>ev za pristup CbC izv</w:t>
      </w:r>
      <w:r w:rsidR="000B49C2" w:rsidRPr="00B243DC">
        <w:t>j</w:t>
      </w:r>
      <w:r w:rsidRPr="00B243DC">
        <w:t>eštaju.</w:t>
      </w:r>
    </w:p>
    <w:p w:rsidR="008528EC" w:rsidRPr="00B243DC" w:rsidRDefault="008528EC" w:rsidP="008528EC">
      <w:r w:rsidRPr="00B243DC">
        <w:t>3. Odgovor na zaht</w:t>
      </w:r>
      <w:r w:rsidR="00C707FC" w:rsidRPr="00B243DC">
        <w:t>j</w:t>
      </w:r>
      <w:r w:rsidRPr="00B243DC">
        <w:t>ev – Izv</w:t>
      </w:r>
      <w:r w:rsidR="00C707FC" w:rsidRPr="00B243DC">
        <w:t>j</w:t>
      </w:r>
      <w:r w:rsidRPr="00B243DC">
        <w:t>eštaj CbC-a se d</w:t>
      </w:r>
      <w:r w:rsidR="00C707FC" w:rsidRPr="00B243DC">
        <w:t>ij</w:t>
      </w:r>
      <w:r w:rsidRPr="00B243DC">
        <w:t xml:space="preserve">eli sa poreskim </w:t>
      </w:r>
      <w:r w:rsidR="000B49C2" w:rsidRPr="00B243DC">
        <w:t>inspektorom</w:t>
      </w:r>
      <w:r w:rsidRPr="00B243DC">
        <w:t>, zajedno sa uputstvima da nakon završetka proc</w:t>
      </w:r>
      <w:r w:rsidR="00C707FC" w:rsidRPr="00B243DC">
        <w:t>j</w:t>
      </w:r>
      <w:r w:rsidRPr="00B243DC">
        <w:t>ene rizika dosije ne treba čuvati lokalno ili koristiti u bilo koju drugu svrhu.</w:t>
      </w:r>
    </w:p>
    <w:p w:rsidR="009847C8" w:rsidRDefault="008528EC" w:rsidP="008528EC">
      <w:r w:rsidRPr="00B243DC">
        <w:t xml:space="preserve">4. Povratne informacije – </w:t>
      </w:r>
      <w:r w:rsidR="00C707FC" w:rsidRPr="00B243DC">
        <w:t>Odjeljenje za Medjunarodnu saradnju</w:t>
      </w:r>
      <w:r>
        <w:t xml:space="preserve"> će zatražiti povratnu informaciju od poreskog </w:t>
      </w:r>
      <w:r w:rsidR="000B49C2">
        <w:t>inspektora</w:t>
      </w:r>
      <w:r>
        <w:t xml:space="preserve"> o tome kako je CbC izv</w:t>
      </w:r>
      <w:r w:rsidR="00C707FC">
        <w:t>j</w:t>
      </w:r>
      <w:r>
        <w:t>eštaj korišćen i da li je njegovo korišćenje dovelo do prilagođavanja poreza.</w:t>
      </w:r>
      <w:r w:rsidR="00C707FC">
        <w:br/>
      </w:r>
    </w:p>
    <w:p w:rsidR="0018731C" w:rsidRDefault="00C707FC" w:rsidP="0018731C">
      <w:r w:rsidRPr="00C707FC">
        <w:lastRenderedPageBreak/>
        <w:t xml:space="preserve">Kada </w:t>
      </w:r>
      <w:r w:rsidR="0018731C">
        <w:t>službenici</w:t>
      </w:r>
      <w:r w:rsidRPr="00C707FC">
        <w:t xml:space="preserve"> </w:t>
      </w:r>
      <w:r>
        <w:t xml:space="preserve">Poreske uprave Crne Gore iz </w:t>
      </w:r>
      <w:r w:rsidR="00B243DC">
        <w:t>o</w:t>
      </w:r>
      <w:r>
        <w:t>djeljenja za Međunarodnu saradnju</w:t>
      </w:r>
      <w:r w:rsidRPr="00C707FC">
        <w:t xml:space="preserve"> sazna</w:t>
      </w:r>
      <w:r w:rsidR="00C40DBC">
        <w:t>ju</w:t>
      </w:r>
      <w:r w:rsidRPr="00C707FC">
        <w:t xml:space="preserve"> za bilo kakvu neprikladnu upotrebu CbC izv</w:t>
      </w:r>
      <w:r>
        <w:t>j</w:t>
      </w:r>
      <w:r w:rsidRPr="00C707FC">
        <w:t>eštaja</w:t>
      </w:r>
      <w:r w:rsidR="007809F0">
        <w:t>,</w:t>
      </w:r>
      <w:r w:rsidRPr="00C707FC">
        <w:t xml:space="preserve"> koji se d</w:t>
      </w:r>
      <w:r>
        <w:t>ij</w:t>
      </w:r>
      <w:r w:rsidRPr="00C707FC">
        <w:t xml:space="preserve">ele sa poreskim </w:t>
      </w:r>
      <w:r w:rsidR="000B49C2">
        <w:t>inspektorim</w:t>
      </w:r>
      <w:r w:rsidRPr="00C707FC">
        <w:t>a, odmah će obav</w:t>
      </w:r>
      <w:r>
        <w:t>ij</w:t>
      </w:r>
      <w:r w:rsidRPr="00C707FC">
        <w:t>estiti OECD CbC sekretarijat.</w:t>
      </w:r>
      <w:r w:rsidR="0018731C">
        <w:br/>
      </w:r>
      <w:r w:rsidR="0018731C">
        <w:br/>
      </w:r>
      <w:r w:rsidR="0018731C">
        <w:br/>
      </w:r>
      <w:r w:rsidR="0018731C">
        <w:br/>
      </w:r>
      <w:r w:rsidR="0018731C">
        <w:br/>
      </w:r>
      <w:r w:rsidR="0018731C">
        <w:br/>
      </w:r>
      <w:r w:rsidR="0018731C" w:rsidRPr="0018731C">
        <w:rPr>
          <w:rStyle w:val="Heading1Char"/>
        </w:rPr>
        <w:t>Pristup CbCR informacijama</w:t>
      </w:r>
    </w:p>
    <w:p w:rsidR="00B243DC" w:rsidRDefault="0018731C" w:rsidP="0018731C">
      <w:pPr>
        <w:rPr>
          <w:rStyle w:val="Heading1Char"/>
        </w:rPr>
      </w:pPr>
      <w:r w:rsidRPr="0018731C">
        <w:rPr>
          <w:rStyle w:val="Heading1Char"/>
        </w:rPr>
        <w:t xml:space="preserve">Pristup </w:t>
      </w:r>
      <w:r w:rsidR="00B243DC">
        <w:rPr>
          <w:rStyle w:val="Heading1Char"/>
        </w:rPr>
        <w:t>službenika</w:t>
      </w:r>
    </w:p>
    <w:p w:rsidR="0018731C" w:rsidRDefault="0018731C" w:rsidP="0018731C">
      <w:r>
        <w:t>Sv</w:t>
      </w:r>
      <w:r w:rsidR="00C40DBC">
        <w:t>i</w:t>
      </w:r>
      <w:r>
        <w:t xml:space="preserve"> CbC izv</w:t>
      </w:r>
      <w:r w:rsidR="000B49C2">
        <w:t>j</w:t>
      </w:r>
      <w:r>
        <w:t>eštaj</w:t>
      </w:r>
      <w:r w:rsidR="00C40DBC">
        <w:t>i</w:t>
      </w:r>
      <w:r>
        <w:t xml:space="preserve"> </w:t>
      </w:r>
      <w:r w:rsidR="00201538">
        <w:t>ć</w:t>
      </w:r>
      <w:r>
        <w:t xml:space="preserve">e se pripremati u Sektoru za Međunarodnu saradnju u okviru </w:t>
      </w:r>
      <w:r w:rsidR="00201538">
        <w:t>PU</w:t>
      </w:r>
      <w:r>
        <w:t xml:space="preserve"> Crne Gore. </w:t>
      </w:r>
    </w:p>
    <w:p w:rsidR="0018731C" w:rsidRDefault="0018731C" w:rsidP="0018731C">
      <w:r>
        <w:t xml:space="preserve"> U sektoru Međunarodne saradnje ima 4 zaposlenih:</w:t>
      </w:r>
    </w:p>
    <w:p w:rsidR="0018731C" w:rsidRDefault="0018731C" w:rsidP="0018731C">
      <w:r>
        <w:t>- Načelnik sektora</w:t>
      </w:r>
    </w:p>
    <w:p w:rsidR="0018731C" w:rsidRDefault="0018731C" w:rsidP="0018731C">
      <w:r>
        <w:t>- Samostalni savjetnik I</w:t>
      </w:r>
      <w:r w:rsidR="000B49C2">
        <w:t xml:space="preserve"> (EOIR)</w:t>
      </w:r>
    </w:p>
    <w:p w:rsidR="0018731C" w:rsidRDefault="0018731C" w:rsidP="0018731C">
      <w:r>
        <w:t>- Samostalni savjetnik I</w:t>
      </w:r>
      <w:r w:rsidR="000B49C2">
        <w:t xml:space="preserve"> (AEOI)</w:t>
      </w:r>
    </w:p>
    <w:p w:rsidR="0018731C" w:rsidRDefault="0018731C" w:rsidP="0018731C">
      <w:r>
        <w:t xml:space="preserve">- Samostalni savjetnik </w:t>
      </w:r>
      <w:r w:rsidR="000B49C2">
        <w:t>(AEOI)</w:t>
      </w:r>
    </w:p>
    <w:p w:rsidR="0018731C" w:rsidRDefault="0018731C" w:rsidP="0018731C"/>
    <w:p w:rsidR="00201538" w:rsidRDefault="0018731C" w:rsidP="0018731C">
      <w:r>
        <w:t xml:space="preserve">Svi zaposleni u </w:t>
      </w:r>
      <w:r w:rsidR="00D14EB8">
        <w:t>sektoru za Međunarodnu saradnju</w:t>
      </w:r>
      <w:r>
        <w:t xml:space="preserve"> izv</w:t>
      </w:r>
      <w:r w:rsidR="00D14EB8">
        <w:t>j</w:t>
      </w:r>
      <w:r>
        <w:t xml:space="preserve">eštavaju </w:t>
      </w:r>
      <w:r w:rsidR="00201538">
        <w:t xml:space="preserve">načelnika odjeljenja za međunarodnu saradnju. </w:t>
      </w:r>
      <w:r w:rsidR="000B49C2" w:rsidRPr="000B49C2">
        <w:t xml:space="preserve">Starješina organa Poreske uprave i načelnik </w:t>
      </w:r>
      <w:r w:rsidR="00201538">
        <w:t xml:space="preserve">odjeljenja </w:t>
      </w:r>
      <w:r w:rsidR="000B49C2" w:rsidRPr="000B49C2">
        <w:t xml:space="preserve">za </w:t>
      </w:r>
      <w:r w:rsidR="00201538">
        <w:t>m</w:t>
      </w:r>
      <w:r w:rsidR="000B49C2" w:rsidRPr="000B49C2">
        <w:t>eđunarodnu saradnju</w:t>
      </w:r>
      <w:r w:rsidR="00201538" w:rsidRPr="00201538">
        <w:t xml:space="preserve"> su ovlašćeni potpisnici za P</w:t>
      </w:r>
      <w:r w:rsidR="00201538">
        <w:t>U</w:t>
      </w:r>
      <w:r w:rsidR="00201538" w:rsidRPr="00201538">
        <w:t xml:space="preserve"> Crne Gore.</w:t>
      </w:r>
    </w:p>
    <w:p w:rsidR="0018731C" w:rsidRDefault="0018731C" w:rsidP="0018731C">
      <w:r>
        <w:t>Samo 4 zaposlena u sektoru za Međunarodnu saradnju ima</w:t>
      </w:r>
      <w:r w:rsidR="00D14EB8">
        <w:t>ju</w:t>
      </w:r>
      <w:r>
        <w:t xml:space="preserve"> pristup bazi podataka u kojoj se čuvaju CbC izvještaji primljeni od </w:t>
      </w:r>
      <w:r w:rsidR="00201538">
        <w:t xml:space="preserve">crnogorskih </w:t>
      </w:r>
      <w:r>
        <w:t>UPE-</w:t>
      </w:r>
      <w:r w:rsidR="00201538">
        <w:t xml:space="preserve">ova </w:t>
      </w:r>
      <w:r>
        <w:t xml:space="preserve">i </w:t>
      </w:r>
      <w:r w:rsidR="00201538">
        <w:t xml:space="preserve">oni koji su </w:t>
      </w:r>
      <w:r>
        <w:t>razmjen</w:t>
      </w:r>
      <w:r w:rsidR="00201538">
        <w:t>jeni</w:t>
      </w:r>
      <w:r>
        <w:t xml:space="preserve"> </w:t>
      </w:r>
      <w:r w:rsidR="00201538">
        <w:t xml:space="preserve">sa </w:t>
      </w:r>
      <w:r>
        <w:t>partnersk</w:t>
      </w:r>
      <w:r w:rsidR="00201538">
        <w:t xml:space="preserve">im </w:t>
      </w:r>
      <w:r>
        <w:t>jurisdikcija</w:t>
      </w:r>
      <w:r w:rsidR="00201538">
        <w:t>ma.</w:t>
      </w:r>
    </w:p>
    <w:p w:rsidR="00D14EB8" w:rsidRDefault="0018731C" w:rsidP="00D14EB8">
      <w:r>
        <w:t xml:space="preserve">Sektor za </w:t>
      </w:r>
      <w:r w:rsidR="009073D7">
        <w:t>m</w:t>
      </w:r>
      <w:r>
        <w:t>eđunarodnu saradnju vodi evidenciju o licima koja imaju, ili su imala pristup dostavljenim CbCR informacijama.</w:t>
      </w:r>
      <w:r>
        <w:br/>
      </w:r>
      <w:r>
        <w:br/>
      </w:r>
      <w:r w:rsidRPr="0018731C">
        <w:rPr>
          <w:rStyle w:val="Heading1Char"/>
        </w:rPr>
        <w:t>Zaštitne mjere za pristup CbCR informacijama</w:t>
      </w:r>
      <w:r w:rsidR="00D14EB8">
        <w:rPr>
          <w:rStyle w:val="Heading1Char"/>
        </w:rPr>
        <w:br/>
      </w:r>
      <w:r w:rsidR="00D14EB8">
        <w:rPr>
          <w:rStyle w:val="Heading1Char"/>
        </w:rPr>
        <w:br/>
      </w:r>
      <w:r w:rsidR="00D14EB8">
        <w:t>CbCR informacije su dostupne samo u</w:t>
      </w:r>
      <w:r w:rsidR="009073D7">
        <w:t xml:space="preserve">nutar EOI baze podataka poreskih informacija Crne Gore. </w:t>
      </w:r>
      <w:r w:rsidR="00D14EB8">
        <w:t xml:space="preserve">Kada poreski </w:t>
      </w:r>
      <w:r w:rsidR="000B49C2">
        <w:t>inspektor</w:t>
      </w:r>
      <w:r w:rsidR="00D14EB8">
        <w:t xml:space="preserve"> zatraži pristup CbC izvještaju da bi izvršio procjenu rizika, primjeniće se sljedeće mjere zaštite:</w:t>
      </w:r>
    </w:p>
    <w:p w:rsidR="00D14EB8" w:rsidRDefault="00D14EB8" w:rsidP="00D14EB8">
      <w:r>
        <w:t>- Namjeravano korišćenje CbCR informacija mora biti otkriveno sektoru za Međunarodnu saradnju na zahjtev za podatke;</w:t>
      </w:r>
    </w:p>
    <w:p w:rsidR="00D14EB8" w:rsidRPr="009073D7" w:rsidRDefault="00D14EB8" w:rsidP="00D14EB8">
      <w:pPr>
        <w:rPr>
          <w:rStyle w:val="Heading1Char"/>
          <w:rFonts w:asciiTheme="minorHAnsi" w:eastAsiaTheme="minorHAnsi" w:hAnsiTheme="minorHAnsi" w:cstheme="minorBidi"/>
          <w:color w:val="auto"/>
          <w:sz w:val="22"/>
          <w:szCs w:val="22"/>
        </w:rPr>
      </w:pPr>
      <w:r>
        <w:t xml:space="preserve">- Od poreskih </w:t>
      </w:r>
      <w:r w:rsidR="00F85582">
        <w:t>inspektora</w:t>
      </w:r>
      <w:r>
        <w:t xml:space="preserve"> će se tražiti da dostave dokaz o završetku obuke o odgovarajućoj upotrebi OECD-a (dostupnoj na Platformi za razmjenu znanja za poreske uprave (KSP</w:t>
      </w:r>
      <w:r w:rsidR="009073D7">
        <w:t>-</w:t>
      </w:r>
      <w:r w:rsidR="009073D7" w:rsidRPr="009073D7">
        <w:rPr>
          <w:rFonts w:cstheme="minorHAnsi"/>
        </w:rPr>
        <w:t xml:space="preserve"> </w:t>
      </w:r>
      <w:r w:rsidR="009073D7" w:rsidRPr="00273303">
        <w:rPr>
          <w:rFonts w:cstheme="minorHAnsi"/>
        </w:rPr>
        <w:t>Knowledge Sharing Platform</w:t>
      </w:r>
      <w:r>
        <w:t>). Ovo osigurava da će se izvještaji CbC-a koristiti samo za procjenu rizika visokog nivoa i ekonomske i statističke analize , gdje je prikladno</w:t>
      </w:r>
      <w:r w:rsidR="009073D7">
        <w:t>.</w:t>
      </w:r>
      <w:r>
        <w:br/>
      </w:r>
      <w:r>
        <w:br/>
      </w:r>
      <w:r w:rsidRPr="00D14EB8">
        <w:rPr>
          <w:rStyle w:val="Heading1Char"/>
        </w:rPr>
        <w:t>Obaveze prema multilateralnom sporazumu nadležnih organa (MCAA)</w:t>
      </w:r>
    </w:p>
    <w:p w:rsidR="00580F70" w:rsidRPr="00525575" w:rsidRDefault="00D14EB8" w:rsidP="00580F70">
      <w:pPr>
        <w:pStyle w:val="NormalWeb"/>
        <w:rPr>
          <w:rFonts w:asciiTheme="minorHAnsi" w:hAnsiTheme="minorHAnsi" w:cstheme="minorHAnsi"/>
          <w:sz w:val="22"/>
          <w:szCs w:val="22"/>
        </w:rPr>
      </w:pPr>
      <w:r w:rsidRPr="00580F70">
        <w:rPr>
          <w:rStyle w:val="Heading1Char"/>
        </w:rPr>
        <w:lastRenderedPageBreak/>
        <w:t>Značajna neusaglašenost</w:t>
      </w:r>
      <w:r>
        <w:br/>
      </w:r>
      <w:r>
        <w:br/>
      </w:r>
      <w:r w:rsidR="00580F70" w:rsidRPr="00525575">
        <w:rPr>
          <w:rFonts w:asciiTheme="minorHAnsi" w:hAnsiTheme="minorHAnsi" w:cstheme="minorHAnsi"/>
          <w:sz w:val="22"/>
          <w:szCs w:val="22"/>
        </w:rPr>
        <w:t xml:space="preserve">Ako zaposleni u </w:t>
      </w:r>
      <w:r w:rsidR="00F75661" w:rsidRPr="00525575">
        <w:rPr>
          <w:rFonts w:asciiTheme="minorHAnsi" w:hAnsiTheme="minorHAnsi" w:cstheme="minorHAnsi"/>
          <w:sz w:val="22"/>
          <w:szCs w:val="22"/>
        </w:rPr>
        <w:t>Poreskoj upravi Crne Gore</w:t>
      </w:r>
      <w:r w:rsidR="00580F70" w:rsidRPr="00525575">
        <w:rPr>
          <w:rFonts w:asciiTheme="minorHAnsi" w:hAnsiTheme="minorHAnsi" w:cstheme="minorHAnsi"/>
          <w:sz w:val="22"/>
          <w:szCs w:val="22"/>
        </w:rPr>
        <w:t xml:space="preserve"> otkrije da postoji ili je bilo značajnog nepoštovanja od strane nadležnog organa u vezi sa razmjenom informacija o CbC izv</w:t>
      </w:r>
      <w:r w:rsidR="00F75661" w:rsidRPr="00525575">
        <w:rPr>
          <w:rFonts w:asciiTheme="minorHAnsi" w:hAnsiTheme="minorHAnsi" w:cstheme="minorHAnsi"/>
          <w:sz w:val="22"/>
          <w:szCs w:val="22"/>
        </w:rPr>
        <w:t>j</w:t>
      </w:r>
      <w:r w:rsidR="00580F70" w:rsidRPr="00525575">
        <w:rPr>
          <w:rFonts w:asciiTheme="minorHAnsi" w:hAnsiTheme="minorHAnsi" w:cstheme="minorHAnsi"/>
          <w:sz w:val="22"/>
          <w:szCs w:val="22"/>
        </w:rPr>
        <w:t>eštavanju, zaposleni će obavijestiti nadležni organ.</w:t>
      </w:r>
      <w:r w:rsidR="00580F70" w:rsidRPr="00525575">
        <w:rPr>
          <w:rFonts w:asciiTheme="minorHAnsi" w:hAnsiTheme="minorHAnsi" w:cstheme="minorHAnsi"/>
          <w:sz w:val="22"/>
          <w:szCs w:val="22"/>
        </w:rPr>
        <w:br/>
        <w:t>Značajn</w:t>
      </w:r>
      <w:r w:rsidR="00F75661" w:rsidRPr="00525575">
        <w:rPr>
          <w:rFonts w:asciiTheme="minorHAnsi" w:hAnsiTheme="minorHAnsi" w:cstheme="minorHAnsi"/>
          <w:sz w:val="22"/>
          <w:szCs w:val="22"/>
        </w:rPr>
        <w:t>a</w:t>
      </w:r>
      <w:r w:rsidR="00580F70" w:rsidRPr="00525575">
        <w:rPr>
          <w:rFonts w:asciiTheme="minorHAnsi" w:hAnsiTheme="minorHAnsi" w:cstheme="minorHAnsi"/>
          <w:sz w:val="22"/>
          <w:szCs w:val="22"/>
        </w:rPr>
        <w:t xml:space="preserve"> ne</w:t>
      </w:r>
      <w:r w:rsidR="00F75661" w:rsidRPr="00525575">
        <w:rPr>
          <w:rFonts w:asciiTheme="minorHAnsi" w:hAnsiTheme="minorHAnsi" w:cstheme="minorHAnsi"/>
          <w:sz w:val="22"/>
          <w:szCs w:val="22"/>
        </w:rPr>
        <w:t>usaglašenost</w:t>
      </w:r>
      <w:r w:rsidR="00580F70" w:rsidRPr="00525575">
        <w:rPr>
          <w:rFonts w:asciiTheme="minorHAnsi" w:hAnsiTheme="minorHAnsi" w:cstheme="minorHAnsi"/>
          <w:sz w:val="22"/>
          <w:szCs w:val="22"/>
        </w:rPr>
        <w:t xml:space="preserve"> znači nepoštovanje:</w:t>
      </w:r>
    </w:p>
    <w:p w:rsidR="00580F70" w:rsidRPr="00580F70" w:rsidRDefault="00580F70" w:rsidP="00580F70">
      <w:pPr>
        <w:numPr>
          <w:ilvl w:val="0"/>
          <w:numId w:val="1"/>
        </w:numPr>
        <w:spacing w:before="100" w:beforeAutospacing="1" w:after="100" w:afterAutospacing="1" w:line="240" w:lineRule="auto"/>
        <w:rPr>
          <w:rFonts w:eastAsia="Times New Roman" w:cstheme="minorHAnsi"/>
          <w:lang w:eastAsia="hr-HR"/>
        </w:rPr>
      </w:pPr>
      <w:r w:rsidRPr="00580F70">
        <w:rPr>
          <w:rFonts w:eastAsia="Times New Roman" w:cstheme="minorHAnsi"/>
          <w:lang w:eastAsia="hr-HR"/>
        </w:rPr>
        <w:t>stava 1 i 2 Sekcije 5 CBC MCAA;</w:t>
      </w:r>
    </w:p>
    <w:p w:rsidR="00580F70" w:rsidRPr="00580F70" w:rsidRDefault="00580F70" w:rsidP="00580F70">
      <w:pPr>
        <w:numPr>
          <w:ilvl w:val="0"/>
          <w:numId w:val="1"/>
        </w:numPr>
        <w:spacing w:before="100" w:beforeAutospacing="1" w:after="100" w:afterAutospacing="1" w:line="240" w:lineRule="auto"/>
        <w:rPr>
          <w:rFonts w:eastAsia="Times New Roman" w:cstheme="minorHAnsi"/>
          <w:lang w:eastAsia="hr-HR"/>
        </w:rPr>
      </w:pPr>
      <w:r w:rsidRPr="00580F70">
        <w:rPr>
          <w:rFonts w:eastAsia="Times New Roman" w:cstheme="minorHAnsi"/>
          <w:lang w:eastAsia="hr-HR"/>
        </w:rPr>
        <w:t>stava 1 Sekcije 6 CBC MCAA; i/ili</w:t>
      </w:r>
    </w:p>
    <w:p w:rsidR="00580F70" w:rsidRPr="00580F70" w:rsidRDefault="00580F70" w:rsidP="00580F70">
      <w:pPr>
        <w:numPr>
          <w:ilvl w:val="0"/>
          <w:numId w:val="1"/>
        </w:numPr>
        <w:spacing w:before="100" w:beforeAutospacing="1" w:after="100" w:afterAutospacing="1" w:line="240" w:lineRule="auto"/>
        <w:rPr>
          <w:rFonts w:eastAsia="Times New Roman" w:cstheme="minorHAnsi"/>
          <w:lang w:eastAsia="hr-HR"/>
        </w:rPr>
      </w:pPr>
      <w:r w:rsidRPr="00580F70">
        <w:rPr>
          <w:rFonts w:eastAsia="Times New Roman" w:cstheme="minorHAnsi"/>
          <w:lang w:eastAsia="hr-HR"/>
        </w:rPr>
        <w:t xml:space="preserve">odgovarajućih odredbi Konvencije o međusobnoj administrativnoj pomoći u poreskim </w:t>
      </w:r>
      <w:r w:rsidR="00F75661" w:rsidRPr="00525575">
        <w:rPr>
          <w:rFonts w:eastAsia="Times New Roman" w:cstheme="minorHAnsi"/>
          <w:lang w:eastAsia="hr-HR"/>
        </w:rPr>
        <w:t>pitanji</w:t>
      </w:r>
      <w:r w:rsidRPr="00580F70">
        <w:rPr>
          <w:rFonts w:eastAsia="Times New Roman" w:cstheme="minorHAnsi"/>
          <w:lang w:eastAsia="hr-HR"/>
        </w:rPr>
        <w:t>ma (MAAC).</w:t>
      </w:r>
    </w:p>
    <w:p w:rsidR="00F75661" w:rsidRPr="00525575" w:rsidRDefault="00F75661" w:rsidP="00F75661">
      <w:pPr>
        <w:pStyle w:val="Heading1"/>
        <w:rPr>
          <w:rFonts w:asciiTheme="minorHAnsi" w:eastAsia="Times New Roman" w:hAnsiTheme="minorHAnsi" w:cstheme="minorHAnsi"/>
          <w:color w:val="auto"/>
          <w:sz w:val="22"/>
          <w:szCs w:val="22"/>
          <w:lang w:eastAsia="hr-HR"/>
        </w:rPr>
      </w:pPr>
      <w:r w:rsidRPr="00525575">
        <w:rPr>
          <w:rFonts w:asciiTheme="minorHAnsi" w:eastAsia="Times New Roman" w:hAnsiTheme="minorHAnsi" w:cstheme="minorHAnsi"/>
          <w:color w:val="auto"/>
          <w:sz w:val="22"/>
          <w:szCs w:val="22"/>
          <w:lang w:eastAsia="hr-HR"/>
        </w:rPr>
        <w:t xml:space="preserve">Nadležni organ </w:t>
      </w:r>
      <w:r w:rsidR="0061637B">
        <w:rPr>
          <w:rFonts w:asciiTheme="minorHAnsi" w:eastAsia="Times New Roman" w:hAnsiTheme="minorHAnsi" w:cstheme="minorHAnsi"/>
          <w:color w:val="auto"/>
          <w:sz w:val="22"/>
          <w:szCs w:val="22"/>
          <w:lang w:eastAsia="hr-HR"/>
        </w:rPr>
        <w:t>Crne Gore</w:t>
      </w:r>
      <w:r w:rsidRPr="00525575">
        <w:rPr>
          <w:rFonts w:asciiTheme="minorHAnsi" w:eastAsia="Times New Roman" w:hAnsiTheme="minorHAnsi" w:cstheme="minorHAnsi"/>
          <w:color w:val="auto"/>
          <w:sz w:val="22"/>
          <w:szCs w:val="22"/>
          <w:lang w:eastAsia="hr-HR"/>
        </w:rPr>
        <w:t xml:space="preserve"> će se konsultovati sa drugim nadležnim organom prije nego što utvrdi značajnu neusaglašenost od strane drugog nadležnog organa. Ova konsultacija je ključna jer značajna neusaglašenost predstavlja osnovu za obustavljanje razmjene CbC izvještaja. Značaj neusklađenosti sa uslovima koji zaht</w:t>
      </w:r>
      <w:r w:rsidR="00C97CFD" w:rsidRPr="00525575">
        <w:rPr>
          <w:rFonts w:asciiTheme="minorHAnsi" w:eastAsia="Times New Roman" w:hAnsiTheme="minorHAnsi" w:cstheme="minorHAnsi"/>
          <w:color w:val="auto"/>
          <w:sz w:val="22"/>
          <w:szCs w:val="22"/>
          <w:lang w:eastAsia="hr-HR"/>
        </w:rPr>
        <w:t>ij</w:t>
      </w:r>
      <w:r w:rsidRPr="00525575">
        <w:rPr>
          <w:rFonts w:asciiTheme="minorHAnsi" w:eastAsia="Times New Roman" w:hAnsiTheme="minorHAnsi" w:cstheme="minorHAnsi"/>
          <w:color w:val="auto"/>
          <w:sz w:val="22"/>
          <w:szCs w:val="22"/>
          <w:lang w:eastAsia="hr-HR"/>
        </w:rPr>
        <w:t>evaju pov</w:t>
      </w:r>
      <w:r w:rsidR="0061637B">
        <w:rPr>
          <w:rFonts w:asciiTheme="minorHAnsi" w:eastAsia="Times New Roman" w:hAnsiTheme="minorHAnsi" w:cstheme="minorHAnsi"/>
          <w:color w:val="auto"/>
          <w:sz w:val="22"/>
          <w:szCs w:val="22"/>
          <w:lang w:eastAsia="hr-HR"/>
        </w:rPr>
        <w:t>j</w:t>
      </w:r>
      <w:r w:rsidRPr="00525575">
        <w:rPr>
          <w:rFonts w:asciiTheme="minorHAnsi" w:eastAsia="Times New Roman" w:hAnsiTheme="minorHAnsi" w:cstheme="minorHAnsi"/>
          <w:color w:val="auto"/>
          <w:sz w:val="22"/>
          <w:szCs w:val="22"/>
          <w:lang w:eastAsia="hr-HR"/>
        </w:rPr>
        <w:t xml:space="preserve">erljivost ili odgovarajuću upotrebu informacija sadržanih u CbC izvještajima ili, </w:t>
      </w:r>
      <w:r w:rsidR="00C97CFD" w:rsidRPr="00525575">
        <w:rPr>
          <w:rFonts w:asciiTheme="minorHAnsi" w:eastAsia="Times New Roman" w:hAnsiTheme="minorHAnsi" w:cstheme="minorHAnsi"/>
          <w:color w:val="auto"/>
          <w:sz w:val="22"/>
          <w:szCs w:val="22"/>
          <w:lang w:eastAsia="hr-HR"/>
        </w:rPr>
        <w:t>prema potrebi</w:t>
      </w:r>
      <w:r w:rsidRPr="00525575">
        <w:rPr>
          <w:rFonts w:asciiTheme="minorHAnsi" w:eastAsia="Times New Roman" w:hAnsiTheme="minorHAnsi" w:cstheme="minorHAnsi"/>
          <w:color w:val="auto"/>
          <w:sz w:val="22"/>
          <w:szCs w:val="22"/>
          <w:lang w:eastAsia="hr-HR"/>
        </w:rPr>
        <w:t xml:space="preserve">, </w:t>
      </w:r>
      <w:r w:rsidR="00C97CFD" w:rsidRPr="00525575">
        <w:rPr>
          <w:rFonts w:asciiTheme="minorHAnsi" w:eastAsia="Times New Roman" w:hAnsiTheme="minorHAnsi" w:cstheme="minorHAnsi"/>
          <w:color w:val="auto"/>
          <w:sz w:val="22"/>
          <w:szCs w:val="22"/>
          <w:lang w:eastAsia="hr-HR"/>
        </w:rPr>
        <w:t>nepreduzimanje konsultacija sa ciljem</w:t>
      </w:r>
      <w:r w:rsidRPr="00525575">
        <w:rPr>
          <w:rFonts w:asciiTheme="minorHAnsi" w:eastAsia="Times New Roman" w:hAnsiTheme="minorHAnsi" w:cstheme="minorHAnsi"/>
          <w:color w:val="auto"/>
          <w:sz w:val="22"/>
          <w:szCs w:val="22"/>
          <w:lang w:eastAsia="hr-HR"/>
        </w:rPr>
        <w:t xml:space="preserve"> rješavanja neželjenih ekonomskih ishoda prilagođavanja nakon upita zasnovanih na podacima u CbC izvještaju ili </w:t>
      </w:r>
      <w:r w:rsidR="00C97CFD" w:rsidRPr="00525575">
        <w:rPr>
          <w:rFonts w:asciiTheme="minorHAnsi" w:eastAsia="Times New Roman" w:hAnsiTheme="minorHAnsi" w:cstheme="minorHAnsi"/>
          <w:color w:val="auto"/>
          <w:sz w:val="22"/>
          <w:szCs w:val="22"/>
          <w:lang w:eastAsia="hr-HR"/>
        </w:rPr>
        <w:t>nepreduzimanje napora</w:t>
      </w:r>
      <w:r w:rsidRPr="00525575">
        <w:rPr>
          <w:rFonts w:asciiTheme="minorHAnsi" w:eastAsia="Times New Roman" w:hAnsiTheme="minorHAnsi" w:cstheme="minorHAnsi"/>
          <w:color w:val="auto"/>
          <w:sz w:val="22"/>
          <w:szCs w:val="22"/>
          <w:lang w:eastAsia="hr-HR"/>
        </w:rPr>
        <w:t xml:space="preserve"> da se riješi slučaj oporezivanja koji </w:t>
      </w:r>
      <w:r w:rsidR="00C40DBC">
        <w:rPr>
          <w:rFonts w:asciiTheme="minorHAnsi" w:eastAsia="Times New Roman" w:hAnsiTheme="minorHAnsi" w:cstheme="minorHAnsi"/>
          <w:color w:val="auto"/>
          <w:sz w:val="22"/>
          <w:szCs w:val="22"/>
          <w:lang w:eastAsia="hr-HR"/>
        </w:rPr>
        <w:t>je</w:t>
      </w:r>
      <w:r w:rsidRPr="00525575">
        <w:rPr>
          <w:rFonts w:asciiTheme="minorHAnsi" w:eastAsia="Times New Roman" w:hAnsiTheme="minorHAnsi" w:cstheme="minorHAnsi"/>
          <w:color w:val="auto"/>
          <w:sz w:val="22"/>
          <w:szCs w:val="22"/>
          <w:lang w:eastAsia="hr-HR"/>
        </w:rPr>
        <w:t xml:space="preserve"> u skladu sa odredbama sporazuma o izbjegavanju dvostrukog oporezivanja, kao i </w:t>
      </w:r>
      <w:r w:rsidR="00C97CFD" w:rsidRPr="00525575">
        <w:rPr>
          <w:rFonts w:asciiTheme="minorHAnsi" w:eastAsia="Times New Roman" w:hAnsiTheme="minorHAnsi" w:cstheme="minorHAnsi"/>
          <w:color w:val="auto"/>
          <w:sz w:val="22"/>
          <w:szCs w:val="22"/>
          <w:lang w:eastAsia="hr-HR"/>
        </w:rPr>
        <w:t xml:space="preserve">neobezbjeđivanje pravovremenih ili </w:t>
      </w:r>
      <w:r w:rsidRPr="00525575">
        <w:rPr>
          <w:rFonts w:asciiTheme="minorHAnsi" w:eastAsia="Times New Roman" w:hAnsiTheme="minorHAnsi" w:cstheme="minorHAnsi"/>
          <w:color w:val="auto"/>
          <w:sz w:val="22"/>
          <w:szCs w:val="22"/>
          <w:lang w:eastAsia="hr-HR"/>
        </w:rPr>
        <w:t>adekvatn</w:t>
      </w:r>
      <w:r w:rsidR="00C97CFD" w:rsidRPr="00525575">
        <w:rPr>
          <w:rFonts w:asciiTheme="minorHAnsi" w:eastAsia="Times New Roman" w:hAnsiTheme="minorHAnsi" w:cstheme="minorHAnsi"/>
          <w:color w:val="auto"/>
          <w:sz w:val="22"/>
          <w:szCs w:val="22"/>
          <w:lang w:eastAsia="hr-HR"/>
        </w:rPr>
        <w:t>ih</w:t>
      </w:r>
      <w:r w:rsidRPr="00525575">
        <w:rPr>
          <w:rFonts w:asciiTheme="minorHAnsi" w:eastAsia="Times New Roman" w:hAnsiTheme="minorHAnsi" w:cstheme="minorHAnsi"/>
          <w:color w:val="auto"/>
          <w:sz w:val="22"/>
          <w:szCs w:val="22"/>
          <w:lang w:eastAsia="hr-HR"/>
        </w:rPr>
        <w:t xml:space="preserve"> informacij</w:t>
      </w:r>
      <w:r w:rsidR="00C97CFD" w:rsidRPr="00525575">
        <w:rPr>
          <w:rFonts w:asciiTheme="minorHAnsi" w:eastAsia="Times New Roman" w:hAnsiTheme="minorHAnsi" w:cstheme="minorHAnsi"/>
          <w:color w:val="auto"/>
          <w:sz w:val="22"/>
          <w:szCs w:val="22"/>
          <w:lang w:eastAsia="hr-HR"/>
        </w:rPr>
        <w:t>a, smatraju se značajnim nepoštovanjem</w:t>
      </w:r>
      <w:r w:rsidRPr="00525575">
        <w:rPr>
          <w:rFonts w:asciiTheme="minorHAnsi" w:eastAsia="Times New Roman" w:hAnsiTheme="minorHAnsi" w:cstheme="minorHAnsi"/>
          <w:color w:val="auto"/>
          <w:sz w:val="22"/>
          <w:szCs w:val="22"/>
          <w:lang w:eastAsia="hr-HR"/>
        </w:rPr>
        <w:t>.</w:t>
      </w:r>
    </w:p>
    <w:p w:rsidR="00F75661" w:rsidRPr="00525575" w:rsidRDefault="00F75661" w:rsidP="00F75661">
      <w:pPr>
        <w:pStyle w:val="Heading1"/>
        <w:rPr>
          <w:rFonts w:asciiTheme="minorHAnsi" w:eastAsia="Times New Roman" w:hAnsiTheme="minorHAnsi" w:cstheme="minorHAnsi"/>
          <w:color w:val="auto"/>
          <w:sz w:val="22"/>
          <w:szCs w:val="22"/>
          <w:lang w:eastAsia="hr-HR"/>
        </w:rPr>
      </w:pPr>
      <w:r w:rsidRPr="00525575">
        <w:rPr>
          <w:rFonts w:asciiTheme="minorHAnsi" w:eastAsia="Times New Roman" w:hAnsiTheme="minorHAnsi" w:cstheme="minorHAnsi"/>
          <w:color w:val="auto"/>
          <w:sz w:val="22"/>
          <w:szCs w:val="22"/>
          <w:lang w:eastAsia="hr-HR"/>
        </w:rPr>
        <w:t xml:space="preserve">Ako nadležni organ </w:t>
      </w:r>
      <w:r w:rsidR="0061637B">
        <w:rPr>
          <w:rFonts w:asciiTheme="minorHAnsi" w:eastAsia="Times New Roman" w:hAnsiTheme="minorHAnsi" w:cstheme="minorHAnsi"/>
          <w:color w:val="auto"/>
          <w:sz w:val="22"/>
          <w:szCs w:val="22"/>
          <w:lang w:eastAsia="hr-HR"/>
        </w:rPr>
        <w:t>Crne Gore</w:t>
      </w:r>
      <w:r w:rsidRPr="00525575">
        <w:rPr>
          <w:rFonts w:asciiTheme="minorHAnsi" w:eastAsia="Times New Roman" w:hAnsiTheme="minorHAnsi" w:cstheme="minorHAnsi"/>
          <w:color w:val="auto"/>
          <w:sz w:val="22"/>
          <w:szCs w:val="22"/>
          <w:lang w:eastAsia="hr-HR"/>
        </w:rPr>
        <w:t xml:space="preserve"> razmatra da utvrdi značajnu neusaglašenost, jasno </w:t>
      </w:r>
      <w:r w:rsidR="00C97CFD" w:rsidRPr="00525575">
        <w:rPr>
          <w:rFonts w:asciiTheme="minorHAnsi" w:eastAsia="Times New Roman" w:hAnsiTheme="minorHAnsi" w:cstheme="minorHAnsi"/>
          <w:color w:val="auto"/>
          <w:sz w:val="22"/>
          <w:szCs w:val="22"/>
          <w:lang w:eastAsia="hr-HR"/>
        </w:rPr>
        <w:t xml:space="preserve">će </w:t>
      </w:r>
      <w:r w:rsidRPr="00525575">
        <w:rPr>
          <w:rFonts w:asciiTheme="minorHAnsi" w:eastAsia="Times New Roman" w:hAnsiTheme="minorHAnsi" w:cstheme="minorHAnsi"/>
          <w:color w:val="auto"/>
          <w:sz w:val="22"/>
          <w:szCs w:val="22"/>
          <w:lang w:eastAsia="hr-HR"/>
        </w:rPr>
        <w:t>identifikovati osnov za svoje utvrđivanje i pozvati drugi nadležni organ da se što prije</w:t>
      </w:r>
      <w:r w:rsidR="00C97CFD" w:rsidRPr="00525575">
        <w:rPr>
          <w:rFonts w:asciiTheme="minorHAnsi" w:eastAsia="Times New Roman" w:hAnsiTheme="minorHAnsi" w:cstheme="minorHAnsi"/>
          <w:color w:val="auto"/>
          <w:sz w:val="22"/>
          <w:szCs w:val="22"/>
          <w:lang w:eastAsia="hr-HR"/>
        </w:rPr>
        <w:t xml:space="preserve"> rijesi sumnje</w:t>
      </w:r>
      <w:r w:rsidRPr="00525575">
        <w:rPr>
          <w:rFonts w:asciiTheme="minorHAnsi" w:eastAsia="Times New Roman" w:hAnsiTheme="minorHAnsi" w:cstheme="minorHAnsi"/>
          <w:color w:val="auto"/>
          <w:sz w:val="22"/>
          <w:szCs w:val="22"/>
          <w:lang w:eastAsia="hr-HR"/>
        </w:rPr>
        <w:t>. Ako je došlo do takve neusaglašenosti, od drugog nadležnog organa bi se očekivalo da objasni koje su korektivne radnje, ako ih ima, preduzete ili će biti preduzete.</w:t>
      </w:r>
    </w:p>
    <w:p w:rsidR="00266C36" w:rsidRDefault="00F75661" w:rsidP="00266C36">
      <w:r w:rsidRPr="00525575">
        <w:rPr>
          <w:rFonts w:eastAsia="Times New Roman" w:cstheme="minorHAnsi"/>
          <w:lang w:eastAsia="hr-HR"/>
        </w:rPr>
        <w:t>Svaki slučaj značajne neusklađenosti biće prijavljen Sekretarijatu Koordinacionog t</w:t>
      </w:r>
      <w:r w:rsidR="00525575" w:rsidRPr="00525575">
        <w:rPr>
          <w:rFonts w:eastAsia="Times New Roman" w:cstheme="minorHAnsi"/>
          <w:lang w:eastAsia="hr-HR"/>
        </w:rPr>
        <w:t>ij</w:t>
      </w:r>
      <w:r w:rsidRPr="00525575">
        <w:rPr>
          <w:rFonts w:eastAsia="Times New Roman" w:cstheme="minorHAnsi"/>
          <w:lang w:eastAsia="hr-HR"/>
        </w:rPr>
        <w:t>ela.</w:t>
      </w:r>
      <w:r w:rsidR="00525575">
        <w:rPr>
          <w:rFonts w:eastAsia="Times New Roman" w:cstheme="minorHAnsi"/>
          <w:lang w:eastAsia="hr-HR"/>
        </w:rPr>
        <w:br/>
      </w:r>
      <w:r w:rsidR="00525575">
        <w:rPr>
          <w:rFonts w:eastAsia="Times New Roman" w:cstheme="minorHAnsi"/>
          <w:lang w:eastAsia="hr-HR"/>
        </w:rPr>
        <w:br/>
      </w:r>
      <w:r w:rsidR="00525575" w:rsidRPr="001E6696">
        <w:rPr>
          <w:rStyle w:val="Heading1Char"/>
        </w:rPr>
        <w:t>Obustava/Suzpenzija razmjene CbC izvještaja</w:t>
      </w:r>
      <w:r w:rsidR="001E6696">
        <w:br/>
      </w:r>
      <w:r w:rsidR="001E6696">
        <w:br/>
      </w:r>
      <w:r w:rsidR="001E6696" w:rsidRPr="001E6696">
        <w:t>Privremeno obustavljanje razm</w:t>
      </w:r>
      <w:r w:rsidR="001E6696">
        <w:t>j</w:t>
      </w:r>
      <w:r w:rsidR="001E6696" w:rsidRPr="001E6696">
        <w:t>ene informacija (EOI) prema CBC MCAA ili prekidanje učešća u C</w:t>
      </w:r>
      <w:r w:rsidR="001E6696">
        <w:t>b</w:t>
      </w:r>
      <w:r w:rsidR="001E6696" w:rsidRPr="001E6696">
        <w:t>C MCAA biće u skladu sa procedurama navedenim u paragrafima 5 i 6 Sekcije 8 Multilateralnog sporazuma o nadležnim vlastima za razm</w:t>
      </w:r>
      <w:r w:rsidR="001E6696">
        <w:t>j</w:t>
      </w:r>
      <w:r w:rsidR="001E6696" w:rsidRPr="001E6696">
        <w:t>enu izv</w:t>
      </w:r>
      <w:r w:rsidR="001E6696">
        <w:t>j</w:t>
      </w:r>
      <w:r w:rsidR="001E6696" w:rsidRPr="001E6696">
        <w:t>eštaja po zemljama (CBCR).</w:t>
      </w:r>
      <w:r w:rsidR="001E6696">
        <w:t xml:space="preserve"> </w:t>
      </w:r>
      <w:r w:rsidR="001E6696" w:rsidRPr="001E6696">
        <w:t xml:space="preserve">Vlast može privremeno suspendovati </w:t>
      </w:r>
      <w:r w:rsidR="001E6696">
        <w:t xml:space="preserve">(razmjenu informacija) </w:t>
      </w:r>
      <w:r w:rsidR="001E6696" w:rsidRPr="001E6696">
        <w:t>EOI prema C</w:t>
      </w:r>
      <w:r w:rsidR="001E6696">
        <w:t>b</w:t>
      </w:r>
      <w:r w:rsidR="001E6696" w:rsidRPr="001E6696">
        <w:t>C MCAA tako što će pismeno obav</w:t>
      </w:r>
      <w:r w:rsidR="001E6696">
        <w:t>ij</w:t>
      </w:r>
      <w:r w:rsidR="001E6696" w:rsidRPr="001E6696">
        <w:t>estiti drugi nadležni organ da je utvrdio da postoji ili je došlo do značajn</w:t>
      </w:r>
      <w:r w:rsidR="001E6696">
        <w:t>e</w:t>
      </w:r>
      <w:r w:rsidR="001E6696" w:rsidRPr="001E6696">
        <w:t xml:space="preserve"> neusklađenosti drugog pomenutog nadležnog organa sa CbC MCAA. Pr</w:t>
      </w:r>
      <w:r w:rsidR="001E6696">
        <w:t>ij</w:t>
      </w:r>
      <w:r w:rsidR="001E6696" w:rsidRPr="001E6696">
        <w:t>e donošenja takve odluke, organ će se konsultovati sa drugim nadležnim organom.</w:t>
      </w:r>
      <w:r w:rsidR="001E6696">
        <w:br/>
        <w:t xml:space="preserve">Poreska uprava Crne Gore će, putem Sekretarijata Koordinacionog tijela, uključiti druga nadležna tijela koja primjenjuju CbC MCAA u cilju pronalaženja prihvatljivog rješenja za ovo pitanje. </w:t>
      </w:r>
      <w:r w:rsidR="001E6696">
        <w:br/>
      </w:r>
      <w:r w:rsidR="00286032">
        <w:t xml:space="preserve">Poreska uprava Crne Gore </w:t>
      </w:r>
      <w:r w:rsidR="001E6696" w:rsidRPr="001E6696">
        <w:t>može prekinuti svoje učešće u vezi sa određenim nadležnim organom, tako što će Sekretarijat Koordinacionog t</w:t>
      </w:r>
      <w:r w:rsidR="00286032">
        <w:t>ij</w:t>
      </w:r>
      <w:r w:rsidR="001E6696" w:rsidRPr="001E6696">
        <w:t>ela</w:t>
      </w:r>
      <w:r w:rsidR="00266C36">
        <w:t>,</w:t>
      </w:r>
      <w:r w:rsidR="001E6696" w:rsidRPr="001E6696">
        <w:t xml:space="preserve"> pismeno obav</w:t>
      </w:r>
      <w:r w:rsidR="00266C36">
        <w:t>ij</w:t>
      </w:r>
      <w:r w:rsidR="001E6696" w:rsidRPr="001E6696">
        <w:t>estiti o prekidu. Takav raskid stupa na snagu 1. dana u m</w:t>
      </w:r>
      <w:r w:rsidR="00C40DBC">
        <w:t>j</w:t>
      </w:r>
      <w:r w:rsidR="001E6696" w:rsidRPr="001E6696">
        <w:t>esecu koji sl</w:t>
      </w:r>
      <w:r w:rsidR="00266C36">
        <w:t>ij</w:t>
      </w:r>
      <w:r w:rsidR="001E6696" w:rsidRPr="001E6696">
        <w:t>edi nakon isteka perioda od 12 m</w:t>
      </w:r>
      <w:r w:rsidR="00266C36">
        <w:t>j</w:t>
      </w:r>
      <w:r w:rsidR="001E6696" w:rsidRPr="001E6696">
        <w:t>eseci od datuma obav</w:t>
      </w:r>
      <w:r w:rsidR="00266C36">
        <w:t>j</w:t>
      </w:r>
      <w:r w:rsidR="001E6696" w:rsidRPr="001E6696">
        <w:t>eštenja o raskidu.</w:t>
      </w:r>
      <w:r w:rsidR="00266C36">
        <w:br/>
        <w:t>U slučaju raskida, sve informacije koje su prethodno primjenjene u okviru CBC MCAA ostaće povjerljive i podliježu uslovima MAAC-a.</w:t>
      </w:r>
    </w:p>
    <w:p w:rsidR="00266C36" w:rsidRDefault="00266C36" w:rsidP="00266C36">
      <w:r>
        <w:t>Pored toga, potraga za rješenjem problema imperativno će proći kroz Sekretarijat CbC.</w:t>
      </w:r>
      <w:r>
        <w:br/>
      </w:r>
      <w:r>
        <w:br/>
      </w:r>
      <w:r w:rsidR="005234E6">
        <w:rPr>
          <w:rStyle w:val="Heading1Char"/>
        </w:rPr>
        <w:lastRenderedPageBreak/>
        <w:br/>
      </w:r>
      <w:r w:rsidR="005234E6">
        <w:rPr>
          <w:rStyle w:val="Heading1Char"/>
        </w:rPr>
        <w:br/>
      </w:r>
      <w:r w:rsidR="005234E6">
        <w:rPr>
          <w:rStyle w:val="Heading1Char"/>
        </w:rPr>
        <w:br/>
      </w:r>
      <w:r w:rsidRPr="00266C36">
        <w:rPr>
          <w:rStyle w:val="Heading1Char"/>
        </w:rPr>
        <w:t>Razno</w:t>
      </w:r>
    </w:p>
    <w:p w:rsidR="0061637B" w:rsidRDefault="00266C36" w:rsidP="00102FD6">
      <w:r w:rsidRPr="005234E6">
        <w:rPr>
          <w:rStyle w:val="Heading1Char"/>
        </w:rPr>
        <w:t>Tekući pregledi i ažuriranja</w:t>
      </w:r>
      <w:r w:rsidR="00702AA7">
        <w:rPr>
          <w:rStyle w:val="Heading1Char"/>
        </w:rPr>
        <w:br/>
      </w:r>
      <w:r w:rsidR="005234E6">
        <w:br/>
      </w:r>
      <w:r w:rsidR="0061637B">
        <w:t>Odjeljenje</w:t>
      </w:r>
      <w:r w:rsidR="0061637B" w:rsidRPr="0061637B">
        <w:t xml:space="preserve"> za međunarodnu saradnju biće odgovorn</w:t>
      </w:r>
      <w:r w:rsidR="0061637B">
        <w:t xml:space="preserve">o </w:t>
      </w:r>
      <w:r w:rsidR="0061637B" w:rsidRPr="0061637B">
        <w:t>za periodično pregledanje ovog vodiča i njegovo ažuriranje kada to bude potrebno. Posebno, biće potrebno ažuriranje ukoliko se utvrdi da crnogorski rezidentni UPE mora podnijeti CbC izvještaj P</w:t>
      </w:r>
      <w:r w:rsidR="0061637B">
        <w:t xml:space="preserve">u </w:t>
      </w:r>
      <w:r w:rsidR="0061637B" w:rsidRPr="0061637B">
        <w:t xml:space="preserve">Crne Gore radi razmjene sa partnerskim jurisdikcijama, ili ako bude imenovan crnogorski rezidentni posrednički </w:t>
      </w:r>
      <w:r w:rsidR="0061637B">
        <w:t xml:space="preserve">matični </w:t>
      </w:r>
      <w:r w:rsidR="0061637B" w:rsidRPr="0061637B">
        <w:t>entitet.</w:t>
      </w:r>
      <w:r w:rsidR="00702AA7">
        <w:t>.</w:t>
      </w:r>
      <w:r w:rsidR="00702AA7">
        <w:br/>
      </w:r>
      <w:r w:rsidR="00702AA7">
        <w:br/>
        <w:t xml:space="preserve">Ove smjernice su dopunske u odnosu na </w:t>
      </w:r>
      <w:r w:rsidR="0061637B">
        <w:t>pravila zasnovana na članu 14f, stav 4 Zakona o poreskoj administraciji, a Ministarstvo finansija je izdalo Uputstvo o detaljnom načinu izveštavanja podataka koje pravno lice, član međunarodne grupe poveznih pravnih lica, dostavlja nadležnom organu za poreska pitanja („Službeni list Crne Gore“, br. 069/22 od 1. jula 2022. godine). Multilateralni sporazum nadležnih vlasti o „Izveštavanju po zemljama“ („CbC MCAA“), razvijen u skladu sa članom 6 Konvencije o međusobnoj administrativnoj pomoći u poreskim pitanjima („Konvencija“), predstavlja glavnu pravnu osnovu za uspostavljanje međunarodnog pravnog okvira za automatsku razmjenu CbC informacija i treba da se konsultuje zajedno sa tim pravilima.</w:t>
      </w:r>
    </w:p>
    <w:p w:rsidR="00102FD6" w:rsidRPr="00102FD6" w:rsidRDefault="00702AA7" w:rsidP="00102FD6">
      <w:pPr>
        <w:rPr>
          <w:rStyle w:val="Heading1Char"/>
          <w:rFonts w:asciiTheme="minorHAnsi" w:eastAsiaTheme="minorHAnsi" w:hAnsiTheme="minorHAnsi" w:cstheme="minorBidi"/>
          <w:color w:val="auto"/>
          <w:sz w:val="22"/>
          <w:szCs w:val="22"/>
        </w:rPr>
      </w:pPr>
      <w:r>
        <w:rPr>
          <w:highlight w:val="red"/>
        </w:rPr>
        <w:br/>
      </w:r>
      <w:r w:rsidRPr="00702AA7">
        <w:rPr>
          <w:rStyle w:val="Heading1Char"/>
        </w:rPr>
        <w:t>Komunikacija sa osobljem</w:t>
      </w:r>
      <w:r>
        <w:rPr>
          <w:rStyle w:val="Heading1Char"/>
        </w:rPr>
        <w:br/>
      </w:r>
      <w:r>
        <w:rPr>
          <w:rStyle w:val="Heading1Char"/>
        </w:rPr>
        <w:br/>
      </w:r>
      <w:r w:rsidRPr="00702AA7">
        <w:t>Sm</w:t>
      </w:r>
      <w:r>
        <w:t>j</w:t>
      </w:r>
      <w:r w:rsidRPr="00702AA7">
        <w:t>ernice za razm</w:t>
      </w:r>
      <w:r w:rsidR="00102FD6">
        <w:t>j</w:t>
      </w:r>
      <w:r w:rsidRPr="00702AA7">
        <w:t xml:space="preserve">enu informacija biće saopštene  osoblju koje će imati pristup CbCR informacijama tokom svog rada i biće objavljene na internom portalu </w:t>
      </w:r>
      <w:r w:rsidR="00102FD6">
        <w:t>P</w:t>
      </w:r>
      <w:r w:rsidR="0061637B">
        <w:t xml:space="preserve">U </w:t>
      </w:r>
      <w:r w:rsidR="00102FD6">
        <w:t xml:space="preserve">Crne Gore. </w:t>
      </w:r>
      <w:r w:rsidR="00102FD6">
        <w:br/>
      </w:r>
      <w:r w:rsidR="00102FD6">
        <w:br/>
      </w:r>
      <w:r w:rsidR="00102FD6">
        <w:br/>
      </w:r>
      <w:r w:rsidR="00102FD6" w:rsidRPr="00102FD6">
        <w:rPr>
          <w:rStyle w:val="Heading1Char"/>
        </w:rPr>
        <w:t>Obuka o procesima razm</w:t>
      </w:r>
      <w:r w:rsidR="00102FD6">
        <w:rPr>
          <w:rStyle w:val="Heading1Char"/>
        </w:rPr>
        <w:t>j</w:t>
      </w:r>
      <w:r w:rsidR="00102FD6" w:rsidRPr="00102FD6">
        <w:rPr>
          <w:rStyle w:val="Heading1Char"/>
        </w:rPr>
        <w:t>ene informacija</w:t>
      </w:r>
      <w:r w:rsidR="00102FD6">
        <w:rPr>
          <w:rStyle w:val="Heading1Char"/>
        </w:rPr>
        <w:br/>
      </w:r>
      <w:r w:rsidR="00102FD6">
        <w:rPr>
          <w:rStyle w:val="Heading1Char"/>
        </w:rPr>
        <w:br/>
      </w:r>
      <w:r w:rsidR="00102FD6">
        <w:t xml:space="preserve">Poreska uprava Crne Gore </w:t>
      </w:r>
      <w:r w:rsidR="00102FD6" w:rsidRPr="00102FD6">
        <w:rPr>
          <w:rStyle w:val="Heading1Char"/>
          <w:rFonts w:asciiTheme="minorHAnsi" w:eastAsiaTheme="minorHAnsi" w:hAnsiTheme="minorHAnsi" w:cstheme="minorBidi"/>
          <w:color w:val="auto"/>
          <w:sz w:val="22"/>
          <w:szCs w:val="22"/>
        </w:rPr>
        <w:t>redovno će obučavati osoblje čiji je posao ili bi mogao postati relevantan za korišćenje CbC izveštaja, bilo putem razm</w:t>
      </w:r>
      <w:r w:rsidR="00102FD6">
        <w:rPr>
          <w:rStyle w:val="Heading1Char"/>
          <w:rFonts w:asciiTheme="minorHAnsi" w:eastAsiaTheme="minorHAnsi" w:hAnsiTheme="minorHAnsi" w:cstheme="minorBidi"/>
          <w:color w:val="auto"/>
          <w:sz w:val="22"/>
          <w:szCs w:val="22"/>
        </w:rPr>
        <w:t>j</w:t>
      </w:r>
      <w:r w:rsidR="00102FD6" w:rsidRPr="00102FD6">
        <w:rPr>
          <w:rStyle w:val="Heading1Char"/>
          <w:rFonts w:asciiTheme="minorHAnsi" w:eastAsiaTheme="minorHAnsi" w:hAnsiTheme="minorHAnsi" w:cstheme="minorBidi"/>
          <w:color w:val="auto"/>
          <w:sz w:val="22"/>
          <w:szCs w:val="22"/>
        </w:rPr>
        <w:t>ene informacija ili u toku transfernih c</w:t>
      </w:r>
      <w:r w:rsidR="00102FD6">
        <w:rPr>
          <w:rStyle w:val="Heading1Char"/>
          <w:rFonts w:asciiTheme="minorHAnsi" w:eastAsiaTheme="minorHAnsi" w:hAnsiTheme="minorHAnsi" w:cstheme="minorBidi"/>
          <w:color w:val="auto"/>
          <w:sz w:val="22"/>
          <w:szCs w:val="22"/>
        </w:rPr>
        <w:t>ij</w:t>
      </w:r>
      <w:r w:rsidR="00102FD6" w:rsidRPr="00102FD6">
        <w:rPr>
          <w:rStyle w:val="Heading1Char"/>
          <w:rFonts w:asciiTheme="minorHAnsi" w:eastAsiaTheme="minorHAnsi" w:hAnsiTheme="minorHAnsi" w:cstheme="minorBidi"/>
          <w:color w:val="auto"/>
          <w:sz w:val="22"/>
          <w:szCs w:val="22"/>
        </w:rPr>
        <w:t>ena i proc</w:t>
      </w:r>
      <w:r w:rsidR="00102FD6">
        <w:rPr>
          <w:rStyle w:val="Heading1Char"/>
          <w:rFonts w:asciiTheme="minorHAnsi" w:eastAsiaTheme="minorHAnsi" w:hAnsiTheme="minorHAnsi" w:cstheme="minorBidi"/>
          <w:color w:val="auto"/>
          <w:sz w:val="22"/>
          <w:szCs w:val="22"/>
        </w:rPr>
        <w:t>j</w:t>
      </w:r>
      <w:r w:rsidR="00102FD6" w:rsidRPr="00102FD6">
        <w:rPr>
          <w:rStyle w:val="Heading1Char"/>
          <w:rFonts w:asciiTheme="minorHAnsi" w:eastAsiaTheme="minorHAnsi" w:hAnsiTheme="minorHAnsi" w:cstheme="minorBidi"/>
          <w:color w:val="auto"/>
          <w:sz w:val="22"/>
          <w:szCs w:val="22"/>
        </w:rPr>
        <w:t xml:space="preserve">ene rizika u vezi sa BEPS-om. Takva obuka će jasno odrediti obaveze i </w:t>
      </w:r>
      <w:r w:rsidR="00102FD6">
        <w:rPr>
          <w:rStyle w:val="Heading1Char"/>
          <w:rFonts w:asciiTheme="minorHAnsi" w:eastAsiaTheme="minorHAnsi" w:hAnsiTheme="minorHAnsi" w:cstheme="minorBidi"/>
          <w:color w:val="auto"/>
          <w:sz w:val="22"/>
          <w:szCs w:val="22"/>
        </w:rPr>
        <w:t>zaduženja</w:t>
      </w:r>
      <w:r w:rsidR="00102FD6" w:rsidRPr="00102FD6">
        <w:rPr>
          <w:rStyle w:val="Heading1Char"/>
          <w:rFonts w:asciiTheme="minorHAnsi" w:eastAsiaTheme="minorHAnsi" w:hAnsiTheme="minorHAnsi" w:cstheme="minorBidi"/>
          <w:color w:val="auto"/>
          <w:sz w:val="22"/>
          <w:szCs w:val="22"/>
        </w:rPr>
        <w:t xml:space="preserve"> koj</w:t>
      </w:r>
      <w:r w:rsidR="00102FD6">
        <w:rPr>
          <w:rStyle w:val="Heading1Char"/>
          <w:rFonts w:asciiTheme="minorHAnsi" w:eastAsiaTheme="minorHAnsi" w:hAnsiTheme="minorHAnsi" w:cstheme="minorBidi"/>
          <w:color w:val="auto"/>
          <w:sz w:val="22"/>
          <w:szCs w:val="22"/>
        </w:rPr>
        <w:t>e</w:t>
      </w:r>
      <w:r w:rsidR="00102FD6" w:rsidRPr="00102FD6">
        <w:rPr>
          <w:rStyle w:val="Heading1Char"/>
          <w:rFonts w:asciiTheme="minorHAnsi" w:eastAsiaTheme="minorHAnsi" w:hAnsiTheme="minorHAnsi" w:cstheme="minorBidi"/>
          <w:color w:val="auto"/>
          <w:sz w:val="22"/>
          <w:szCs w:val="22"/>
        </w:rPr>
        <w:t xml:space="preserve"> su navedene u ovim sm</w:t>
      </w:r>
      <w:r w:rsidR="00102FD6">
        <w:rPr>
          <w:rStyle w:val="Heading1Char"/>
          <w:rFonts w:asciiTheme="minorHAnsi" w:eastAsiaTheme="minorHAnsi" w:hAnsiTheme="minorHAnsi" w:cstheme="minorBidi"/>
          <w:color w:val="auto"/>
          <w:sz w:val="22"/>
          <w:szCs w:val="22"/>
        </w:rPr>
        <w:t>j</w:t>
      </w:r>
      <w:r w:rsidR="00102FD6" w:rsidRPr="00102FD6">
        <w:rPr>
          <w:rStyle w:val="Heading1Char"/>
          <w:rFonts w:asciiTheme="minorHAnsi" w:eastAsiaTheme="minorHAnsi" w:hAnsiTheme="minorHAnsi" w:cstheme="minorBidi"/>
          <w:color w:val="auto"/>
          <w:sz w:val="22"/>
          <w:szCs w:val="22"/>
        </w:rPr>
        <w:t>ernicama.</w:t>
      </w:r>
    </w:p>
    <w:p w:rsidR="00102FD6" w:rsidRPr="00102FD6" w:rsidRDefault="00102FD6" w:rsidP="00102FD6">
      <w:pPr>
        <w:rPr>
          <w:rStyle w:val="Heading1Char"/>
          <w:rFonts w:asciiTheme="minorHAnsi" w:eastAsiaTheme="minorHAnsi" w:hAnsiTheme="minorHAnsi" w:cstheme="minorBidi"/>
          <w:color w:val="auto"/>
          <w:sz w:val="22"/>
          <w:szCs w:val="22"/>
        </w:rPr>
      </w:pPr>
      <w:r w:rsidRPr="00102FD6">
        <w:rPr>
          <w:rStyle w:val="Heading1Char"/>
          <w:rFonts w:asciiTheme="minorHAnsi" w:eastAsiaTheme="minorHAnsi" w:hAnsiTheme="minorHAnsi" w:cstheme="minorBidi"/>
          <w:color w:val="auto"/>
          <w:sz w:val="22"/>
          <w:szCs w:val="22"/>
        </w:rPr>
        <w:t xml:space="preserve">Štaviše, osoblje u </w:t>
      </w:r>
      <w:r>
        <w:rPr>
          <w:rStyle w:val="Heading1Char"/>
          <w:rFonts w:asciiTheme="minorHAnsi" w:eastAsiaTheme="minorHAnsi" w:hAnsiTheme="minorHAnsi" w:cstheme="minorBidi"/>
          <w:color w:val="auto"/>
          <w:sz w:val="22"/>
          <w:szCs w:val="22"/>
        </w:rPr>
        <w:t xml:space="preserve">sektoru </w:t>
      </w:r>
      <w:r w:rsidR="0061637B">
        <w:rPr>
          <w:rStyle w:val="Heading1Char"/>
          <w:rFonts w:asciiTheme="minorHAnsi" w:eastAsiaTheme="minorHAnsi" w:hAnsiTheme="minorHAnsi" w:cstheme="minorBidi"/>
          <w:color w:val="auto"/>
          <w:sz w:val="22"/>
          <w:szCs w:val="22"/>
        </w:rPr>
        <w:t>m</w:t>
      </w:r>
      <w:r>
        <w:rPr>
          <w:rStyle w:val="Heading1Char"/>
          <w:rFonts w:asciiTheme="minorHAnsi" w:eastAsiaTheme="minorHAnsi" w:hAnsiTheme="minorHAnsi" w:cstheme="minorBidi"/>
          <w:color w:val="auto"/>
          <w:sz w:val="22"/>
          <w:szCs w:val="22"/>
        </w:rPr>
        <w:t xml:space="preserve">eđunarodne saradnje </w:t>
      </w:r>
      <w:r w:rsidRPr="00102FD6">
        <w:rPr>
          <w:rStyle w:val="Heading1Char"/>
          <w:rFonts w:asciiTheme="minorHAnsi" w:eastAsiaTheme="minorHAnsi" w:hAnsiTheme="minorHAnsi" w:cstheme="minorBidi"/>
          <w:color w:val="auto"/>
          <w:sz w:val="22"/>
          <w:szCs w:val="22"/>
        </w:rPr>
        <w:t>će dobiti redovnu obuku o zaht</w:t>
      </w:r>
      <w:r>
        <w:rPr>
          <w:rStyle w:val="Heading1Char"/>
          <w:rFonts w:asciiTheme="minorHAnsi" w:eastAsiaTheme="minorHAnsi" w:hAnsiTheme="minorHAnsi" w:cstheme="minorBidi"/>
          <w:color w:val="auto"/>
          <w:sz w:val="22"/>
          <w:szCs w:val="22"/>
        </w:rPr>
        <w:t>j</w:t>
      </w:r>
      <w:r w:rsidRPr="00102FD6">
        <w:rPr>
          <w:rStyle w:val="Heading1Char"/>
          <w:rFonts w:asciiTheme="minorHAnsi" w:eastAsiaTheme="minorHAnsi" w:hAnsiTheme="minorHAnsi" w:cstheme="minorBidi"/>
          <w:color w:val="auto"/>
          <w:sz w:val="22"/>
          <w:szCs w:val="22"/>
        </w:rPr>
        <w:t>evima koji su navedeni u MCAA, posebno u vezi sa značajn</w:t>
      </w:r>
      <w:r>
        <w:rPr>
          <w:rStyle w:val="Heading1Char"/>
          <w:rFonts w:asciiTheme="minorHAnsi" w:eastAsiaTheme="minorHAnsi" w:hAnsiTheme="minorHAnsi" w:cstheme="minorBidi"/>
          <w:color w:val="auto"/>
          <w:sz w:val="22"/>
          <w:szCs w:val="22"/>
        </w:rPr>
        <w:t>om neusaglašenošcu</w:t>
      </w:r>
      <w:r w:rsidRPr="00102FD6">
        <w:rPr>
          <w:rStyle w:val="Heading1Char"/>
          <w:rFonts w:asciiTheme="minorHAnsi" w:eastAsiaTheme="minorHAnsi" w:hAnsiTheme="minorHAnsi" w:cstheme="minorBidi"/>
          <w:color w:val="auto"/>
          <w:sz w:val="22"/>
          <w:szCs w:val="22"/>
        </w:rPr>
        <w:t xml:space="preserve"> i privremenom suspenzijom odnosa razm</w:t>
      </w:r>
      <w:r>
        <w:rPr>
          <w:rStyle w:val="Heading1Char"/>
          <w:rFonts w:asciiTheme="minorHAnsi" w:eastAsiaTheme="minorHAnsi" w:hAnsiTheme="minorHAnsi" w:cstheme="minorBidi"/>
          <w:color w:val="auto"/>
          <w:sz w:val="22"/>
          <w:szCs w:val="22"/>
        </w:rPr>
        <w:t>j</w:t>
      </w:r>
      <w:r w:rsidRPr="00102FD6">
        <w:rPr>
          <w:rStyle w:val="Heading1Char"/>
          <w:rFonts w:asciiTheme="minorHAnsi" w:eastAsiaTheme="minorHAnsi" w:hAnsiTheme="minorHAnsi" w:cstheme="minorBidi"/>
          <w:color w:val="auto"/>
          <w:sz w:val="22"/>
          <w:szCs w:val="22"/>
        </w:rPr>
        <w:t>ene.</w:t>
      </w:r>
    </w:p>
    <w:p w:rsidR="005234E6" w:rsidRDefault="00102FD6" w:rsidP="00102FD6">
      <w:pPr>
        <w:rPr>
          <w:highlight w:val="red"/>
        </w:rPr>
      </w:pPr>
      <w:r>
        <w:rPr>
          <w:rStyle w:val="Heading1Char"/>
        </w:rPr>
        <w:br/>
      </w:r>
      <w:r w:rsidR="00702AA7">
        <w:rPr>
          <w:rStyle w:val="Heading1Char"/>
        </w:rPr>
        <w:br/>
      </w:r>
      <w:r w:rsidR="00702AA7">
        <w:rPr>
          <w:rStyle w:val="Heading1Char"/>
        </w:rPr>
        <w:br/>
      </w:r>
      <w:r w:rsidR="00702AA7">
        <w:rPr>
          <w:highlight w:val="red"/>
        </w:rPr>
        <w:br/>
      </w:r>
    </w:p>
    <w:p w:rsidR="00702AA7" w:rsidRDefault="00702AA7" w:rsidP="005234E6"/>
    <w:p w:rsidR="00702AA7" w:rsidRDefault="00702AA7" w:rsidP="005234E6"/>
    <w:p w:rsidR="00C707FC" w:rsidRPr="00702AA7" w:rsidRDefault="00C707FC" w:rsidP="00702AA7">
      <w:pPr>
        <w:spacing w:after="0" w:line="276" w:lineRule="auto"/>
        <w:jc w:val="center"/>
      </w:pPr>
    </w:p>
    <w:sectPr w:rsidR="00C707FC" w:rsidRPr="00702A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67F02"/>
    <w:multiLevelType w:val="multilevel"/>
    <w:tmpl w:val="A746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56E99"/>
    <w:multiLevelType w:val="hybridMultilevel"/>
    <w:tmpl w:val="6D4EC2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9A86DD5"/>
    <w:multiLevelType w:val="hybridMultilevel"/>
    <w:tmpl w:val="2F2278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D89"/>
    <w:rsid w:val="00063579"/>
    <w:rsid w:val="000B49C2"/>
    <w:rsid w:val="000E4D89"/>
    <w:rsid w:val="00102FD6"/>
    <w:rsid w:val="001044ED"/>
    <w:rsid w:val="0018731C"/>
    <w:rsid w:val="001B0A46"/>
    <w:rsid w:val="001C638E"/>
    <w:rsid w:val="001E6696"/>
    <w:rsid w:val="00201538"/>
    <w:rsid w:val="00212FA7"/>
    <w:rsid w:val="00266C36"/>
    <w:rsid w:val="00281BA9"/>
    <w:rsid w:val="00286032"/>
    <w:rsid w:val="003F564F"/>
    <w:rsid w:val="00485A6D"/>
    <w:rsid w:val="005234E6"/>
    <w:rsid w:val="00525575"/>
    <w:rsid w:val="00580F70"/>
    <w:rsid w:val="00581FD2"/>
    <w:rsid w:val="0061637B"/>
    <w:rsid w:val="00702AA7"/>
    <w:rsid w:val="00751B3B"/>
    <w:rsid w:val="007633AA"/>
    <w:rsid w:val="00764574"/>
    <w:rsid w:val="007809F0"/>
    <w:rsid w:val="00816A8C"/>
    <w:rsid w:val="008528EC"/>
    <w:rsid w:val="008D4D9C"/>
    <w:rsid w:val="009073D7"/>
    <w:rsid w:val="009459FB"/>
    <w:rsid w:val="00964232"/>
    <w:rsid w:val="009847C8"/>
    <w:rsid w:val="00A06967"/>
    <w:rsid w:val="00A52D6D"/>
    <w:rsid w:val="00B243DC"/>
    <w:rsid w:val="00C07454"/>
    <w:rsid w:val="00C40DBC"/>
    <w:rsid w:val="00C707FC"/>
    <w:rsid w:val="00C97CFD"/>
    <w:rsid w:val="00CC436E"/>
    <w:rsid w:val="00D14EB8"/>
    <w:rsid w:val="00F034D1"/>
    <w:rsid w:val="00F6407B"/>
    <w:rsid w:val="00F724F6"/>
    <w:rsid w:val="00F75661"/>
    <w:rsid w:val="00F85582"/>
    <w:rsid w:val="00FC4D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BA57A-23D6-4623-91FA-557EDD9A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C63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63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D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D8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C638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C638E"/>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580F7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525575"/>
    <w:pPr>
      <w:ind w:left="720"/>
      <w:contextualSpacing/>
    </w:pPr>
  </w:style>
  <w:style w:type="paragraph" w:styleId="NoSpacing">
    <w:name w:val="No Spacing"/>
    <w:uiPriority w:val="1"/>
    <w:qFormat/>
    <w:rsid w:val="00102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15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7</Pages>
  <Words>2390</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Grdinic</dc:creator>
  <cp:keywords/>
  <dc:description/>
  <cp:lastModifiedBy>Lidija Seckovic</cp:lastModifiedBy>
  <cp:revision>7</cp:revision>
  <cp:lastPrinted>2025-01-30T13:24:00Z</cp:lastPrinted>
  <dcterms:created xsi:type="dcterms:W3CDTF">2025-01-29T07:43:00Z</dcterms:created>
  <dcterms:modified xsi:type="dcterms:W3CDTF">2026-09-04T10:54:00Z</dcterms:modified>
</cp:coreProperties>
</file>