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853B" w14:textId="63656476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  <w:bookmarkStart w:id="0" w:name="_GoBack"/>
      <w:bookmarkEnd w:id="0"/>
    </w:p>
    <w:p w14:paraId="39854C5D" w14:textId="7BAF1BBE" w:rsidR="00C02A6C" w:rsidRPr="00983F2A" w:rsidRDefault="00870594" w:rsidP="00C02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>I</w:t>
      </w:r>
      <w:r w:rsidR="00C02A6C"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 xml:space="preserve">nformation to allow a consistent monitoring for </w:t>
      </w:r>
      <w:r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>providing</w:t>
      </w:r>
      <w:r w:rsidR="00C02A6C"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 xml:space="preserve"> feedback to the EC.  </w:t>
      </w:r>
    </w:p>
    <w:p w14:paraId="1E01A75D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02A6C" w:rsidRPr="00983F2A" w14:paraId="7C3C3181" w14:textId="77777777" w:rsidTr="00385A76">
        <w:tc>
          <w:tcPr>
            <w:tcW w:w="8630" w:type="dxa"/>
          </w:tcPr>
          <w:p w14:paraId="48AEFD67" w14:textId="14FCE2D6" w:rsidR="00C02A6C" w:rsidRPr="00983F2A" w:rsidRDefault="00D64685" w:rsidP="00D646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Participant r</w:t>
            </w:r>
            <w:r w:rsidR="00C02A6C"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eport from Study Visit</w:t>
            </w:r>
          </w:p>
        </w:tc>
      </w:tr>
    </w:tbl>
    <w:p w14:paraId="2C4420F1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4CB099C9" w14:textId="77777777" w:rsidR="00C02A6C" w:rsidRPr="00983F2A" w:rsidRDefault="00C02A6C" w:rsidP="00C02A6C">
      <w:pPr>
        <w:spacing w:before="20" w:after="40"/>
        <w:rPr>
          <w:rFonts w:ascii="IBM Plex Sans" w:eastAsia="Arial Bold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1. Participant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C02A6C" w:rsidRPr="00983F2A" w14:paraId="2CDC570B" w14:textId="77777777" w:rsidTr="00385A76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A4DD" w14:textId="77777777" w:rsidR="00C02A6C" w:rsidRPr="00983F2A" w:rsidRDefault="00C02A6C" w:rsidP="00385A76">
            <w:pPr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7AE5" w14:textId="77777777" w:rsidR="00C02A6C" w:rsidRPr="00983F2A" w:rsidRDefault="00C02A6C" w:rsidP="00385A76">
            <w:pPr>
              <w:spacing w:before="40" w:after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5D9F15F4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0F2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E99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6012FB8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22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13D8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59B0055" w14:textId="77777777" w:rsidTr="00385A76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6F3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CAB2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FAB1DE8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8E5A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0CC1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</w:tbl>
    <w:p w14:paraId="72A7264B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1175035C" w14:textId="7D305581" w:rsidR="00C02A6C" w:rsidRPr="00983F2A" w:rsidRDefault="00C02A6C" w:rsidP="00C02A6C">
      <w:pPr>
        <w:spacing w:before="20" w:after="40"/>
        <w:rPr>
          <w:rFonts w:ascii="IBM Plex Sans" w:eastAsia="Arial Bold" w:hAnsi="IBM Plex Sans" w:cstheme="minorHAnsi"/>
          <w:b/>
          <w:bCs/>
          <w:sz w:val="20"/>
          <w:szCs w:val="20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2. Study Visit information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C02A6C" w:rsidRPr="00983F2A" w14:paraId="7C45E0D6" w14:textId="77777777" w:rsidTr="00385A76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9A7E" w14:textId="77777777" w:rsidR="00C02A6C" w:rsidRPr="00983F2A" w:rsidRDefault="00C02A6C" w:rsidP="00385A76">
            <w:pPr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  <w:t>Date of study visit: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A4D9" w14:textId="77777777" w:rsidR="00C02A6C" w:rsidRPr="00983F2A" w:rsidRDefault="00C02A6C" w:rsidP="00385A76">
            <w:pPr>
              <w:spacing w:before="40" w:after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6BF2C8B3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60F0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Country, City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9FF1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367489EF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6772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</w:rPr>
            </w:pPr>
            <w:r w:rsidRPr="00983F2A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Hosting organisation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7A5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5FD536B1" w14:textId="77777777" w:rsidTr="00385A76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701D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Venue: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5DDA8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</w:tbl>
    <w:p w14:paraId="11A01B24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280B1144" w14:textId="15EAA7DD" w:rsidR="003C3412" w:rsidRPr="00983F2A" w:rsidRDefault="00C02A6C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br w:type="page"/>
      </w:r>
    </w:p>
    <w:p w14:paraId="0CBD3B2F" w14:textId="343E877F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p w14:paraId="3B020966" w14:textId="77777777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p w14:paraId="463DEAB3" w14:textId="472A0CEC" w:rsidR="00C02A6C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3. </w:t>
      </w:r>
      <w:r w:rsidR="00C02A6C"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>Short summary of your participation in the study visit. Please include valuable takeaways, if any. (up to 2000 characters)</w:t>
      </w:r>
    </w:p>
    <w:p w14:paraId="0B6D59EA" w14:textId="77777777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50E290C6" w14:textId="77777777" w:rsidTr="003C3412">
        <w:trPr>
          <w:trHeight w:val="1532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BED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D8D9E4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002BD121" w14:textId="77777777" w:rsidR="00C02A6C" w:rsidRPr="00983F2A" w:rsidRDefault="00C02A6C" w:rsidP="00C02A6C">
      <w:pPr>
        <w:spacing w:before="20" w:after="40"/>
        <w:jc w:val="both"/>
        <w:rPr>
          <w:rFonts w:ascii="IBM Plex Sans" w:hAnsi="IBM Plex Sans" w:cstheme="minorHAnsi"/>
          <w:b/>
          <w:bCs/>
          <w:color w:val="C00000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4. </w:t>
      </w: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Potential for cooperation, if any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7A2F8B99" w14:textId="77777777" w:rsidTr="003C3412">
        <w:trPr>
          <w:trHeight w:val="1651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958A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E536BBB" w14:textId="77777777" w:rsidR="00C02A6C" w:rsidRPr="00983F2A" w:rsidRDefault="00C02A6C" w:rsidP="00C02A6C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3158A30D" w14:textId="01838879" w:rsidR="00C02A6C" w:rsidRPr="00983F2A" w:rsidRDefault="00502A55" w:rsidP="00C02A6C">
      <w:pPr>
        <w:spacing w:before="20" w:after="40"/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5. </w:t>
      </w:r>
      <w:r w:rsidR="00C02A6C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Optional:</w:t>
      </w:r>
      <w:r w:rsidR="00C02A6C"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C02A6C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Please suggest areas for improvement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1DFE3919" w14:textId="77777777" w:rsidTr="003C3412">
        <w:trPr>
          <w:trHeight w:val="1631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3424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C9CD23" w14:textId="2FD71A8E" w:rsidR="00C02A6C" w:rsidRPr="00983F2A" w:rsidRDefault="00C02A6C" w:rsidP="003C3412">
      <w:pPr>
        <w:rPr>
          <w:rFonts w:ascii="IBM Plex Sans" w:hAnsi="IBM Plex Sans"/>
          <w:sz w:val="20"/>
          <w:szCs w:val="20"/>
        </w:rPr>
      </w:pPr>
    </w:p>
    <w:p w14:paraId="6812F8C7" w14:textId="31A68275" w:rsidR="00502A55" w:rsidRPr="00983F2A" w:rsidRDefault="00502A55" w:rsidP="00502A55">
      <w:pPr>
        <w:spacing w:before="240" w:after="40"/>
        <w:jc w:val="both"/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5. Do you consent that your reimbursing organisation, may con</w:t>
      </w:r>
      <w:r w:rsidR="00094D88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tact you in the future for follow-up</w:t>
      </w: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?</w:t>
      </w:r>
    </w:p>
    <w:p w14:paraId="3ADEE6D3" w14:textId="77777777" w:rsidR="00502A55" w:rsidRPr="00983F2A" w:rsidRDefault="00502A55" w:rsidP="00502A55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>YES / NO</w:t>
      </w:r>
    </w:p>
    <w:p w14:paraId="3518631E" w14:textId="77777777" w:rsidR="00502A55" w:rsidRPr="00983F2A" w:rsidRDefault="00502A55" w:rsidP="00C02A6C">
      <w:pPr>
        <w:rPr>
          <w:rFonts w:ascii="IBM Plex Sans" w:hAnsi="IBM Plex Sans"/>
          <w:sz w:val="20"/>
          <w:szCs w:val="20"/>
        </w:rPr>
      </w:pPr>
    </w:p>
    <w:sectPr w:rsidR="00502A55" w:rsidRPr="00983F2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29A1" w14:textId="77777777" w:rsidR="00C960B8" w:rsidRDefault="00C960B8" w:rsidP="008254E0">
      <w:r>
        <w:separator/>
      </w:r>
    </w:p>
  </w:endnote>
  <w:endnote w:type="continuationSeparator" w:id="0">
    <w:p w14:paraId="6FF5FD2D" w14:textId="77777777" w:rsidR="00C960B8" w:rsidRDefault="00C960B8" w:rsidP="008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Calibri"/>
    <w:panose1 w:val="00000000000000000000"/>
    <w:charset w:val="00"/>
    <w:family w:val="swiss"/>
    <w:notTrueType/>
    <w:pitch w:val="variable"/>
    <w:sig w:usb0="A00002EF" w:usb1="5000203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AC2ED" w14:textId="2E521591" w:rsidR="00983F2A" w:rsidRPr="00983F2A" w:rsidRDefault="00983F2A" w:rsidP="00983F2A">
    <w:pPr>
      <w:pStyle w:val="Footer"/>
      <w:rPr>
        <w:rFonts w:ascii="IBM Plex Sans" w:eastAsiaTheme="minorHAnsi" w:hAnsi="IBM Plex Sans" w:cstheme="minorBidi"/>
        <w:color w:val="auto"/>
        <w:sz w:val="20"/>
        <w:szCs w:val="20"/>
        <w:bdr w:val="none" w:sz="0" w:space="0" w:color="auto"/>
      </w:rPr>
    </w:pPr>
    <w:r w:rsidRPr="00983F2A">
      <w:rPr>
        <w:rFonts w:ascii="IBM Plex Sans" w:hAnsi="IBM Plex Sans"/>
        <w:color w:val="7F7F7F" w:themeColor="text1" w:themeTint="80"/>
        <w:sz w:val="20"/>
        <w:szCs w:val="20"/>
      </w:rPr>
      <w:t xml:space="preserve">NCP_WIDERA.NET has received funding from the European Union's Horizon Europe research and innovation </w:t>
    </w:r>
    <w:proofErr w:type="spellStart"/>
    <w:r w:rsidRPr="00983F2A">
      <w:rPr>
        <w:rFonts w:ascii="IBM Plex Sans" w:hAnsi="IBM Plex Sans"/>
        <w:color w:val="7F7F7F" w:themeColor="text1" w:themeTint="80"/>
        <w:sz w:val="20"/>
        <w:szCs w:val="20"/>
      </w:rPr>
      <w:t>programme</w:t>
    </w:r>
    <w:proofErr w:type="spellEnd"/>
    <w:r w:rsidRPr="00983F2A">
      <w:rPr>
        <w:rFonts w:ascii="IBM Plex Sans" w:hAnsi="IBM Plex Sans"/>
        <w:color w:val="7F7F7F" w:themeColor="text1" w:themeTint="80"/>
        <w:sz w:val="20"/>
        <w:szCs w:val="20"/>
      </w:rPr>
      <w:t xml:space="preserve"> under the Grant Agreement</w:t>
    </w:r>
    <w:r w:rsidRPr="00983F2A">
      <w:rPr>
        <w:rFonts w:ascii="IBM Plex Sans" w:hAnsi="IBM Plex Sans"/>
        <w:noProof/>
        <w:color w:val="7F7F7F" w:themeColor="text1" w:themeTint="80"/>
        <w:sz w:val="20"/>
        <w:szCs w:val="20"/>
      </w:rPr>
      <w:t xml:space="preserve"> </w:t>
    </w:r>
    <w:r w:rsidRPr="00983F2A">
      <w:rPr>
        <w:rFonts w:ascii="IBM Plex Sans" w:eastAsiaTheme="minorHAnsi" w:hAnsi="IBM Plex Sans" w:cstheme="minorBid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752DCC" wp14:editId="5C546FCE">
          <wp:simplePos x="0" y="0"/>
          <wp:positionH relativeFrom="leftMargin">
            <wp:align>right</wp:align>
          </wp:positionH>
          <wp:positionV relativeFrom="paragraph">
            <wp:posOffset>-34925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3F2A">
      <w:rPr>
        <w:rFonts w:ascii="IBM Plex Sans" w:hAnsi="IBM Plex Sans"/>
        <w:noProof/>
        <w:color w:val="7F7F7F" w:themeColor="text1" w:themeTint="80"/>
        <w:sz w:val="20"/>
        <w:szCs w:val="20"/>
      </w:rPr>
      <w:t>101055286</w:t>
    </w:r>
  </w:p>
  <w:p w14:paraId="0E56DBB2" w14:textId="29CBB987" w:rsidR="00FC246B" w:rsidRPr="00983F2A" w:rsidRDefault="00C960B8" w:rsidP="00983F2A">
    <w:pPr>
      <w:pStyle w:val="Footer"/>
      <w:jc w:val="center"/>
      <w:rPr>
        <w:rFonts w:ascii="IBM Plex Sans" w:hAnsi="IBM Plex Sans" w:cstheme="majorHAnsi"/>
        <w:sz w:val="20"/>
        <w:szCs w:val="20"/>
      </w:rPr>
    </w:pPr>
    <w:sdt>
      <w:sdtPr>
        <w:rPr>
          <w:rFonts w:ascii="IBM Plex Sans" w:hAnsi="IBM Plex Sans"/>
          <w:sz w:val="20"/>
          <w:szCs w:val="20"/>
        </w:rPr>
        <w:id w:val="1753628144"/>
        <w:docPartObj>
          <w:docPartGallery w:val="Page Numbers (Bottom of Page)"/>
          <w:docPartUnique/>
        </w:docPartObj>
      </w:sdtPr>
      <w:sdtEndPr>
        <w:rPr>
          <w:rFonts w:cstheme="majorHAnsi"/>
        </w:rPr>
      </w:sdtEndPr>
      <w:sdtContent>
        <w:r w:rsidR="00983F2A" w:rsidRPr="00983F2A">
          <w:rPr>
            <w:rFonts w:ascii="IBM Plex Sans" w:hAnsi="IBM Plex Sans" w:cstheme="majorHAnsi"/>
            <w:sz w:val="20"/>
            <w:szCs w:val="20"/>
          </w:rPr>
          <w:fldChar w:fldCharType="begin"/>
        </w:r>
        <w:r w:rsidR="00983F2A" w:rsidRPr="00983F2A">
          <w:rPr>
            <w:rFonts w:ascii="IBM Plex Sans" w:hAnsi="IBM Plex Sans" w:cstheme="majorHAnsi"/>
            <w:sz w:val="20"/>
            <w:szCs w:val="20"/>
          </w:rPr>
          <w:instrText>PAGE   \* MERGEFORMAT</w:instrText>
        </w:r>
        <w:r w:rsidR="00983F2A" w:rsidRPr="00983F2A">
          <w:rPr>
            <w:rFonts w:ascii="IBM Plex Sans" w:hAnsi="IBM Plex Sans" w:cstheme="majorHAnsi"/>
            <w:sz w:val="20"/>
            <w:szCs w:val="20"/>
          </w:rPr>
          <w:fldChar w:fldCharType="separate"/>
        </w:r>
        <w:r w:rsidR="00983F2A">
          <w:rPr>
            <w:rFonts w:ascii="IBM Plex Sans" w:hAnsi="IBM Plex Sans" w:cstheme="majorHAnsi"/>
            <w:sz w:val="20"/>
            <w:szCs w:val="20"/>
          </w:rPr>
          <w:t>1</w:t>
        </w:r>
        <w:r w:rsidR="00983F2A" w:rsidRPr="00983F2A">
          <w:rPr>
            <w:rFonts w:ascii="IBM Plex Sans" w:hAnsi="IBM Plex Sans" w:cstheme="maj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CCDA" w14:textId="77777777" w:rsidR="00C960B8" w:rsidRDefault="00C960B8" w:rsidP="008254E0">
      <w:r>
        <w:separator/>
      </w:r>
    </w:p>
  </w:footnote>
  <w:footnote w:type="continuationSeparator" w:id="0">
    <w:p w14:paraId="2D8E52FE" w14:textId="77777777" w:rsidR="00C960B8" w:rsidRDefault="00C960B8" w:rsidP="0082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3DD71" w14:textId="562BB6D3" w:rsidR="003C3412" w:rsidRDefault="003C3412">
    <w:pPr>
      <w:pStyle w:val="Header"/>
    </w:pPr>
    <w:r>
      <w:rPr>
        <w:noProof/>
        <w:lang w:val="el-GR" w:eastAsia="el-GR"/>
      </w:rPr>
      <w:drawing>
        <wp:inline distT="0" distB="0" distL="0" distR="0" wp14:anchorId="5FF1BA8A" wp14:editId="078360F8">
          <wp:extent cx="2200910" cy="676910"/>
          <wp:effectExtent l="0" t="0" r="889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E"/>
    <w:rsid w:val="000216D5"/>
    <w:rsid w:val="00094D88"/>
    <w:rsid w:val="000E30FF"/>
    <w:rsid w:val="00123A4C"/>
    <w:rsid w:val="0015224C"/>
    <w:rsid w:val="002441B7"/>
    <w:rsid w:val="002529EB"/>
    <w:rsid w:val="002C275E"/>
    <w:rsid w:val="002C52A8"/>
    <w:rsid w:val="0038202A"/>
    <w:rsid w:val="003903B5"/>
    <w:rsid w:val="003C3412"/>
    <w:rsid w:val="00455A14"/>
    <w:rsid w:val="0046525D"/>
    <w:rsid w:val="005004F9"/>
    <w:rsid w:val="00502A55"/>
    <w:rsid w:val="0057044E"/>
    <w:rsid w:val="005A48BE"/>
    <w:rsid w:val="006902B0"/>
    <w:rsid w:val="006E321D"/>
    <w:rsid w:val="008254E0"/>
    <w:rsid w:val="00866D97"/>
    <w:rsid w:val="00870594"/>
    <w:rsid w:val="00983F2A"/>
    <w:rsid w:val="009E36B1"/>
    <w:rsid w:val="009F5313"/>
    <w:rsid w:val="00A1092F"/>
    <w:rsid w:val="00AC25FF"/>
    <w:rsid w:val="00AF394C"/>
    <w:rsid w:val="00B41035"/>
    <w:rsid w:val="00B6027D"/>
    <w:rsid w:val="00B71A49"/>
    <w:rsid w:val="00B72D3B"/>
    <w:rsid w:val="00B91523"/>
    <w:rsid w:val="00BE5AB9"/>
    <w:rsid w:val="00C00E73"/>
    <w:rsid w:val="00C02A6C"/>
    <w:rsid w:val="00C74D40"/>
    <w:rsid w:val="00C92F8E"/>
    <w:rsid w:val="00C960B8"/>
    <w:rsid w:val="00CD6D07"/>
    <w:rsid w:val="00CE0908"/>
    <w:rsid w:val="00CF640D"/>
    <w:rsid w:val="00D64685"/>
    <w:rsid w:val="00F0724D"/>
    <w:rsid w:val="00F7236C"/>
    <w:rsid w:val="00F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6A1D9"/>
  <w15:chartTrackingRefBased/>
  <w15:docId w15:val="{66BF92FF-543F-437E-8C3B-CDB5712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02A6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97"/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97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5" ma:contentTypeDescription="Δημιουργία νέου εγγράφου" ma:contentTypeScope="" ma:versionID="aae9fc00729c0cf930a8c639aef72a38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5bb74793b6f0cb7ca4092a0b33d5ccd6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CACD0-8AEA-4591-8301-D214C4143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727CD-5B57-4FC9-A175-EC585EC3DE37}">
  <ds:schemaRefs>
    <ds:schemaRef ds:uri="http://schemas.microsoft.com/office/2006/metadata/properties"/>
    <ds:schemaRef ds:uri="http://schemas.microsoft.com/office/infopath/2007/PartnerControls"/>
    <ds:schemaRef ds:uri="37249363-9178-4dc2-b769-05b4e9f5fe63"/>
  </ds:schemaRefs>
</ds:datastoreItem>
</file>

<file path=customXml/itemProps3.xml><?xml version="1.0" encoding="utf-8"?>
<ds:datastoreItem xmlns:ds="http://schemas.openxmlformats.org/officeDocument/2006/customXml" ds:itemID="{9BD5898F-3F96-4385-B892-C9E6D5763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NCBR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PR MPNI</cp:lastModifiedBy>
  <cp:revision>2</cp:revision>
  <dcterms:created xsi:type="dcterms:W3CDTF">2024-05-24T11:48:00Z</dcterms:created>
  <dcterms:modified xsi:type="dcterms:W3CDTF">2024-05-24T11:48:00Z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2023-12-28T10:37:23Z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0879f044-a002-4198-a607-184e098ac1d2</vt:lpwstr>
  </property>
  <property fmtid="{D5CDD505-2E9C-101B-9397-08002B2CF9AE}" pid="9" name="MSIP_Label_91e939cc-945f-447d-b5c0-f5a8e3aaa77b_ContentBits">
    <vt:lpwstr>0</vt:lpwstr>
  </property>
</Properties>
</file>