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6AE" w:rsidRPr="007056AE" w:rsidRDefault="007056AE" w:rsidP="007056AE">
      <w:pPr>
        <w:widowControl w:val="0"/>
        <w:suppressAutoHyphens/>
        <w:spacing w:after="0" w:line="240" w:lineRule="auto"/>
        <w:jc w:val="right"/>
        <w:rPr>
          <w:rFonts w:ascii="Times New Roman" w:eastAsia="Calibri" w:hAnsi="Times New Roman" w:cs="Times New Roman"/>
          <w:b/>
          <w:noProof/>
          <w:sz w:val="24"/>
          <w:szCs w:val="24"/>
          <w:lang w:val="hr-HR"/>
        </w:rPr>
      </w:pPr>
      <w:bookmarkStart w:id="0" w:name="_Hlk163643371"/>
      <w:r w:rsidRPr="007056AE">
        <w:rPr>
          <w:rFonts w:ascii="Times New Roman" w:eastAsia="Calibri" w:hAnsi="Times New Roman" w:cs="Times New Roman"/>
          <w:b/>
          <w:noProof/>
          <w:sz w:val="24"/>
          <w:szCs w:val="24"/>
          <w:lang w:val="hr-HR"/>
        </w:rPr>
        <w:t>PRILOG 3</w:t>
      </w:r>
    </w:p>
    <w:p w:rsidR="007056AE" w:rsidRPr="007056AE" w:rsidRDefault="007056AE" w:rsidP="007056AE">
      <w:pPr>
        <w:spacing w:after="0" w:line="240" w:lineRule="auto"/>
        <w:rPr>
          <w:rFonts w:ascii="Times New Roman" w:eastAsia="Calibri" w:hAnsi="Times New Roman" w:cs="Times New Roman"/>
          <w:b/>
          <w:noProof/>
          <w:sz w:val="24"/>
          <w:szCs w:val="24"/>
          <w:lang w:val="hr-HR"/>
        </w:rPr>
      </w:pPr>
      <w:r w:rsidRPr="007056AE">
        <w:rPr>
          <w:rFonts w:ascii="Times New Roman" w:eastAsia="Calibri" w:hAnsi="Times New Roman" w:cs="Times New Roman"/>
          <w:b/>
          <w:noProof/>
          <w:sz w:val="24"/>
          <w:szCs w:val="24"/>
          <w:lang w:val="hr-HR"/>
        </w:rPr>
        <w:t>LISTA NEOPHODNE</w:t>
      </w:r>
      <w:r w:rsidRPr="007056AE">
        <w:rPr>
          <w:rFonts w:ascii="Times New Roman" w:eastAsia="Lucida Sans Unicode" w:hAnsi="Times New Roman" w:cs="Times New Roman"/>
          <w:kern w:val="1"/>
          <w:sz w:val="24"/>
          <w:szCs w:val="24"/>
          <w:lang w:val="en-GB" w:eastAsia="sk-SK"/>
        </w:rPr>
        <w:t xml:space="preserve"> </w:t>
      </w:r>
      <w:r w:rsidRPr="007056AE">
        <w:rPr>
          <w:rFonts w:ascii="Times New Roman" w:eastAsia="Calibri" w:hAnsi="Times New Roman" w:cs="Times New Roman"/>
          <w:b/>
          <w:noProof/>
          <w:sz w:val="24"/>
          <w:szCs w:val="24"/>
          <w:lang w:val="hr-HR"/>
        </w:rPr>
        <w:t>DOKUMENTACIJE</w:t>
      </w:r>
    </w:p>
    <w:p w:rsidR="007056AE" w:rsidRPr="007056AE" w:rsidRDefault="007056AE" w:rsidP="007056AE">
      <w:pPr>
        <w:spacing w:after="0" w:line="240" w:lineRule="auto"/>
        <w:rPr>
          <w:rFonts w:ascii="Times New Roman" w:eastAsia="Calibri" w:hAnsi="Times New Roman" w:cs="Times New Roman"/>
          <w:b/>
          <w:noProof/>
          <w:sz w:val="24"/>
          <w:szCs w:val="24"/>
          <w:lang w:val="hr-HR"/>
        </w:rPr>
      </w:pPr>
    </w:p>
    <w:p w:rsidR="007056AE" w:rsidRPr="007056AE" w:rsidRDefault="007056AE" w:rsidP="007056AE">
      <w:pPr>
        <w:widowControl w:val="0"/>
        <w:suppressAutoHyphens/>
        <w:spacing w:after="0" w:line="240" w:lineRule="auto"/>
        <w:rPr>
          <w:rFonts w:ascii="Times New Roman" w:eastAsia="Lucida Sans Unicode" w:hAnsi="Times New Roman" w:cs="Times New Roman"/>
          <w:kern w:val="1"/>
          <w:sz w:val="24"/>
          <w:szCs w:val="24"/>
          <w:lang w:val="en-GB" w:eastAsia="sk-SK"/>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4"/>
        <w:gridCol w:w="4536"/>
      </w:tblGrid>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suppressAutoHyphens/>
              <w:spacing w:before="120"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0"/>
                <w:szCs w:val="24"/>
                <w:lang w:val="en-GB" w:eastAsia="sk-SK"/>
              </w:rPr>
              <w:t>Br</w:t>
            </w:r>
          </w:p>
        </w:tc>
        <w:tc>
          <w:tcPr>
            <w:tcW w:w="4394" w:type="dxa"/>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 xml:space="preserve">Dokumenta – </w:t>
            </w:r>
            <w:r w:rsidRPr="007056AE">
              <w:rPr>
                <w:rFonts w:ascii="Times New Roman" w:eastAsia="Lucida Sans Unicode" w:hAnsi="Times New Roman" w:cs="Times New Roman"/>
                <w:kern w:val="1"/>
                <w:sz w:val="24"/>
                <w:szCs w:val="24"/>
                <w:lang w:val="en-US"/>
              </w:rPr>
              <w:t>Originali ili kopije ovjerene od strane suda ili notara</w:t>
            </w: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Označiti sa X u koloni pored</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suppressAutoHyphens/>
              <w:spacing w:before="120" w:after="0" w:line="240" w:lineRule="auto"/>
              <w:jc w:val="center"/>
              <w:rPr>
                <w:rFonts w:ascii="Times New Roman" w:eastAsia="Lucida Sans Unicode" w:hAnsi="Times New Roman" w:cs="Times New Roman"/>
                <w:kern w:val="1"/>
                <w:sz w:val="24"/>
                <w:szCs w:val="24"/>
                <w:lang w:val="en-GB" w:eastAsia="sk-SK"/>
              </w:rPr>
            </w:pPr>
          </w:p>
        </w:tc>
        <w:tc>
          <w:tcPr>
            <w:tcW w:w="4394" w:type="dxa"/>
            <w:vAlign w:val="center"/>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b/>
                <w:kern w:val="1"/>
                <w:sz w:val="24"/>
                <w:szCs w:val="24"/>
                <w:lang w:val="en-GB" w:eastAsia="sk-SK"/>
              </w:rPr>
            </w:pPr>
            <w:r w:rsidRPr="007056AE">
              <w:rPr>
                <w:rFonts w:ascii="Times New Roman" w:eastAsia="Lucida Sans Unicode" w:hAnsi="Times New Roman" w:cs="Times New Roman"/>
                <w:b/>
                <w:kern w:val="1"/>
                <w:sz w:val="28"/>
                <w:szCs w:val="24"/>
                <w:lang w:val="en-GB" w:eastAsia="sk-SK"/>
              </w:rPr>
              <w:t>Fizičko lice</w:t>
            </w: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b/>
                <w:kern w:val="1"/>
                <w:sz w:val="24"/>
                <w:szCs w:val="24"/>
                <w:lang w:val="en-GB" w:eastAsia="sk-SK"/>
              </w:rPr>
            </w:pPr>
            <w:r w:rsidRPr="007056AE">
              <w:rPr>
                <w:rFonts w:ascii="Times New Roman" w:eastAsia="Lucida Sans Unicode" w:hAnsi="Times New Roman" w:cs="Times New Roman"/>
                <w:b/>
                <w:kern w:val="1"/>
                <w:sz w:val="28"/>
                <w:szCs w:val="24"/>
                <w:lang w:val="en-GB" w:eastAsia="sk-SK"/>
              </w:rPr>
              <w:t>Pravno lice</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2"/>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vAlign w:val="center"/>
          </w:tcPr>
          <w:p w:rsidR="007056AE" w:rsidRPr="007056AE" w:rsidRDefault="007056AE" w:rsidP="007056AE">
            <w:pPr>
              <w:widowControl w:val="0"/>
              <w:numPr>
                <w:ilvl w:val="0"/>
                <w:numId w:val="4"/>
              </w:numPr>
              <w:suppressAutoHyphens/>
              <w:spacing w:after="0" w:line="240" w:lineRule="auto"/>
              <w:ind w:left="106"/>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Popunjen, potpisan i pečatiran Zahtjev za dodjelu podrške od strane podnosioca zahtjeva/odgovornog lica (izvršnog direktora ili ovlašćenog lica za pravna lica) – Obrazac 1.</w:t>
            </w:r>
          </w:p>
        </w:tc>
        <w:tc>
          <w:tcPr>
            <w:tcW w:w="4536" w:type="dxa"/>
            <w:vAlign w:val="center"/>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Popunjen, potpisan i pečatiran Zahtjev za dodjelu podrške od strane podnosioca zahtjeva/odgovornog lica (izvršnog direktora ili ovlašćenog lica za pravna lica) – Obrazac 1.</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2"/>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Dokaz o upisu u odgovarajući registar proizvođača MPŠV-a ili njegovih povezanih organa:</w:t>
            </w:r>
          </w:p>
          <w:p w:rsidR="007056AE" w:rsidRPr="007056AE" w:rsidRDefault="007056AE" w:rsidP="007056AE">
            <w:pPr>
              <w:widowControl w:val="0"/>
              <w:numPr>
                <w:ilvl w:val="0"/>
                <w:numId w:val="3"/>
              </w:numPr>
              <w:suppressAutoHyphens/>
              <w:spacing w:after="0" w:line="240" w:lineRule="auto"/>
              <w:ind w:left="382"/>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 xml:space="preserve">Za stočarstvo, sektor mlijeka: Registri Uprave za bezbjednost hrane, veterinu i fitosanitarne poslove (centralni registar). </w:t>
            </w:r>
            <w:r w:rsidRPr="007056AE">
              <w:rPr>
                <w:rFonts w:ascii="Times New Roman" w:eastAsia="Times New Roman" w:hAnsi="Times New Roman" w:cs="Times New Roman"/>
                <w:sz w:val="24"/>
                <w:szCs w:val="24"/>
                <w:lang w:val="en-GB" w:eastAsia="tr-TR"/>
              </w:rPr>
              <w:t>(relevantno za podmjeru 7.2)</w:t>
            </w:r>
          </w:p>
          <w:p w:rsidR="007056AE" w:rsidRPr="007056AE" w:rsidRDefault="007056AE" w:rsidP="007056AE">
            <w:pPr>
              <w:widowControl w:val="0"/>
              <w:numPr>
                <w:ilvl w:val="0"/>
                <w:numId w:val="3"/>
              </w:numPr>
              <w:suppressAutoHyphens/>
              <w:spacing w:after="0" w:line="240" w:lineRule="auto"/>
              <w:ind w:left="382"/>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 xml:space="preserve">Za vinogradarstvo: Registar proizvođača grožđa i vina – Vinogradarski registar u okviru </w:t>
            </w:r>
            <w:r w:rsidRPr="007056AE">
              <w:rPr>
                <w:rFonts w:ascii="Times New Roman" w:eastAsia="Times New Roman" w:hAnsi="Times New Roman" w:cs="Times New Roman"/>
                <w:sz w:val="24"/>
                <w:szCs w:val="24"/>
                <w:lang w:val="en-GB" w:eastAsia="tr-TR"/>
              </w:rPr>
              <w:t>Ministarstva poljoprivrede, šumarstva i vodoprivrede (relevantno za podmjere 7.1 i 7.2)</w:t>
            </w:r>
          </w:p>
          <w:p w:rsidR="007056AE" w:rsidRPr="007056AE" w:rsidRDefault="007056AE" w:rsidP="007056AE">
            <w:pPr>
              <w:widowControl w:val="0"/>
              <w:numPr>
                <w:ilvl w:val="0"/>
                <w:numId w:val="3"/>
              </w:numPr>
              <w:suppressAutoHyphens/>
              <w:spacing w:after="0" w:line="240" w:lineRule="auto"/>
              <w:ind w:left="382"/>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 xml:space="preserve">Za maslinarstvo: Registar proizvođača maslina u okviru </w:t>
            </w:r>
            <w:r w:rsidRPr="007056AE">
              <w:rPr>
                <w:rFonts w:ascii="Times New Roman" w:eastAsia="Times New Roman" w:hAnsi="Times New Roman" w:cs="Times New Roman"/>
                <w:sz w:val="24"/>
                <w:szCs w:val="24"/>
                <w:lang w:val="en-GB" w:eastAsia="tr-TR"/>
              </w:rPr>
              <w:t>Ministarstva poljoprivrede, šumarstva i vodoprivrede (relevantno za podmjere 7.1 i 7.2)</w:t>
            </w:r>
          </w:p>
          <w:p w:rsidR="007056AE" w:rsidRPr="007056AE" w:rsidRDefault="007056AE" w:rsidP="007056AE">
            <w:pPr>
              <w:widowControl w:val="0"/>
              <w:numPr>
                <w:ilvl w:val="0"/>
                <w:numId w:val="3"/>
              </w:numPr>
              <w:suppressAutoHyphens/>
              <w:spacing w:after="0" w:line="240" w:lineRule="auto"/>
              <w:ind w:left="382"/>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Za ostale oblasti biljne proizvodnje: Registri Uprave za bezbjednost hrane, veterinu i fitosanitarne poslove (relevantno za podmjeru 7.2)</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p>
        </w:tc>
        <w:tc>
          <w:tcPr>
            <w:tcW w:w="4536" w:type="dxa"/>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Dokaz o upisu u odgovarajući registar proizvođača MPŠV-a ili njegovih povezanih organa:</w:t>
            </w:r>
          </w:p>
          <w:p w:rsidR="007056AE" w:rsidRPr="007056AE" w:rsidRDefault="007056AE" w:rsidP="007056AE">
            <w:pPr>
              <w:widowControl w:val="0"/>
              <w:numPr>
                <w:ilvl w:val="0"/>
                <w:numId w:val="3"/>
              </w:numPr>
              <w:suppressAutoHyphens/>
              <w:spacing w:after="0" w:line="240" w:lineRule="auto"/>
              <w:ind w:left="382"/>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 xml:space="preserve">Za stočarstvo, sektor mlijeka: Registri Uprave za bezbjednost hrane, veterinu i fitosanitarne poslove (centralni registar). </w:t>
            </w:r>
            <w:r w:rsidRPr="007056AE">
              <w:rPr>
                <w:rFonts w:ascii="Times New Roman" w:eastAsia="Times New Roman" w:hAnsi="Times New Roman" w:cs="Times New Roman"/>
                <w:sz w:val="24"/>
                <w:szCs w:val="24"/>
                <w:lang w:val="en-GB" w:eastAsia="tr-TR"/>
              </w:rPr>
              <w:t>(relevantno za podmjeru 7.2)</w:t>
            </w:r>
          </w:p>
          <w:p w:rsidR="007056AE" w:rsidRPr="007056AE" w:rsidRDefault="007056AE" w:rsidP="007056AE">
            <w:pPr>
              <w:widowControl w:val="0"/>
              <w:numPr>
                <w:ilvl w:val="0"/>
                <w:numId w:val="3"/>
              </w:numPr>
              <w:suppressAutoHyphens/>
              <w:spacing w:after="0" w:line="240" w:lineRule="auto"/>
              <w:ind w:left="382"/>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 xml:space="preserve">Za vinogradarstvo: Registar proizvođača grožđa i vina – Vinogradarski registar u okviru </w:t>
            </w:r>
            <w:r w:rsidRPr="007056AE">
              <w:rPr>
                <w:rFonts w:ascii="Times New Roman" w:eastAsia="Times New Roman" w:hAnsi="Times New Roman" w:cs="Times New Roman"/>
                <w:sz w:val="24"/>
                <w:szCs w:val="24"/>
                <w:lang w:val="en-GB" w:eastAsia="tr-TR"/>
              </w:rPr>
              <w:t>Ministarstva poljoprivrede, šumarstva i vodoprivrede (relevantno za podmjere 7.1 i 7.2)</w:t>
            </w:r>
          </w:p>
          <w:p w:rsidR="007056AE" w:rsidRPr="007056AE" w:rsidRDefault="007056AE" w:rsidP="007056AE">
            <w:pPr>
              <w:widowControl w:val="0"/>
              <w:numPr>
                <w:ilvl w:val="0"/>
                <w:numId w:val="3"/>
              </w:numPr>
              <w:suppressAutoHyphens/>
              <w:spacing w:after="0" w:line="240" w:lineRule="auto"/>
              <w:ind w:left="382"/>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 xml:space="preserve">Za maslinarstvo: Registar proizvođača maslina u okviru </w:t>
            </w:r>
            <w:r w:rsidRPr="007056AE">
              <w:rPr>
                <w:rFonts w:ascii="Times New Roman" w:eastAsia="Times New Roman" w:hAnsi="Times New Roman" w:cs="Times New Roman"/>
                <w:sz w:val="24"/>
                <w:szCs w:val="24"/>
                <w:lang w:val="en-GB" w:eastAsia="tr-TR"/>
              </w:rPr>
              <w:t>Ministarstva poljoprivrede, šumarstva i vodoprivrede (relevantno za podmjere 7.1 i 7.2)</w:t>
            </w:r>
          </w:p>
          <w:p w:rsidR="007056AE" w:rsidRPr="007056AE" w:rsidRDefault="007056AE" w:rsidP="007056AE">
            <w:pPr>
              <w:widowControl w:val="0"/>
              <w:numPr>
                <w:ilvl w:val="0"/>
                <w:numId w:val="3"/>
              </w:numPr>
              <w:suppressAutoHyphens/>
              <w:spacing w:after="0" w:line="240" w:lineRule="auto"/>
              <w:ind w:left="382"/>
              <w:contextualSpacing/>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Za ostale oblasti biljne proizvodnje: Registri Uprave za bezbjednost hrane, veterinu i fitosanitarne poslove (relevantno za podmjeru 7.2)</w:t>
            </w: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2"/>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Rješenje o upisu u Registar registrovanih objekata za proizvodnju, preradu i distribuciju hrane na poljoprivrednom gazdinstvu (odnosi se na podmjeru 7.2 za podnosioce zahtjeva koji već imaju preradu na gazdinstvu)</w:t>
            </w:r>
          </w:p>
        </w:tc>
        <w:tc>
          <w:tcPr>
            <w:tcW w:w="4536" w:type="dxa"/>
            <w:shd w:val="clear" w:color="auto" w:fill="auto"/>
            <w:vAlign w:val="center"/>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Rješenje o upisu u Registar registrovanih objekata za proizvodnju, preradu i distribuciju hrane na poljoprivrednom gazdinstvu (odnosi se na podmjeru 7.2 za podnosioce zahtjeva koji već imaju preradu na gazdinstvu)</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2"/>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 xml:space="preserve">Kopija lične karte </w:t>
            </w:r>
            <w:r w:rsidRPr="007056AE">
              <w:rPr>
                <w:rFonts w:ascii="Times New Roman" w:eastAsia="Lucida Sans Unicode" w:hAnsi="Times New Roman" w:cs="Times New Roman"/>
                <w:kern w:val="1"/>
                <w:sz w:val="24"/>
                <w:szCs w:val="24"/>
                <w:lang w:val="en-US"/>
              </w:rPr>
              <w:t>(za fizička lica - nosilac poljoprivrednog gazdinstva i izvršnog direktora ili ovlašćenog lica za pravna lica)</w:t>
            </w: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Verdana" w:eastAsia="Lucida Sans Unicode" w:hAnsi="Verdana" w:cs="Times New Roman"/>
                <w:kern w:val="1"/>
                <w:sz w:val="20"/>
                <w:szCs w:val="24"/>
                <w:lang w:val="bs" w:eastAsia="sk-SK"/>
              </w:rPr>
              <w:t>Kopija lične karte (za fizička lica - nosilac poljoprivrednog gazdinstva i izvršnog direktora ili ovlašćenog lica za pravna lica)</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2"/>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Ovlašćenje za zastupnika ovjereno od strane suda ili notara ne starije od 30 dana od dana podnošenja zahtjeva - ako je podnosilac zahtjeva imenovao zastupnika</w:t>
            </w: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Verdana" w:eastAsia="Lucida Sans Unicode" w:hAnsi="Verdana" w:cs="Times New Roman"/>
                <w:kern w:val="1"/>
                <w:sz w:val="20"/>
                <w:szCs w:val="24"/>
                <w:lang w:val="bs" w:eastAsia="sk-SK"/>
              </w:rPr>
              <w:t>Ovlašćenje za zastupnika ovjereno od strane suda ili notara ne starije od 30 dana od dana podnošenja zahtjeva - ako je podnosilac zahtjeva imenovao zastupnika</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tabs>
                <w:tab w:val="left" w:pos="743"/>
              </w:tabs>
              <w:suppressAutoHyphens/>
              <w:spacing w:after="0" w:line="240" w:lineRule="auto"/>
              <w:jc w:val="right"/>
              <w:rPr>
                <w:rFonts w:ascii="Times New Roman" w:eastAsia="Lucida Sans Unicode" w:hAnsi="Times New Roman" w:cs="Times New Roman"/>
                <w:kern w:val="1"/>
                <w:sz w:val="20"/>
                <w:szCs w:val="24"/>
                <w:lang w:val="bs" w:eastAsia="sk-SK"/>
              </w:rPr>
            </w:pPr>
            <w:r w:rsidRPr="007056AE">
              <w:rPr>
                <w:rFonts w:ascii="Times New Roman" w:eastAsia="Lucida Sans Unicode" w:hAnsi="Times New Roman" w:cs="Times New Roman"/>
                <w:kern w:val="1"/>
                <w:sz w:val="20"/>
                <w:szCs w:val="24"/>
                <w:lang w:val="bs" w:eastAsia="sk-SK"/>
              </w:rPr>
              <w:lastRenderedPageBreak/>
              <w:t>6.</w:t>
            </w:r>
          </w:p>
        </w:tc>
        <w:tc>
          <w:tcPr>
            <w:tcW w:w="4394" w:type="dxa"/>
            <w:vAlign w:val="center"/>
          </w:tcPr>
          <w:p w:rsidR="007056AE" w:rsidRPr="007056AE" w:rsidRDefault="007056AE" w:rsidP="007056AE">
            <w:pPr>
              <w:widowControl w:val="0"/>
              <w:suppressAutoHyphens/>
              <w:spacing w:after="0" w:line="240" w:lineRule="auto"/>
              <w:ind w:left="142"/>
              <w:jc w:val="both"/>
              <w:rPr>
                <w:rFonts w:ascii="Times New Roman" w:eastAsia="Lucida Sans Unicode" w:hAnsi="Times New Roman" w:cs="Times New Roman"/>
                <w:kern w:val="1"/>
                <w:sz w:val="24"/>
                <w:szCs w:val="24"/>
                <w:lang w:val="en-GB" w:eastAsia="sk-SK"/>
              </w:rPr>
            </w:pP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Diploma podnosioca zahtjeva – za fizičko lice/za pravno lice – ovlašćenog zastupnika (izvršnog direktora) o završenom IV stepenu nacionalnog okvira kvalifikacija.</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 slučaju da podnosilac zahtjeva - ovlašćeni zastupnik ne ispunjava gore navedene uslove, pismeno se obavezuje (u dijelu prijave Obaveze podnosioca zahtjeva) da će završiti IV nivo klasifikacije prije konačne isplate sredstava podrške (relevantno za podmjeru 7.1).</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Uvjerenje o završenoj srednjoj školi ili fakultetu (za fizičko lice/za pravno lice i kooperative – ovlašćeni zastupnik), najmanje IV1 nivo nacionalnog okvira kvalifikacija (završeno najmanje četiri godine srednje škole) ili dokaz o dovoljno iskustva u poljoprivrednoj proizvodnji, preradi ili uslugama vezanim za poljoprivredu - najmanje 3 godine (dokazuje se kroz evidenciju Ministarstva poljoprivrede, šumarstva i vodoprivrede)</w:t>
            </w:r>
            <w:r w:rsidRPr="007056AE" w:rsidDel="00336798">
              <w:rPr>
                <w:rFonts w:ascii="Times New Roman" w:eastAsia="Lucida Sans Unicode" w:hAnsi="Times New Roman" w:cs="Times New Roman"/>
                <w:kern w:val="1"/>
                <w:sz w:val="24"/>
                <w:szCs w:val="24"/>
                <w:lang w:val="en-GB" w:eastAsia="sk-SK"/>
              </w:rPr>
              <w:t xml:space="preserve"> </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 xml:space="preserve">U slučaju da podnosilac zahtjeva/ovlašćeni zastupnik ne ispunjava gore navedene </w:t>
            </w:r>
            <w:proofErr w:type="gramStart"/>
            <w:r w:rsidRPr="007056AE">
              <w:rPr>
                <w:rFonts w:ascii="Times New Roman" w:eastAsia="Lucida Sans Unicode" w:hAnsi="Times New Roman" w:cs="Times New Roman"/>
                <w:kern w:val="1"/>
                <w:sz w:val="24"/>
                <w:szCs w:val="24"/>
                <w:lang w:val="en-GB" w:eastAsia="sk-SK"/>
              </w:rPr>
              <w:t>uslove</w:t>
            </w:r>
            <w:r w:rsidRPr="007056AE" w:rsidDel="00336798">
              <w:rPr>
                <w:rFonts w:ascii="Times New Roman" w:eastAsia="Lucida Sans Unicode" w:hAnsi="Times New Roman" w:cs="Times New Roman"/>
                <w:kern w:val="1"/>
                <w:sz w:val="24"/>
                <w:szCs w:val="24"/>
                <w:lang w:val="en-GB" w:eastAsia="sk-SK"/>
              </w:rPr>
              <w:t xml:space="preserve"> </w:t>
            </w:r>
            <w:r w:rsidRPr="007056AE">
              <w:rPr>
                <w:rFonts w:ascii="Times New Roman" w:eastAsia="Lucida Sans Unicode" w:hAnsi="Times New Roman" w:cs="Times New Roman"/>
                <w:kern w:val="1"/>
                <w:sz w:val="24"/>
                <w:szCs w:val="24"/>
                <w:lang w:val="en-GB" w:eastAsia="sk-SK"/>
              </w:rPr>
              <w:t xml:space="preserve"> obavezati</w:t>
            </w:r>
            <w:proofErr w:type="gramEnd"/>
            <w:r w:rsidRPr="007056AE">
              <w:rPr>
                <w:rFonts w:ascii="Times New Roman" w:eastAsia="Lucida Sans Unicode" w:hAnsi="Times New Roman" w:cs="Times New Roman"/>
                <w:kern w:val="1"/>
                <w:sz w:val="24"/>
                <w:szCs w:val="24"/>
                <w:lang w:val="en-GB" w:eastAsia="sk-SK"/>
              </w:rPr>
              <w:t xml:space="preserve"> će se u pisanoj formi (u dijelu prijave Obaveze podnosioca zahtjeva) da će pohađati kurs obuke u trajanju od najmanje 50 nastavnih sati u relevantnom sektoru prije završetka investicije) (traženi dokumenti se odnose na ovlašćenog predstavnika poljoprivrednog gazdinstva (relevantno za podmjeru 7.2)</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određenom nivou kvalifikacija i stručne osposobljenosti u skladu sa relevantnim zakonima koji se odnose na datu oblast; (relevantno za podmjeru 7.3)</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 slučaju da podnosilac zahtjeva ne ispunjava gore navedene vještine i kompetencije, obavezati će se u pisanoj formi (u dijelu prijave Obaveze podnosioca zahtjeva) da će imati završen nivo kvalifikacija i stručne osposobljenosti u skladu sa relevantnim zakonima koji se odnose na datu oblasti (relevantno za podmjeru 7.3)</w:t>
            </w:r>
          </w:p>
        </w:tc>
        <w:tc>
          <w:tcPr>
            <w:tcW w:w="4536" w:type="dxa"/>
            <w:vAlign w:val="center"/>
          </w:tcPr>
          <w:p w:rsidR="007056AE" w:rsidRPr="007056AE" w:rsidRDefault="007056AE" w:rsidP="007056AE">
            <w:pPr>
              <w:widowControl w:val="0"/>
              <w:suppressAutoHyphens/>
              <w:spacing w:after="0" w:line="240" w:lineRule="auto"/>
              <w:ind w:left="142"/>
              <w:jc w:val="both"/>
              <w:rPr>
                <w:rFonts w:ascii="Times New Roman" w:eastAsia="Lucida Sans Unicode" w:hAnsi="Times New Roman" w:cs="Times New Roman"/>
                <w:kern w:val="1"/>
                <w:sz w:val="24"/>
                <w:szCs w:val="24"/>
                <w:lang w:val="en-GB" w:eastAsia="sk-SK"/>
              </w:rPr>
            </w:pP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Diploma podnosioca zahtjeva – za fizičko lice/za pravno lice – ovlašćenog zastupnika (izvršnog direktora) o završenom IV stepenu nacionalnog okvira kvalifikacija.</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 slučaju da podnosilac zahtjeva - ovlašćeni zastupnik ne ispunjava gore navedene uslove, pismeno se obavezuje (u dijelu prijave Obaveze podnosioca zahtjeva) da će završiti IV nivo klasifikacije prije konačne isplate sredstava podrške (relevantno za podmjeru 7.1).</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Uvjerenje o završenoj srednjoj školi ili fakultetu (za fizičko lice/za pravno lice i kooperative – ovlašćeni zastupnik), najmanje IV1 nivo nacionalnog okvira kvalifikacija (završeno najmanje četiri godine srednje škole) ili dokaz o dovoljno iskustva u poljoprivrednoj proizvodnji, preradi ili uslugama vezanim za poljoprivredu - najmanje 3 godine (dokazuje se kroz evidenciju Ministarstva poljoprivrede, šumarstva i vodoprivrede)</w:t>
            </w:r>
            <w:r w:rsidRPr="007056AE" w:rsidDel="00336798">
              <w:rPr>
                <w:rFonts w:ascii="Times New Roman" w:eastAsia="Lucida Sans Unicode" w:hAnsi="Times New Roman" w:cs="Times New Roman"/>
                <w:kern w:val="1"/>
                <w:sz w:val="24"/>
                <w:szCs w:val="24"/>
                <w:lang w:val="en-GB" w:eastAsia="sk-SK"/>
              </w:rPr>
              <w:t xml:space="preserve"> </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 xml:space="preserve">U slučaju da podnosilac zahtjeva/ovlašćeni zastupnik ne ispunjava gore navedene </w:t>
            </w:r>
            <w:proofErr w:type="gramStart"/>
            <w:r w:rsidRPr="007056AE">
              <w:rPr>
                <w:rFonts w:ascii="Times New Roman" w:eastAsia="Lucida Sans Unicode" w:hAnsi="Times New Roman" w:cs="Times New Roman"/>
                <w:kern w:val="1"/>
                <w:sz w:val="24"/>
                <w:szCs w:val="24"/>
                <w:lang w:val="en-GB" w:eastAsia="sk-SK"/>
              </w:rPr>
              <w:t>uslove</w:t>
            </w:r>
            <w:r w:rsidRPr="007056AE" w:rsidDel="00336798">
              <w:rPr>
                <w:rFonts w:ascii="Times New Roman" w:eastAsia="Lucida Sans Unicode" w:hAnsi="Times New Roman" w:cs="Times New Roman"/>
                <w:kern w:val="1"/>
                <w:sz w:val="24"/>
                <w:szCs w:val="24"/>
                <w:lang w:val="en-GB" w:eastAsia="sk-SK"/>
              </w:rPr>
              <w:t xml:space="preserve"> </w:t>
            </w:r>
            <w:r w:rsidRPr="007056AE">
              <w:rPr>
                <w:rFonts w:ascii="Times New Roman" w:eastAsia="Lucida Sans Unicode" w:hAnsi="Times New Roman" w:cs="Times New Roman"/>
                <w:kern w:val="1"/>
                <w:sz w:val="24"/>
                <w:szCs w:val="24"/>
                <w:lang w:val="en-GB" w:eastAsia="sk-SK"/>
              </w:rPr>
              <w:t xml:space="preserve"> obavezati</w:t>
            </w:r>
            <w:proofErr w:type="gramEnd"/>
            <w:r w:rsidRPr="007056AE">
              <w:rPr>
                <w:rFonts w:ascii="Times New Roman" w:eastAsia="Lucida Sans Unicode" w:hAnsi="Times New Roman" w:cs="Times New Roman"/>
                <w:kern w:val="1"/>
                <w:sz w:val="24"/>
                <w:szCs w:val="24"/>
                <w:lang w:val="en-GB" w:eastAsia="sk-SK"/>
              </w:rPr>
              <w:t xml:space="preserve"> će se u pisanoj formi (u dijelu prijave Obaveze podnosioca zahtjeva) da će pohađati kurs obuke u trajanju od najmanje 50 nastavnih sati u relevantnom sektoru prije završetka investicije) (traženi dokumenti se odnose na ovlašćenog predstavnika poljoprivrednog gazdinstva (relevantno za podmjeru 7.2)</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određenom nivou kvalifikacija i stručne osposobljenosti u skladu sa relevantnim zakonima koji se odnose na datu oblast; (relevantno za podmjeru 7.3)</w:t>
            </w: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 slučaju da podnosilac zahtjeva ne ispunjava gore navedene vještine i kompetencije, obavezati će se u pisanoj formi (u dijelu prijave Obaveze podnosioca zahtjeva) da će imati završen nivo kvalifikacija i stručne osposobljenosti u skladu sa relevantnim zakonima koji se odnose na datu oblasti (relevantno za podmjeru 7.3)</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contextualSpacing/>
              <w:jc w:val="center"/>
              <w:rPr>
                <w:rFonts w:ascii="Times New Roman" w:eastAsia="Lucida Sans Unicode" w:hAnsi="Times New Roman" w:cs="Times New Roman"/>
                <w:kern w:val="1"/>
                <w:sz w:val="20"/>
                <w:szCs w:val="24"/>
                <w:lang w:val="bs" w:eastAsia="sk-SK"/>
              </w:rPr>
            </w:pPr>
          </w:p>
          <w:p w:rsidR="007056AE" w:rsidRPr="007056AE" w:rsidRDefault="007056AE" w:rsidP="007056AE">
            <w:pPr>
              <w:widowControl w:val="0"/>
              <w:suppressAutoHyphens/>
              <w:spacing w:after="0" w:line="240" w:lineRule="auto"/>
              <w:rPr>
                <w:rFonts w:ascii="Verdana" w:eastAsia="Lucida Sans Unicode" w:hAnsi="Verdana" w:cs="Times New Roman"/>
                <w:kern w:val="1"/>
                <w:sz w:val="20"/>
                <w:szCs w:val="24"/>
                <w:lang w:val="bs" w:eastAsia="sk-SK"/>
              </w:rPr>
            </w:pPr>
          </w:p>
          <w:p w:rsidR="007056AE" w:rsidRPr="007056AE" w:rsidRDefault="007056AE" w:rsidP="007056AE">
            <w:pPr>
              <w:widowControl w:val="0"/>
              <w:suppressAutoHyphens/>
              <w:spacing w:after="0" w:line="240" w:lineRule="auto"/>
              <w:jc w:val="right"/>
              <w:rPr>
                <w:rFonts w:ascii="Times New Roman" w:eastAsia="Lucida Sans Unicode" w:hAnsi="Times New Roman" w:cs="Times New Roman"/>
                <w:kern w:val="1"/>
                <w:sz w:val="20"/>
                <w:szCs w:val="24"/>
                <w:lang w:val="bs" w:eastAsia="sk-SK"/>
              </w:rPr>
            </w:pPr>
            <w:r w:rsidRPr="007056AE">
              <w:rPr>
                <w:rFonts w:ascii="Times New Roman" w:eastAsia="Lucida Sans Unicode" w:hAnsi="Times New Roman" w:cs="Times New Roman"/>
                <w:kern w:val="1"/>
                <w:sz w:val="20"/>
                <w:szCs w:val="24"/>
                <w:lang w:val="bs" w:eastAsia="sk-SK"/>
              </w:rPr>
              <w:t>7.</w:t>
            </w: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US"/>
              </w:rPr>
            </w:pPr>
            <w:r w:rsidRPr="007056AE">
              <w:rPr>
                <w:rFonts w:ascii="Times New Roman" w:eastAsia="Lucida Sans Unicode" w:hAnsi="Times New Roman" w:cs="Times New Roman"/>
                <w:kern w:val="1"/>
                <w:sz w:val="24"/>
                <w:szCs w:val="24"/>
                <w:lang w:val="bs" w:eastAsia="sk-SK"/>
              </w:rPr>
              <w:t>Dokaz od nadležnog suda da se protiv podnosioca zahtjeva ne vodi krivični postupak od strane javnog tužioca, ne stariji od 3 mjeseca</w:t>
            </w:r>
          </w:p>
        </w:tc>
        <w:tc>
          <w:tcPr>
            <w:tcW w:w="4536" w:type="dxa"/>
            <w:vAlign w:val="center"/>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rPr>
              <w:t>Dokaz o broju zaposlenih - spisak svih zaposlenih uključujući i odgovorno lice preduzeća (izvršnog direktora) iz službenih podataka pravnih lica (za sva pravna lica) za posljednji obračunski period izdat od strane Poreske uprave.</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vlasništvu nad zemljištem i/ili objektima</w:t>
            </w:r>
            <w:r w:rsidRPr="007056AE">
              <w:rPr>
                <w:rFonts w:ascii="Verdana" w:eastAsia="Lucida Sans Unicode" w:hAnsi="Verdana" w:cs="Times New Roman"/>
                <w:kern w:val="1"/>
                <w:sz w:val="20"/>
                <w:szCs w:val="24"/>
                <w:lang w:val="bs" w:eastAsia="sk-SK"/>
              </w:rPr>
              <w:t xml:space="preserve"> </w:t>
            </w:r>
            <w:r w:rsidRPr="007056AE">
              <w:rPr>
                <w:rFonts w:ascii="Times New Roman" w:eastAsia="Lucida Sans Unicode" w:hAnsi="Times New Roman" w:cs="Times New Roman"/>
                <w:kern w:val="1"/>
                <w:sz w:val="24"/>
                <w:szCs w:val="24"/>
                <w:lang w:val="en-GB" w:eastAsia="sk-SK"/>
              </w:rPr>
              <w:t>ili dokaz o zakupu - pravu korišćenja</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i/>
                <w:kern w:val="1"/>
                <w:sz w:val="24"/>
                <w:szCs w:val="24"/>
                <w:lang w:val="en-GB" w:eastAsia="sk-SK"/>
              </w:rPr>
            </w:pPr>
            <w:r w:rsidRPr="007056AE">
              <w:rPr>
                <w:rFonts w:ascii="Times New Roman" w:eastAsia="Lucida Sans Unicode" w:hAnsi="Times New Roman" w:cs="Times New Roman"/>
                <w:i/>
                <w:kern w:val="1"/>
                <w:sz w:val="24"/>
                <w:szCs w:val="24"/>
                <w:lang w:val="en-GB" w:eastAsia="sk-SK"/>
              </w:rPr>
              <w:t>U slučaju da podnosilac zahtjeva ne posjeduje u sopstvenom vlasništvu zemljište i/ili objekte koji su predmet investicije, dostaviće dokaz o zakupu – pravu korišćenja/saglasnost i obavezati će se u pisanoj formi (u dijelu prijave Obaveze podnosioca zahtjeva) da će podnosilac zahtjeva biti vlasnik predmetne investicije do konačne isplate sredstava,</w:t>
            </w:r>
            <w:r w:rsidRPr="007056AE">
              <w:rPr>
                <w:rFonts w:ascii="Verdana" w:eastAsia="Lucida Sans Unicode" w:hAnsi="Verdana" w:cs="Times New Roman"/>
                <w:i/>
                <w:kern w:val="1"/>
                <w:sz w:val="20"/>
                <w:szCs w:val="24"/>
                <w:lang w:val="bs" w:eastAsia="sk-SK"/>
              </w:rPr>
              <w:t xml:space="preserve"> </w:t>
            </w:r>
            <w:r w:rsidRPr="007056AE">
              <w:rPr>
                <w:rFonts w:ascii="Times New Roman" w:eastAsia="Lucida Sans Unicode" w:hAnsi="Times New Roman" w:cs="Times New Roman"/>
                <w:i/>
                <w:kern w:val="1"/>
                <w:sz w:val="24"/>
                <w:szCs w:val="24"/>
                <w:lang w:val="en-GB" w:eastAsia="sk-SK"/>
              </w:rPr>
              <w:t>a do tada će obezbjediti dokaz o pravu korišćenja zemljišta.</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Napomena: Za podnosioce zahtjeva koji realizuju investiciju ispod 600 metara nadmorske visine relevantan je samo dokaz o vlasništvu</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Dokaz iz Privrednog suda da pravno lice nije u stečajnom postupku, ne stariji od 3 mjeseca</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Glavni projekat revidovan od strane ovlašćenog lica u skladu sa Zakonom o uređenju prostora i izgradnji objekata za planiranu izgradnju ili rekonstrukciju.</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Dokaz od nadležnog suda da se protiv podnosioca zahtjeva ne vodi krivični postupak od strane javnog tužioca, ne stariji od 3 mjeseca</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Izvještaj o izvršenoj reviziji glavnog projekta.</w:t>
            </w:r>
          </w:p>
        </w:tc>
        <w:tc>
          <w:tcPr>
            <w:tcW w:w="4536"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vlasništvu nad zemljištem i/ili objektima</w:t>
            </w:r>
            <w:r w:rsidRPr="007056AE">
              <w:rPr>
                <w:rFonts w:ascii="Verdana" w:eastAsia="Lucida Sans Unicode" w:hAnsi="Verdana" w:cs="Times New Roman"/>
                <w:kern w:val="1"/>
                <w:sz w:val="20"/>
                <w:szCs w:val="24"/>
                <w:lang w:val="bs" w:eastAsia="sk-SK"/>
              </w:rPr>
              <w:t xml:space="preserve"> </w:t>
            </w:r>
            <w:r w:rsidRPr="007056AE">
              <w:rPr>
                <w:rFonts w:ascii="Times New Roman" w:eastAsia="Lucida Sans Unicode" w:hAnsi="Times New Roman" w:cs="Times New Roman"/>
                <w:kern w:val="1"/>
                <w:sz w:val="24"/>
                <w:szCs w:val="24"/>
                <w:lang w:val="en-GB" w:eastAsia="sk-SK"/>
              </w:rPr>
              <w:t>ili dokaz o zakupu - pravu korišćenja</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i/>
                <w:kern w:val="1"/>
                <w:sz w:val="24"/>
                <w:szCs w:val="24"/>
                <w:lang w:val="en-GB" w:eastAsia="sk-SK"/>
              </w:rPr>
            </w:pPr>
            <w:r w:rsidRPr="007056AE">
              <w:rPr>
                <w:rFonts w:ascii="Times New Roman" w:eastAsia="Lucida Sans Unicode" w:hAnsi="Times New Roman" w:cs="Times New Roman"/>
                <w:i/>
                <w:kern w:val="1"/>
                <w:sz w:val="24"/>
                <w:szCs w:val="24"/>
                <w:lang w:val="en-GB" w:eastAsia="sk-SK"/>
              </w:rPr>
              <w:t>U slučaju da podnosilac zahtjeva ne posjeduje u sopstvenom vlasništvu zemljište i/ili objekte koji su predmet investicije, dostaviće dokaz o zakupu – pravu korišćenja/saglasnost i obavezati će se u pisanoj formi (u dijelu prijave Obaveze podnosioca zahtjeva) da će podnosilac zahtjeva biti vlasnik predmetne investicije do konačne isplate sredstava,</w:t>
            </w:r>
            <w:r w:rsidRPr="007056AE">
              <w:rPr>
                <w:rFonts w:ascii="Verdana" w:eastAsia="Lucida Sans Unicode" w:hAnsi="Verdana" w:cs="Times New Roman"/>
                <w:i/>
                <w:kern w:val="1"/>
                <w:sz w:val="20"/>
                <w:szCs w:val="24"/>
                <w:lang w:val="bs" w:eastAsia="sk-SK"/>
              </w:rPr>
              <w:t xml:space="preserve"> </w:t>
            </w:r>
            <w:r w:rsidRPr="007056AE">
              <w:rPr>
                <w:rFonts w:ascii="Times New Roman" w:eastAsia="Lucida Sans Unicode" w:hAnsi="Times New Roman" w:cs="Times New Roman"/>
                <w:i/>
                <w:kern w:val="1"/>
                <w:sz w:val="24"/>
                <w:szCs w:val="24"/>
                <w:lang w:val="en-GB" w:eastAsia="sk-SK"/>
              </w:rPr>
              <w:t>a do tada će obezbjediti dokaz o pravu korišćenja zemljišta.</w:t>
            </w: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Napomena: Za podnosioce zahtjeva koji realizuju investiciju ispod 600 metara nadmorske visine relevantan je samo dokaz o vlasništvu</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bs" w:eastAsia="sk-SK"/>
              </w:rPr>
            </w:pPr>
            <w:r w:rsidRPr="007056AE">
              <w:rPr>
                <w:rFonts w:ascii="Times New Roman" w:eastAsia="Lucida Sans Unicode" w:hAnsi="Times New Roman" w:cs="Times New Roman"/>
                <w:kern w:val="1"/>
                <w:sz w:val="24"/>
                <w:szCs w:val="24"/>
                <w:lang w:val="bs" w:eastAsia="sk-SK"/>
              </w:rPr>
              <w:t>Mišljenje Agencije za zaštitu životne sredine (opština ili agencija) da li je za planiranu investiciju potrebna procjena uticaja na životnu sredinu</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Glavni projekat revidovan od strane ovlašćenog lica u skladu sa Zakonom o uređenju prostora i izgradnji objekata za planiranu izgradnju ili rekonstrukciju.</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bs" w:eastAsia="sk-SK"/>
              </w:rPr>
            </w:pPr>
            <w:r w:rsidRPr="007056AE">
              <w:rPr>
                <w:rFonts w:ascii="Times New Roman" w:eastAsia="Lucida Sans Unicode" w:hAnsi="Times New Roman" w:cs="Times New Roman"/>
                <w:kern w:val="1"/>
                <w:sz w:val="24"/>
                <w:szCs w:val="24"/>
                <w:lang w:val="bs" w:eastAsia="sk-SK"/>
              </w:rPr>
              <w:t>Biznis plan (štampana verzija i CD) u formi propisanoj javnim pozivom (a ili b)</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bs" w:eastAsia="sk-SK"/>
              </w:rPr>
            </w:pPr>
            <w:r w:rsidRPr="007056AE">
              <w:rPr>
                <w:rFonts w:ascii="Times New Roman" w:eastAsia="Lucida Sans Unicode" w:hAnsi="Times New Roman" w:cs="Times New Roman"/>
                <w:kern w:val="1"/>
                <w:sz w:val="24"/>
                <w:szCs w:val="24"/>
                <w:lang w:val="bs" w:eastAsia="sk-SK"/>
              </w:rPr>
              <w:t>a-jednostavni biznis plan za investicije do 50.000 EUR za fizička ili pravna lica</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bs" w:eastAsia="sk-SK"/>
              </w:rPr>
            </w:pPr>
            <w:r w:rsidRPr="007056AE">
              <w:rPr>
                <w:rFonts w:ascii="Times New Roman" w:eastAsia="Lucida Sans Unicode" w:hAnsi="Times New Roman" w:cs="Times New Roman"/>
                <w:kern w:val="1"/>
                <w:sz w:val="24"/>
                <w:szCs w:val="24"/>
                <w:lang w:val="bs" w:eastAsia="sk-SK"/>
              </w:rPr>
              <w:t>b - detaljan biznis plan za investicije od 50.000 eura za fizička ili pravna lica</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Izvještaj o izvršenoj reviziji glavnog projekta.</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prebivalištu iz Ministarstva unutrašnjih poslova (za fizička lica koja nisu upisana u Registar poljoprivrednih gazdinstava kao nosilac ili član gazdinstva) (za podmjeru 7.3)</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Mišljenje Agencije za zaštitu životne sredine (opština ili agencija) da li je za planiranu investiciju potrebna procjena uticaja na životnu sredinu</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da se investicija nalazi u ruralnom području</w:t>
            </w:r>
          </w:p>
        </w:tc>
        <w:tc>
          <w:tcPr>
            <w:tcW w:w="4536"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bs" w:eastAsia="sk-SK"/>
              </w:rPr>
            </w:pPr>
            <w:r w:rsidRPr="007056AE">
              <w:rPr>
                <w:rFonts w:ascii="Times New Roman" w:eastAsia="Lucida Sans Unicode" w:hAnsi="Times New Roman" w:cs="Times New Roman"/>
                <w:kern w:val="1"/>
                <w:sz w:val="24"/>
                <w:szCs w:val="24"/>
                <w:lang w:val="bs" w:eastAsia="sk-SK"/>
              </w:rPr>
              <w:t>Biznis plan (štampana verzija i CD) u formi propisanoj javnim pozivom (a ili b)</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bs" w:eastAsia="sk-SK"/>
              </w:rPr>
            </w:pPr>
            <w:r w:rsidRPr="007056AE">
              <w:rPr>
                <w:rFonts w:ascii="Times New Roman" w:eastAsia="Lucida Sans Unicode" w:hAnsi="Times New Roman" w:cs="Times New Roman"/>
                <w:kern w:val="1"/>
                <w:sz w:val="24"/>
                <w:szCs w:val="24"/>
                <w:lang w:val="bs" w:eastAsia="sk-SK"/>
              </w:rPr>
              <w:t>a-jednostavni biznis plan za investicije do 50.000 EUR za fizička ili pravna lica</w:t>
            </w: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b - detaljan biznis plan za investicije od 50.000 eura za fizička ili pravna lica</w:t>
            </w:r>
          </w:p>
        </w:tc>
      </w:tr>
      <w:tr w:rsidR="007056AE" w:rsidRPr="007056AE" w:rsidTr="00EE358A">
        <w:trPr>
          <w:cantSplit/>
        </w:trPr>
        <w:tc>
          <w:tcPr>
            <w:tcW w:w="567" w:type="dxa"/>
            <w:tcBorders>
              <w:bottom w:val="single" w:sz="4" w:space="0" w:color="auto"/>
            </w:tcBorders>
            <w:shd w:val="clear" w:color="auto" w:fill="auto"/>
            <w:vAlign w:val="center"/>
          </w:tcPr>
          <w:p w:rsidR="007056AE" w:rsidRPr="007056AE" w:rsidRDefault="007056AE" w:rsidP="007056AE">
            <w:pPr>
              <w:widowControl w:val="0"/>
              <w:numPr>
                <w:ilvl w:val="0"/>
                <w:numId w:val="5"/>
              </w:numPr>
              <w:tabs>
                <w:tab w:val="left" w:pos="743"/>
              </w:tabs>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nadmorskoj visini lokacije investicije izdat od Uprave za nekretnine (za podmjere 7.1 i 7.3)</w:t>
            </w:r>
          </w:p>
          <w:p w:rsidR="007056AE" w:rsidRPr="007056AE" w:rsidRDefault="007056AE" w:rsidP="007056AE">
            <w:pPr>
              <w:widowControl w:val="0"/>
              <w:suppressAutoHyphens/>
              <w:spacing w:after="0" w:line="240" w:lineRule="auto"/>
              <w:contextualSpacing/>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Osim podnosioca zahtjeva koji realizuju investiciju u sjevernom regionu Crne Gore (Kolašin, Mojkovac, Bijelo Polje, Berane, Andrijevica, Gusinje, Plav, Rožaje, Petnjica, Pljevlja, Žabljak, Šavnik i Plužine i podnosioce zahtjeva sa lokacijom ispod 600 metara nadmorske visine koji se bavi proizvodnjom vina i/ili maslina)</w:t>
            </w:r>
          </w:p>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p>
        </w:tc>
        <w:tc>
          <w:tcPr>
            <w:tcW w:w="4536" w:type="dxa"/>
            <w:vAlign w:val="center"/>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prebivalištu iz Ministarstva unutrašnjih poslova (za fizička lica koja nisu upisana u Registar poljoprivrednih gazdinstava kao nosilac ili član gazdinstva) (za podmjeru 7.3)</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Dokaz o registraciji zanata u skladu sa Zakonom o zanatstvu (za fizička lica koja se već bave zanatstvom za podmjeru 7.3)</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da se investicija nalazi u ruralnom području</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Dokaz o upisu u Centralni turistički registar i Rješenje o odobrenju za obavljanje ugostiteljske djelatnosti za komplementarne objekte (odnosi se na fizička i pravna lica koja se već bave ugostiteljskom djelatnošću za podmjeru 7.1)</w:t>
            </w:r>
          </w:p>
        </w:tc>
        <w:tc>
          <w:tcPr>
            <w:tcW w:w="4536" w:type="dxa"/>
            <w:vAlign w:val="center"/>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nadmorskoj visini lokacije investicije izdat od Uprave za nekretnine (za podmjere 7.1 i 7.3)</w:t>
            </w:r>
          </w:p>
          <w:p w:rsidR="007056AE" w:rsidRPr="007056AE" w:rsidRDefault="007056AE" w:rsidP="007056AE">
            <w:pPr>
              <w:widowControl w:val="0"/>
              <w:suppressAutoHyphens/>
              <w:spacing w:after="0" w:line="240" w:lineRule="auto"/>
              <w:contextualSpacing/>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Osim podnosioca zahtjeva koji realizuju investiciju u sjevernom regionu Crne Gore (Kolašin, Mojkovac, Bijelo Polje, Berane, Andrijevica, Gusinje, Plav, Rožaje, Petnjica, Pljevlja, Žabljak, Šavnik i Plužine i podnosioce zahtjeva sa lokacijom ispod 600 metara nadmorske visine koji se bavi proizvodnjom vina i/ili maslina)</w:t>
            </w: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Kopija bankovnog računa podnosioca zahtjeva</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Dokaz o registraciji zanata u skladu sa Zakonom o zanatstvu (za fizička lica koja se već bave zanatstvom za podmjeru 7.3)</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Spisak postojećih mašina i opreme u vlasništvu podnosioca zahtjeva, potpisan od strane podnosioca zahteva (za fizička lica)</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Dokaz o upisu u Centralni turistički registar i Rješenje o odobrenju za obavljanje ugostiteljske djelatnosti za komplementarne objekte (odnosi se na fizička i pravna lica koja se već bave ugostiteljskom djelatnošću za podmjeru 7.1)</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sr-Latn-CS" w:eastAsia="sk-SK"/>
              </w:rPr>
            </w:pPr>
            <w:r w:rsidRPr="007056AE">
              <w:rPr>
                <w:rFonts w:ascii="Times New Roman" w:eastAsia="Lucida Sans Unicode" w:hAnsi="Times New Roman" w:cs="Times New Roman"/>
                <w:kern w:val="1"/>
                <w:sz w:val="24"/>
                <w:szCs w:val="24"/>
                <w:lang w:val="sr-Latn-CS" w:eastAsia="sk-SK"/>
              </w:rPr>
              <w:t>Detaljan opis tehnološkog postupka sa skicom objekta i jasno ucrtanim i vidljivim rasporedom prostorija, koji jasno predstavlja položaj postojeće i planirane opreme u objektu</w:t>
            </w:r>
            <w:r w:rsidRPr="007056AE">
              <w:rPr>
                <w:rFonts w:ascii="Verdana" w:eastAsia="Lucida Sans Unicode" w:hAnsi="Verdana" w:cs="Times New Roman"/>
                <w:kern w:val="1"/>
                <w:sz w:val="20"/>
                <w:szCs w:val="24"/>
                <w:lang w:val="bs" w:eastAsia="sk-SK"/>
              </w:rPr>
              <w:t xml:space="preserve"> </w:t>
            </w:r>
            <w:r w:rsidRPr="007056AE">
              <w:rPr>
                <w:rFonts w:ascii="Times New Roman" w:eastAsia="Lucida Sans Unicode" w:hAnsi="Times New Roman" w:cs="Times New Roman"/>
                <w:kern w:val="1"/>
                <w:sz w:val="24"/>
                <w:szCs w:val="24"/>
                <w:lang w:val="sr-Latn-CS" w:eastAsia="sk-SK"/>
              </w:rPr>
              <w:t>i sa jasno predstavljenim sadašnjim i budućim proizvodnim kapacitetima (relevantno za podmjeru 7.2)</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Kopija bankovnog računa podnosioca zahtjeva</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Del="00E760A1" w:rsidRDefault="007056AE" w:rsidP="007056AE">
            <w:pPr>
              <w:widowControl w:val="0"/>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Skica u razmjeri 1:100 sa detaljnim opisom koji jasno predstavlja položaj sadašnje i planirane opreme u objektu i sa jasno prikazanim sadašnjim i budućim kapacitetima (relevantno za podmjeru 7.1) - izrađenu od strane građevinskog inženjera ili arhitekte)</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Dokaz o veličini preduzeća iz službene računovodstvene evidencije za prethodnu i tekuću godinu</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Ponuda za opšte troškove izdata od pravnih lica registrovanih za tu djelatnost i Ugovor za:</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biznis plan</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arhitekte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inženjere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konsultantske usluge (priprema dokumentacije i praćenje postupka nabavke)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studije izvodljivosti</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ostali opšti troškovi</w:t>
            </w:r>
          </w:p>
          <w:p w:rsidR="007056AE" w:rsidRPr="007056AE" w:rsidRDefault="007056AE" w:rsidP="007056AE">
            <w:pPr>
              <w:widowControl w:val="0"/>
              <w:suppressAutoHyphens/>
              <w:spacing w:after="0" w:line="240" w:lineRule="auto"/>
              <w:ind w:left="164"/>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(ponude se dostavljaju u štampanoj i elektronskoj verziji na CD-u)</w:t>
            </w: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 xml:space="preserve">Izjava i lista povezanih i partnerskih ili povezanih preduzeća u zemlji ili inostranstvu izdata od strane odgovornog lica (izvršnog direktora) i ovjerena od strane </w:t>
            </w:r>
            <w:r w:rsidRPr="007056AE">
              <w:rPr>
                <w:rFonts w:ascii="Times New Roman" w:eastAsia="Lucida Sans Unicode" w:hAnsi="Times New Roman" w:cs="Times New Roman"/>
                <w:kern w:val="1"/>
                <w:sz w:val="24"/>
                <w:szCs w:val="24"/>
                <w:lang w:val="bs" w:eastAsia="sk-SK"/>
              </w:rPr>
              <w:t>notara. Ukoliko postoje povezana i partnerska ili povezana preduzeća, dostaviti dokaz o klasifikaciji veličine tih preduzeća, dokaz o broju zaposlenih izdat od strane Poreske uprave, kao i bilans stanja i bilans uspjeha za godinu prije objavljivanja javnog poziva (relevantno za podmjere 7.1 i 7.2)</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Računi za opšte troškove izdate od pravnih lica registrovanih za tu djelatnost za:</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biznis plan</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arhitekte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inženjere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konsultantske usluge (priprema dokumentacije i praćenje postupka nabavke)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studije izvodljivosti</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ostali opšti troškovi</w:t>
            </w:r>
          </w:p>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(računi se dostavljaju u štampanoj i elektronskoj verziji na CD-u)</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Tekući bilansi</w:t>
            </w:r>
            <w:r w:rsidRPr="007056AE">
              <w:rPr>
                <w:rFonts w:ascii="Verdana" w:eastAsia="Lucida Sans Unicode" w:hAnsi="Verdana" w:cs="Times New Roman"/>
                <w:kern w:val="1"/>
                <w:sz w:val="20"/>
                <w:szCs w:val="24"/>
                <w:lang w:val="bs" w:eastAsia="sk-SK"/>
              </w:rPr>
              <w:t xml:space="preserve"> </w:t>
            </w:r>
            <w:r w:rsidRPr="007056AE">
              <w:rPr>
                <w:rFonts w:ascii="Times New Roman" w:eastAsia="Lucida Sans Unicode" w:hAnsi="Times New Roman" w:cs="Times New Roman"/>
                <w:kern w:val="1"/>
                <w:sz w:val="24"/>
                <w:szCs w:val="24"/>
                <w:lang w:val="en-US" w:eastAsia="sk-SK"/>
              </w:rPr>
              <w:t>pravnog lica (</w:t>
            </w:r>
            <w:r w:rsidRPr="007056AE">
              <w:rPr>
                <w:rFonts w:ascii="Times New Roman" w:eastAsia="Lucida Sans Unicode" w:hAnsi="Times New Roman" w:cs="Times New Roman"/>
                <w:kern w:val="1"/>
                <w:sz w:val="24"/>
                <w:szCs w:val="24"/>
                <w:lang w:val="en-GB" w:eastAsia="sk-SK"/>
              </w:rPr>
              <w:t>bilans stanja i bilans uspjeha)</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 xml:space="preserve">Dokaz da </w:t>
            </w:r>
            <w:proofErr w:type="gramStart"/>
            <w:r w:rsidRPr="007056AE">
              <w:rPr>
                <w:rFonts w:ascii="Times New Roman" w:eastAsia="Lucida Sans Unicode" w:hAnsi="Times New Roman" w:cs="Times New Roman"/>
                <w:kern w:val="1"/>
                <w:sz w:val="24"/>
                <w:szCs w:val="24"/>
                <w:lang w:val="en-US" w:eastAsia="sk-SK"/>
              </w:rPr>
              <w:t>su  fakture</w:t>
            </w:r>
            <w:proofErr w:type="gramEnd"/>
            <w:r w:rsidRPr="007056AE">
              <w:rPr>
                <w:rFonts w:ascii="Times New Roman" w:eastAsia="Lucida Sans Unicode" w:hAnsi="Times New Roman" w:cs="Times New Roman"/>
                <w:kern w:val="1"/>
                <w:sz w:val="24"/>
                <w:szCs w:val="24"/>
                <w:lang w:val="en-US" w:eastAsia="sk-SK"/>
              </w:rPr>
              <w:t>/računi za opšte troškove plaćeni preko banke ili je dostavljena ponuda sa ugovorom za opšte troškove</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Bilans stanja i Bilans uspjeha na dan 31.12. za godinu prije objavljivanja javnog poziva (posljednji važeći)</w:t>
            </w:r>
            <w:r w:rsidRPr="007056AE">
              <w:rPr>
                <w:rFonts w:ascii="Times New Roman" w:eastAsia="Lucida Sans Unicode" w:hAnsi="Times New Roman" w:cs="Times New Roman"/>
                <w:color w:val="FF0000"/>
                <w:kern w:val="1"/>
                <w:sz w:val="24"/>
                <w:szCs w:val="24"/>
                <w:lang w:val="en-GB" w:eastAsia="sk-SK"/>
              </w:rPr>
              <w:t xml:space="preserve"> </w:t>
            </w:r>
            <w:r w:rsidRPr="007056AE">
              <w:rPr>
                <w:rFonts w:ascii="Times New Roman" w:eastAsia="Lucida Sans Unicode" w:hAnsi="Times New Roman" w:cs="Times New Roman"/>
                <w:kern w:val="1"/>
                <w:sz w:val="24"/>
                <w:szCs w:val="24"/>
                <w:lang w:val="en-GB" w:eastAsia="sk-SK"/>
              </w:rPr>
              <w:t xml:space="preserve">(relevantno za podmjere 7.1 i 7.2) </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 slučaju ulaganja u kupovinu (oprema, mašina i sl.) dostaviti ponudu za svaku stavku izdatu od strane dobavljača - pravnih lica</w:t>
            </w:r>
            <w:r w:rsidRPr="007056AE">
              <w:rPr>
                <w:rFonts w:ascii="Times New Roman" w:eastAsia="Lucida Sans Unicode" w:hAnsi="Times New Roman" w:cs="Times New Roman"/>
                <w:kern w:val="1"/>
                <w:sz w:val="24"/>
                <w:szCs w:val="24"/>
                <w:lang w:val="bs" w:eastAsia="sk-SK"/>
              </w:rPr>
              <w:t xml:space="preserve"> </w:t>
            </w:r>
            <w:r w:rsidRPr="007056AE">
              <w:rPr>
                <w:rFonts w:ascii="Times New Roman" w:eastAsia="Lucida Sans Unicode" w:hAnsi="Times New Roman" w:cs="Times New Roman"/>
                <w:kern w:val="1"/>
                <w:sz w:val="24"/>
                <w:szCs w:val="24"/>
                <w:lang w:val="en-GB" w:eastAsia="sk-SK"/>
              </w:rPr>
              <w:t>registrovanih za tu djelatnost, ne stariju od 3 mjeseca, naslovljenu na podnosioca zahtjeva, sa izjavom o zemlji porijekla ili drugim relevantnim dokumentom za sve dobavljače (relevantno za dobavljače čije ponude prelaze 100.000 EUR) i detaljnom tehničkom specifikacijom izdatom od strane dobavljača i/ili</w:t>
            </w:r>
          </w:p>
          <w:p w:rsidR="007056AE" w:rsidRPr="007056AE" w:rsidRDefault="007056AE" w:rsidP="007056AE">
            <w:pPr>
              <w:widowControl w:val="0"/>
              <w:tabs>
                <w:tab w:val="left" w:pos="989"/>
              </w:tabs>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 slučaju ulaganja u izgradnju/rekonstrukciju dostaviti ponudu (ne stariju od 3 mjeseca) izdatu od strane pravnih lica registrovanih za tu djelatnost u skladu sa predmjerom u revidovanom glavnom projektu.</w:t>
            </w:r>
          </w:p>
          <w:p w:rsidR="007056AE" w:rsidRPr="007056AE" w:rsidRDefault="007056AE" w:rsidP="007056AE">
            <w:pPr>
              <w:widowControl w:val="0"/>
              <w:tabs>
                <w:tab w:val="left" w:pos="989"/>
              </w:tabs>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(ponude za izgradnju/rekonstrukciju moraju biti dostavljene u štampanoj i elektronskoj verziji na CD-u (excel ili word))</w:t>
            </w:r>
          </w:p>
        </w:tc>
        <w:tc>
          <w:tcPr>
            <w:tcW w:w="4536" w:type="dxa"/>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bs" w:eastAsia="sk-SK"/>
              </w:rPr>
              <w:t>Popis imovine iz računovodstvenog sistema za godinu prije objavljivanja javnog poziva za svu imovinu potpisan i pečatiran (za pravna lica) i/ili kopiju knjige osnovnih sredstava za godinu prije objavljivanja javnog poziva, potpisan i pečatiran (za pravna lica)</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sr-Latn-CS" w:eastAsia="sr-Latn-CS"/>
              </w:rPr>
              <w:t xml:space="preserve">Izjava </w:t>
            </w:r>
            <w:r w:rsidRPr="007056AE">
              <w:rPr>
                <w:rFonts w:ascii="Times New Roman" w:eastAsia="Lucida Sans Unicode" w:hAnsi="Times New Roman" w:cs="Times New Roman"/>
                <w:kern w:val="1"/>
                <w:sz w:val="24"/>
                <w:szCs w:val="24"/>
                <w:lang w:val="en-GB" w:eastAsia="sr-Latn-CS"/>
              </w:rPr>
              <w:t xml:space="preserve">o zemlji </w:t>
            </w:r>
            <w:r w:rsidRPr="007056AE">
              <w:rPr>
                <w:rFonts w:ascii="Times New Roman" w:eastAsia="Lucida Sans Unicode" w:hAnsi="Times New Roman" w:cs="Times New Roman"/>
                <w:kern w:val="1"/>
                <w:sz w:val="24"/>
                <w:szCs w:val="24"/>
                <w:lang w:val="sr-Latn-CS" w:eastAsia="sr-Latn-CS"/>
              </w:rPr>
              <w:t>porijekla ili drugi relevantni dokument za sve ponude izdate od strane istog dobavljača, čija je ukupna vrijednost ponude iznad 100.000 EUR (bez PDV-a) (relevantno za 7.1)</w:t>
            </w: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sr-Latn-CS" w:eastAsia="sk-SK"/>
              </w:rPr>
              <w:t>Detaljan opis tehnološkog postupka sa skicom objekta i jasno ucrtanim i vidljivim rasporedom prostorija, koji jasno predstavlja položaj postojeće i planirane opreme u objektu</w:t>
            </w:r>
            <w:r w:rsidRPr="007056AE">
              <w:rPr>
                <w:rFonts w:ascii="Verdana" w:eastAsia="Lucida Sans Unicode" w:hAnsi="Verdana" w:cs="Times New Roman"/>
                <w:kern w:val="1"/>
                <w:sz w:val="20"/>
                <w:szCs w:val="24"/>
                <w:lang w:val="bs" w:eastAsia="sk-SK"/>
              </w:rPr>
              <w:t xml:space="preserve"> </w:t>
            </w:r>
            <w:r w:rsidRPr="007056AE">
              <w:rPr>
                <w:rFonts w:ascii="Times New Roman" w:eastAsia="Lucida Sans Unicode" w:hAnsi="Times New Roman" w:cs="Times New Roman"/>
                <w:kern w:val="1"/>
                <w:sz w:val="24"/>
                <w:szCs w:val="24"/>
                <w:lang w:val="sr-Latn-CS" w:eastAsia="sk-SK"/>
              </w:rPr>
              <w:t>i sa jasno predstavljenim sadašnjim i budućim proizvodnim kapacitetima (relevantno za podmjeru 7.2)</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sr-Latn-CS" w:eastAsia="sr-Latn-CS"/>
              </w:rPr>
              <w:t>Dokaz o registraciji za inostrane dobavljače (izvod iz relevantnog registra iz zemlje dobavljača)</w:t>
            </w:r>
            <w:r w:rsidRPr="007056AE">
              <w:rPr>
                <w:rFonts w:ascii="Times New Roman" w:eastAsia="Lucida Sans Unicode" w:hAnsi="Times New Roman" w:cs="Times New Roman"/>
                <w:kern w:val="1"/>
                <w:sz w:val="24"/>
                <w:szCs w:val="24"/>
                <w:lang w:val="bs" w:eastAsia="sk-SK"/>
              </w:rPr>
              <w:t xml:space="preserve"> </w:t>
            </w:r>
            <w:r w:rsidRPr="007056AE">
              <w:rPr>
                <w:rFonts w:ascii="Times New Roman" w:eastAsia="Lucida Sans Unicode" w:hAnsi="Times New Roman" w:cs="Times New Roman"/>
                <w:kern w:val="1"/>
                <w:sz w:val="24"/>
                <w:szCs w:val="24"/>
                <w:lang w:val="sr-Latn-CS" w:eastAsia="sr-Latn-CS"/>
              </w:rPr>
              <w:t>(za sve inostrane dobavljače uključujući i opšte troškove)</w:t>
            </w: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Skica u razmjeri 1:100 sa detaljnim opisom koji jasno predstavlja položaj sadašnje i planirane opreme u objektu i sa jasno prikazanim sadašnjim i budućim kapacitetima (relevantno za podmjeru 7.1) - izrađenu od strane građevinskog inženjera ili arhitekte)</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sr-Latn-CS" w:eastAsia="sr-Latn-CS"/>
              </w:rPr>
            </w:pPr>
            <w:r w:rsidRPr="007056AE">
              <w:rPr>
                <w:rFonts w:ascii="Times New Roman" w:eastAsia="Lucida Sans Unicode" w:hAnsi="Times New Roman" w:cs="Times New Roman"/>
                <w:kern w:val="1"/>
                <w:sz w:val="24"/>
                <w:szCs w:val="24"/>
                <w:lang w:val="en-GB" w:eastAsia="sr-Latn-CS"/>
              </w:rPr>
              <w:t xml:space="preserve">Dokaz (računi i sl. </w:t>
            </w:r>
            <w:r w:rsidRPr="007056AE">
              <w:rPr>
                <w:rFonts w:ascii="Verdana" w:eastAsia="Lucida Sans Unicode" w:hAnsi="Verdana" w:cs="Times New Roman"/>
                <w:kern w:val="1"/>
                <w:sz w:val="20"/>
                <w:szCs w:val="24"/>
                <w:lang w:val="bs" w:eastAsia="sk-SK"/>
              </w:rPr>
              <w:t xml:space="preserve">- </w:t>
            </w:r>
            <w:r w:rsidRPr="007056AE">
              <w:rPr>
                <w:rFonts w:ascii="Times New Roman" w:eastAsia="Lucida Sans Unicode" w:hAnsi="Times New Roman" w:cs="Times New Roman"/>
                <w:kern w:val="1"/>
                <w:sz w:val="24"/>
                <w:szCs w:val="24"/>
                <w:lang w:val="en-GB" w:eastAsia="sr-Latn-CS"/>
              </w:rPr>
              <w:t>energetska kartica) za sadašnju potrošnju (za posljednje tri godine) električne energije (u slučaju ulaganja u obnovljive izvore energije – fotonaponski sistemi – za postojeće objekte)</w:t>
            </w:r>
          </w:p>
        </w:tc>
        <w:tc>
          <w:tcPr>
            <w:tcW w:w="4536"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Ponuda za opšte troškove izdata od pravnih lica registrovanih za tu djelatnost i Ugovor za:</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biznis plan</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arhitekte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inženjere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konsultantske usluge (priprema dokumentacije i praćenje postupka nabavke)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studije izvodljivosti</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ostali opšti troškovi</w:t>
            </w: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(ponude se dostavljaju u štampanoj i elektronskoj verziji na CD-u)</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sr-Latn-CS" w:eastAsia="sr-Latn-CS"/>
              </w:rPr>
            </w:pPr>
            <w:r w:rsidRPr="007056AE">
              <w:rPr>
                <w:rFonts w:ascii="Times New Roman" w:eastAsia="Lucida Sans Unicode" w:hAnsi="Times New Roman" w:cs="Times New Roman"/>
                <w:kern w:val="1"/>
                <w:sz w:val="24"/>
                <w:szCs w:val="24"/>
                <w:lang w:val="en-US" w:eastAsia="sr-Latn-CS"/>
              </w:rPr>
              <w:t>Saglasnost (ili drugi relevantni dokument) za priključenje na mrežu koju izdaje CEDIS (u slučaju ulaganja u obnovljive izvore energije – fotonaponski sistemi)</w:t>
            </w:r>
          </w:p>
        </w:tc>
        <w:tc>
          <w:tcPr>
            <w:tcW w:w="4536"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Računi za opšte troškove izdate od pravnih lica registrovanih za tu djelatnost za:</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biznis plan</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arhitekte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inženjere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konsultantske usluge (priprema dokumentacije i praćenje postupka nabavke)</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studije izvodljivosti</w:t>
            </w:r>
          </w:p>
          <w:p w:rsidR="007056AE" w:rsidRPr="007056AE" w:rsidRDefault="007056AE" w:rsidP="007056AE">
            <w:pPr>
              <w:widowControl w:val="0"/>
              <w:numPr>
                <w:ilvl w:val="0"/>
                <w:numId w:val="1"/>
              </w:numPr>
              <w:suppressAutoHyphens/>
              <w:spacing w:after="0" w:line="276" w:lineRule="auto"/>
              <w:ind w:left="524"/>
              <w:jc w:val="both"/>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k-SK"/>
              </w:rPr>
              <w:t>ostali opšti troškovi</w:t>
            </w: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(računi se dostavljaju u štampanoj i elektronskoj verziji na CD-u)</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sr-Latn-CS" w:eastAsia="sr-Latn-CS"/>
              </w:rPr>
            </w:pPr>
            <w:r w:rsidRPr="007056AE">
              <w:rPr>
                <w:rFonts w:ascii="Times New Roman" w:eastAsia="Lucida Sans Unicode" w:hAnsi="Times New Roman" w:cs="Times New Roman"/>
                <w:kern w:val="1"/>
                <w:sz w:val="24"/>
                <w:szCs w:val="24"/>
                <w:lang w:val="en-US" w:eastAsia="sr-Latn-CS"/>
              </w:rPr>
              <w:t xml:space="preserve">Projekat električne energije (u slučaju ulaganja u opremu za </w:t>
            </w:r>
            <w:r w:rsidRPr="007056AE">
              <w:rPr>
                <w:rFonts w:ascii="Times New Roman" w:eastAsia="Lucida Sans Unicode" w:hAnsi="Times New Roman" w:cs="Times New Roman"/>
                <w:kern w:val="1"/>
                <w:sz w:val="24"/>
                <w:szCs w:val="24"/>
                <w:lang w:val="en-GB" w:eastAsia="sr-Latn-CS"/>
              </w:rPr>
              <w:t>obnovljive energije - fotonaponske sisteme</w:t>
            </w:r>
            <w:r w:rsidRPr="007056AE">
              <w:rPr>
                <w:rFonts w:ascii="Times New Roman" w:eastAsia="Lucida Sans Unicode" w:hAnsi="Times New Roman" w:cs="Times New Roman"/>
                <w:kern w:val="1"/>
                <w:sz w:val="24"/>
                <w:szCs w:val="24"/>
                <w:lang w:val="en-US" w:eastAsia="sr-Latn-CS"/>
              </w:rPr>
              <w:t>)</w:t>
            </w: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US" w:eastAsia="sk-SK"/>
              </w:rPr>
              <w:t xml:space="preserve">Dokaz da </w:t>
            </w:r>
            <w:proofErr w:type="gramStart"/>
            <w:r w:rsidRPr="007056AE">
              <w:rPr>
                <w:rFonts w:ascii="Times New Roman" w:eastAsia="Lucida Sans Unicode" w:hAnsi="Times New Roman" w:cs="Times New Roman"/>
                <w:kern w:val="1"/>
                <w:sz w:val="24"/>
                <w:szCs w:val="24"/>
                <w:lang w:val="en-US" w:eastAsia="sk-SK"/>
              </w:rPr>
              <w:t>su  fakture</w:t>
            </w:r>
            <w:proofErr w:type="gramEnd"/>
            <w:r w:rsidRPr="007056AE">
              <w:rPr>
                <w:rFonts w:ascii="Times New Roman" w:eastAsia="Lucida Sans Unicode" w:hAnsi="Times New Roman" w:cs="Times New Roman"/>
                <w:kern w:val="1"/>
                <w:sz w:val="24"/>
                <w:szCs w:val="24"/>
                <w:lang w:val="en-US" w:eastAsia="sk-SK"/>
              </w:rPr>
              <w:t>/računi za opšte troškove plaćeni preko banke ili je dostavljena ponuda sa ugovorom za opšte troškove</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r-Latn-CS"/>
              </w:rPr>
            </w:pPr>
          </w:p>
        </w:tc>
        <w:tc>
          <w:tcPr>
            <w:tcW w:w="4536"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 slučaju ulaganja u kupovinu (oprema, mašina i sl.) dostaviti ponudu za svaku stavku izdatu od strane dobavljača - pravnih lica</w:t>
            </w:r>
            <w:r w:rsidRPr="007056AE">
              <w:rPr>
                <w:rFonts w:ascii="Times New Roman" w:eastAsia="Lucida Sans Unicode" w:hAnsi="Times New Roman" w:cs="Times New Roman"/>
                <w:kern w:val="1"/>
                <w:sz w:val="24"/>
                <w:szCs w:val="24"/>
                <w:lang w:val="bs" w:eastAsia="sk-SK"/>
              </w:rPr>
              <w:t xml:space="preserve"> </w:t>
            </w:r>
            <w:r w:rsidRPr="007056AE">
              <w:rPr>
                <w:rFonts w:ascii="Times New Roman" w:eastAsia="Lucida Sans Unicode" w:hAnsi="Times New Roman" w:cs="Times New Roman"/>
                <w:kern w:val="1"/>
                <w:sz w:val="24"/>
                <w:szCs w:val="24"/>
                <w:lang w:val="en-GB" w:eastAsia="sk-SK"/>
              </w:rPr>
              <w:t>registrovanih za tu djelatnost, ne stariju od 3 mjeseca, naslovljenu na podnosioca zahtjeva, sa izjavom o zemlji porijekla ili drugim relevantnim dokumentom za sve dobavljače (relevantno za dobavljače čije ponude prelaze 100.000 EUR) i detaljnom tehničkom specifikacijom izdatom od strane dobavljača i/ili</w:t>
            </w:r>
          </w:p>
          <w:p w:rsidR="007056AE" w:rsidRPr="007056AE" w:rsidRDefault="007056AE" w:rsidP="007056AE">
            <w:pPr>
              <w:widowControl w:val="0"/>
              <w:tabs>
                <w:tab w:val="left" w:pos="989"/>
              </w:tabs>
              <w:suppressAutoHyphens/>
              <w:spacing w:after="0" w:line="240" w:lineRule="auto"/>
              <w:jc w:val="both"/>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t>-U slučaju ulaganja u izgradnju/rekonstrukciju dostaviti ponudu (ne stariju od 3 mjeseca) izdatu od strane pravnih lica registrovanih za tu djelatnost u skladu sa predmjerom u revidovanom glavnom projektu.</w:t>
            </w:r>
          </w:p>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GB" w:eastAsia="sk-SK"/>
              </w:rPr>
              <w:t>(ponude za izgradnju/rekonstrukciju moraju biti dostavljene u štampanoj i elektronskoj verziji na CD-u (excel ili word))</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r-Latn-CS"/>
              </w:rPr>
            </w:pP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sr-Latn-CS" w:eastAsia="sr-Latn-CS"/>
              </w:rPr>
              <w:t xml:space="preserve">Izjava </w:t>
            </w:r>
            <w:r w:rsidRPr="007056AE">
              <w:rPr>
                <w:rFonts w:ascii="Times New Roman" w:eastAsia="Lucida Sans Unicode" w:hAnsi="Times New Roman" w:cs="Times New Roman"/>
                <w:kern w:val="1"/>
                <w:sz w:val="24"/>
                <w:szCs w:val="24"/>
                <w:lang w:val="en-GB" w:eastAsia="sr-Latn-CS"/>
              </w:rPr>
              <w:t xml:space="preserve">o zemlji </w:t>
            </w:r>
            <w:r w:rsidRPr="007056AE">
              <w:rPr>
                <w:rFonts w:ascii="Times New Roman" w:eastAsia="Lucida Sans Unicode" w:hAnsi="Times New Roman" w:cs="Times New Roman"/>
                <w:kern w:val="1"/>
                <w:sz w:val="24"/>
                <w:szCs w:val="24"/>
                <w:lang w:val="sr-Latn-CS" w:eastAsia="sr-Latn-CS"/>
              </w:rPr>
              <w:t>porijekla ili drugi relevantni dokument za sve ponude izdate od strane istog dobavljača, čija je ukupna vrijednost ponude iznad 100.000 EUR (bez PDV-a) (relevantno za 7.1)</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r-Latn-CS"/>
              </w:rPr>
            </w:pP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sr-Latn-CS" w:eastAsia="sr-Latn-CS"/>
              </w:rPr>
              <w:t>Dokaz o registraciji za inostrane dobavljače (izvod iz relevantnog registra iz zemlje dobavljača)</w:t>
            </w:r>
            <w:r w:rsidRPr="007056AE">
              <w:rPr>
                <w:rFonts w:ascii="Times New Roman" w:eastAsia="Lucida Sans Unicode" w:hAnsi="Times New Roman" w:cs="Times New Roman"/>
                <w:kern w:val="1"/>
                <w:sz w:val="24"/>
                <w:szCs w:val="24"/>
                <w:lang w:val="bs" w:eastAsia="sk-SK"/>
              </w:rPr>
              <w:t xml:space="preserve"> </w:t>
            </w:r>
            <w:r w:rsidRPr="007056AE">
              <w:rPr>
                <w:rFonts w:ascii="Times New Roman" w:eastAsia="Lucida Sans Unicode" w:hAnsi="Times New Roman" w:cs="Times New Roman"/>
                <w:kern w:val="1"/>
                <w:sz w:val="24"/>
                <w:szCs w:val="24"/>
                <w:lang w:val="sr-Latn-CS" w:eastAsia="sr-Latn-CS"/>
              </w:rPr>
              <w:t>(za sve inostrane dobavljače uključujući i opšte troškove)</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r-Latn-CS"/>
              </w:rPr>
            </w:pP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GB" w:eastAsia="sr-Latn-CS"/>
              </w:rPr>
              <w:t xml:space="preserve">Dokaz (računi i sl. </w:t>
            </w:r>
            <w:r w:rsidRPr="007056AE">
              <w:rPr>
                <w:rFonts w:ascii="Verdana" w:eastAsia="Lucida Sans Unicode" w:hAnsi="Verdana" w:cs="Times New Roman"/>
                <w:kern w:val="1"/>
                <w:sz w:val="20"/>
                <w:szCs w:val="24"/>
                <w:lang w:val="bs" w:eastAsia="sk-SK"/>
              </w:rPr>
              <w:t xml:space="preserve">- </w:t>
            </w:r>
            <w:r w:rsidRPr="007056AE">
              <w:rPr>
                <w:rFonts w:ascii="Times New Roman" w:eastAsia="Lucida Sans Unicode" w:hAnsi="Times New Roman" w:cs="Times New Roman"/>
                <w:kern w:val="1"/>
                <w:sz w:val="24"/>
                <w:szCs w:val="24"/>
                <w:lang w:val="en-GB" w:eastAsia="sr-Latn-CS"/>
              </w:rPr>
              <w:t>energetska kartica) za sadašnju potrošnju (za posljednje tri godine) električne energije (u slučaju ulaganja u obnovljive izvore energije – fotonaponski sistemi – za postojeće objekte)</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r-Latn-CS"/>
              </w:rPr>
            </w:pP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r-Latn-CS"/>
              </w:rPr>
              <w:t>Saglasnost (ili drugi relevantni dokument) za priključenje na mrežu koju izdaje CEDIS (u slučaju ulaganja u obnovljive izvore energije – fotonaponski sistemi)</w:t>
            </w:r>
          </w:p>
        </w:tc>
      </w:tr>
      <w:tr w:rsidR="007056AE" w:rsidRPr="007056AE" w:rsidTr="00EE358A">
        <w:trPr>
          <w:cantSplit/>
        </w:trPr>
        <w:tc>
          <w:tcPr>
            <w:tcW w:w="567" w:type="dxa"/>
            <w:shd w:val="clear" w:color="auto" w:fill="auto"/>
            <w:vAlign w:val="center"/>
          </w:tcPr>
          <w:p w:rsidR="007056AE" w:rsidRPr="007056AE" w:rsidRDefault="007056AE" w:rsidP="007056AE">
            <w:pPr>
              <w:widowControl w:val="0"/>
              <w:numPr>
                <w:ilvl w:val="0"/>
                <w:numId w:val="5"/>
              </w:numPr>
              <w:suppressAutoHyphens/>
              <w:spacing w:after="0" w:line="240" w:lineRule="auto"/>
              <w:ind w:left="318" w:hanging="147"/>
              <w:contextualSpacing/>
              <w:jc w:val="center"/>
              <w:rPr>
                <w:rFonts w:ascii="Times New Roman" w:eastAsia="Lucida Sans Unicode" w:hAnsi="Times New Roman" w:cs="Times New Roman"/>
                <w:kern w:val="1"/>
                <w:sz w:val="20"/>
                <w:szCs w:val="24"/>
                <w:lang w:val="bs" w:eastAsia="sk-SK"/>
              </w:rPr>
            </w:pPr>
          </w:p>
        </w:tc>
        <w:tc>
          <w:tcPr>
            <w:tcW w:w="4394" w:type="dxa"/>
            <w:shd w:val="clear" w:color="auto" w:fill="auto"/>
          </w:tcPr>
          <w:p w:rsidR="007056AE" w:rsidRPr="007056AE" w:rsidRDefault="007056AE" w:rsidP="007056AE">
            <w:pPr>
              <w:widowControl w:val="0"/>
              <w:suppressAutoHyphens/>
              <w:spacing w:after="0" w:line="276" w:lineRule="auto"/>
              <w:jc w:val="both"/>
              <w:rPr>
                <w:rFonts w:ascii="Times New Roman" w:eastAsia="Lucida Sans Unicode" w:hAnsi="Times New Roman" w:cs="Times New Roman"/>
                <w:kern w:val="1"/>
                <w:sz w:val="24"/>
                <w:szCs w:val="24"/>
                <w:lang w:val="en-US" w:eastAsia="sr-Latn-CS"/>
              </w:rPr>
            </w:pPr>
          </w:p>
        </w:tc>
        <w:tc>
          <w:tcPr>
            <w:tcW w:w="4536" w:type="dxa"/>
            <w:shd w:val="clear" w:color="auto" w:fill="auto"/>
          </w:tcPr>
          <w:p w:rsidR="007056AE" w:rsidRPr="007056AE" w:rsidRDefault="007056AE" w:rsidP="007056AE">
            <w:pPr>
              <w:widowControl w:val="0"/>
              <w:suppressAutoHyphens/>
              <w:spacing w:after="0" w:line="240" w:lineRule="auto"/>
              <w:jc w:val="center"/>
              <w:rPr>
                <w:rFonts w:ascii="Times New Roman" w:eastAsia="Lucida Sans Unicode" w:hAnsi="Times New Roman" w:cs="Times New Roman"/>
                <w:kern w:val="1"/>
                <w:sz w:val="24"/>
                <w:szCs w:val="24"/>
                <w:lang w:val="en-US" w:eastAsia="sk-SK"/>
              </w:rPr>
            </w:pPr>
            <w:r w:rsidRPr="007056AE">
              <w:rPr>
                <w:rFonts w:ascii="Times New Roman" w:eastAsia="Lucida Sans Unicode" w:hAnsi="Times New Roman" w:cs="Times New Roman"/>
                <w:kern w:val="1"/>
                <w:sz w:val="24"/>
                <w:szCs w:val="24"/>
                <w:lang w:val="en-US" w:eastAsia="sr-Latn-CS"/>
              </w:rPr>
              <w:t xml:space="preserve">Projekat električne energije (u slučaju ulaganja u opremu za </w:t>
            </w:r>
            <w:r w:rsidRPr="007056AE">
              <w:rPr>
                <w:rFonts w:ascii="Times New Roman" w:eastAsia="Lucida Sans Unicode" w:hAnsi="Times New Roman" w:cs="Times New Roman"/>
                <w:kern w:val="1"/>
                <w:sz w:val="24"/>
                <w:szCs w:val="24"/>
                <w:lang w:val="en-GB" w:eastAsia="sr-Latn-CS"/>
              </w:rPr>
              <w:t>obnovljive energije - fotonaponske sisteme</w:t>
            </w:r>
            <w:r w:rsidRPr="007056AE">
              <w:rPr>
                <w:rFonts w:ascii="Times New Roman" w:eastAsia="Lucida Sans Unicode" w:hAnsi="Times New Roman" w:cs="Times New Roman"/>
                <w:kern w:val="1"/>
                <w:sz w:val="24"/>
                <w:szCs w:val="24"/>
                <w:lang w:val="en-US" w:eastAsia="sr-Latn-CS"/>
              </w:rPr>
              <w:t>)</w:t>
            </w:r>
          </w:p>
        </w:tc>
      </w:tr>
    </w:tbl>
    <w:p w:rsidR="007056AE" w:rsidRPr="007056AE" w:rsidRDefault="007056AE" w:rsidP="007056AE">
      <w:pPr>
        <w:widowControl w:val="0"/>
        <w:suppressAutoHyphens/>
        <w:spacing w:after="0" w:line="240" w:lineRule="auto"/>
        <w:rPr>
          <w:rFonts w:ascii="Times New Roman" w:eastAsia="Lucida Sans Unicode" w:hAnsi="Times New Roman" w:cs="Times New Roman"/>
          <w:kern w:val="1"/>
          <w:sz w:val="24"/>
          <w:szCs w:val="24"/>
          <w:lang w:val="en-GB" w:eastAsia="sk-SK"/>
        </w:rPr>
      </w:pPr>
      <w:r w:rsidRPr="007056AE">
        <w:rPr>
          <w:rFonts w:ascii="Times New Roman" w:eastAsia="Lucida Sans Unicode" w:hAnsi="Times New Roman" w:cs="Times New Roman"/>
          <w:kern w:val="1"/>
          <w:sz w:val="24"/>
          <w:szCs w:val="24"/>
          <w:lang w:val="en-GB" w:eastAsia="sk-SK"/>
        </w:rPr>
        <w:br w:type="textWrapping" w:clear="all"/>
        <w:t>Napomena: Dokaz o upisu u Registar poljoprivrednih gazdinstava će se kontrolisati po službenoj dužnosti u Registru poljoprivrednih gazdinstava.</w:t>
      </w:r>
    </w:p>
    <w:bookmarkEnd w:id="0"/>
    <w:p w:rsidR="007056AE" w:rsidRPr="007056AE" w:rsidRDefault="007056AE" w:rsidP="007056AE">
      <w:pPr>
        <w:widowControl w:val="0"/>
        <w:suppressAutoHyphens/>
        <w:spacing w:after="0" w:line="240" w:lineRule="auto"/>
        <w:rPr>
          <w:rFonts w:ascii="Times New Roman" w:eastAsia="Lucida Sans Unicode" w:hAnsi="Times New Roman" w:cs="Times New Roman"/>
          <w:kern w:val="1"/>
          <w:sz w:val="24"/>
          <w:szCs w:val="24"/>
          <w:lang w:val="bs" w:eastAsia="sk-SK"/>
        </w:rPr>
      </w:pPr>
    </w:p>
    <w:p w:rsidR="00CF3D9E" w:rsidRDefault="00CF3D9E">
      <w:bookmarkStart w:id="1" w:name="_GoBack"/>
      <w:bookmarkEnd w:id="1"/>
    </w:p>
    <w:sectPr w:rsidR="00CF3D9E" w:rsidSect="006F0FCF">
      <w:footnotePr>
        <w:pos w:val="beneathText"/>
      </w:footnotePr>
      <w:pgSz w:w="11905" w:h="16837" w:code="9"/>
      <w:pgMar w:top="1701" w:right="1134" w:bottom="1701" w:left="1134" w:header="17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E96"/>
    <w:multiLevelType w:val="hybridMultilevel"/>
    <w:tmpl w:val="3E0CBD10"/>
    <w:lvl w:ilvl="0" w:tplc="A468BFF2">
      <w:start w:val="7"/>
      <w:numFmt w:val="decimal"/>
      <w:lvlText w:val="%1."/>
      <w:lvlJc w:val="left"/>
      <w:pPr>
        <w:ind w:left="927"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35941B25"/>
    <w:multiLevelType w:val="hybridMultilevel"/>
    <w:tmpl w:val="E8C0D04A"/>
    <w:lvl w:ilvl="0" w:tplc="E528F252">
      <w:numFmt w:val="bullet"/>
      <w:lvlText w:val="-"/>
      <w:lvlJc w:val="left"/>
      <w:pPr>
        <w:ind w:left="1800" w:hanging="360"/>
      </w:pPr>
      <w:rPr>
        <w:rFonts w:ascii="Times New Roman" w:eastAsia="Lucida Sans Unicode"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5B2557C"/>
    <w:multiLevelType w:val="hybridMultilevel"/>
    <w:tmpl w:val="CF36DC1E"/>
    <w:lvl w:ilvl="0" w:tplc="D12AB2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216A5F"/>
    <w:multiLevelType w:val="hybridMultilevel"/>
    <w:tmpl w:val="2646B538"/>
    <w:lvl w:ilvl="0" w:tplc="081A000F">
      <w:start w:val="1"/>
      <w:numFmt w:val="decimal"/>
      <w:lvlText w:val="%1."/>
      <w:lvlJc w:val="left"/>
      <w:pPr>
        <w:ind w:left="927"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4" w15:restartNumberingAfterBreak="0">
    <w:nsid w:val="697B608A"/>
    <w:multiLevelType w:val="hybridMultilevel"/>
    <w:tmpl w:val="8A7AF95C"/>
    <w:lvl w:ilvl="0" w:tplc="9AC4F1F0">
      <w:start w:val="1"/>
      <w:numFmt w:val="decimal"/>
      <w:lvlText w:val="%1."/>
      <w:lvlJc w:val="left"/>
      <w:pPr>
        <w:ind w:left="502" w:hanging="360"/>
      </w:pPr>
      <w:rPr>
        <w:rFonts w:hint="default"/>
        <w:b w:val="0"/>
        <w:i w:val="0"/>
        <w:sz w:val="24"/>
        <w:szCs w:val="24"/>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AE"/>
    <w:rsid w:val="007056AE"/>
    <w:rsid w:val="00CF3D9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AAC7"/>
  <w15:chartTrackingRefBased/>
  <w15:docId w15:val="{3284F386-EBB0-411F-A38F-DCBBBAA5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Kuč</dc:creator>
  <cp:keywords/>
  <dc:description/>
  <cp:lastModifiedBy>Sandra Kuč</cp:lastModifiedBy>
  <cp:revision>1</cp:revision>
  <cp:lastPrinted>2024-04-10T10:14:00Z</cp:lastPrinted>
  <dcterms:created xsi:type="dcterms:W3CDTF">2024-04-10T10:08:00Z</dcterms:created>
  <dcterms:modified xsi:type="dcterms:W3CDTF">2024-04-10T10:16:00Z</dcterms:modified>
</cp:coreProperties>
</file>