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27473" w14:textId="77777777" w:rsidR="00072FFA" w:rsidRPr="00072FFA" w:rsidRDefault="00072FFA" w:rsidP="00072FFA">
      <w:pPr>
        <w:pStyle w:val="NoSpacing"/>
        <w:jc w:val="center"/>
        <w:rPr>
          <w:rFonts w:ascii="Arial" w:hAnsi="Arial" w:cs="Arial"/>
          <w:b/>
          <w:sz w:val="20"/>
          <w:szCs w:val="20"/>
          <w:lang w:val="sr-Latn-CS"/>
        </w:rPr>
      </w:pPr>
      <w:r w:rsidRPr="00072FFA">
        <w:rPr>
          <w:rFonts w:ascii="Arial" w:hAnsi="Arial" w:cs="Arial"/>
          <w:b/>
          <w:sz w:val="20"/>
          <w:szCs w:val="20"/>
          <w:lang w:val="sr-Latn-CS"/>
        </w:rPr>
        <w:t>PODRUČNIM JEDINICAMA CARINARNICAMA</w:t>
      </w:r>
    </w:p>
    <w:p w14:paraId="1645C96B" w14:textId="77777777" w:rsidR="007473C2" w:rsidRPr="00072FFA" w:rsidRDefault="007473C2" w:rsidP="007473C2">
      <w:pPr>
        <w:pStyle w:val="NoSpacing"/>
        <w:rPr>
          <w:rFonts w:ascii="Arial" w:eastAsia="Calibri" w:hAnsi="Arial" w:cs="Arial"/>
          <w:b/>
          <w:sz w:val="20"/>
          <w:szCs w:val="20"/>
          <w:lang w:val="sr-Latn-CS"/>
        </w:rPr>
      </w:pPr>
    </w:p>
    <w:p w14:paraId="0E4CDC40" w14:textId="77777777" w:rsidR="007473C2" w:rsidRPr="00072FFA" w:rsidRDefault="007473C2" w:rsidP="007473C2">
      <w:pPr>
        <w:pStyle w:val="N03Y"/>
        <w:jc w:val="both"/>
        <w:rPr>
          <w:rFonts w:ascii="Arial" w:hAnsi="Arial" w:cs="Arial"/>
          <w:b w:val="0"/>
          <w:sz w:val="20"/>
          <w:szCs w:val="20"/>
        </w:rPr>
      </w:pPr>
      <w:r w:rsidRPr="00072FFA">
        <w:rPr>
          <w:rFonts w:ascii="Arial" w:hAnsi="Arial" w:cs="Arial"/>
          <w:sz w:val="20"/>
          <w:szCs w:val="20"/>
          <w:lang w:val="sr-Latn-CS"/>
        </w:rPr>
        <w:t>PREDMET</w:t>
      </w:r>
      <w:r w:rsidRPr="00072FFA">
        <w:rPr>
          <w:rFonts w:ascii="Arial" w:hAnsi="Arial" w:cs="Arial"/>
          <w:b w:val="0"/>
          <w:sz w:val="20"/>
          <w:szCs w:val="20"/>
          <w:lang w:val="sr-Latn-CS"/>
        </w:rPr>
        <w:t>: Primjena</w:t>
      </w:r>
      <w:r w:rsidRPr="00072FFA">
        <w:rPr>
          <w:rFonts w:ascii="Arial" w:hAnsi="Arial" w:cs="Arial"/>
          <w:sz w:val="20"/>
          <w:szCs w:val="20"/>
          <w:lang w:val="sr-Latn-CS"/>
        </w:rPr>
        <w:t xml:space="preserve"> </w:t>
      </w:r>
      <w:r w:rsidRPr="00072FFA">
        <w:rPr>
          <w:rFonts w:ascii="Arial" w:hAnsi="Arial" w:cs="Arial"/>
          <w:b w:val="0"/>
          <w:sz w:val="20"/>
          <w:szCs w:val="20"/>
        </w:rPr>
        <w:t xml:space="preserve">Pravilnika o bližim uslovima za izdavanje saglasnosti za uvoz lijeka koji nema dozvolu za lijek </w:t>
      </w:r>
    </w:p>
    <w:p w14:paraId="35AA3694" w14:textId="77777777" w:rsidR="007473C2" w:rsidRPr="00072FFA" w:rsidRDefault="007473C2" w:rsidP="007473C2">
      <w:pPr>
        <w:pStyle w:val="N03Y"/>
        <w:jc w:val="both"/>
        <w:rPr>
          <w:rFonts w:ascii="Arial" w:hAnsi="Arial" w:cs="Arial"/>
          <w:b w:val="0"/>
          <w:sz w:val="20"/>
          <w:szCs w:val="20"/>
        </w:rPr>
      </w:pPr>
    </w:p>
    <w:p w14:paraId="5DFC8F80" w14:textId="77777777" w:rsidR="007473C2" w:rsidRPr="00072FFA" w:rsidRDefault="007473C2" w:rsidP="007473C2">
      <w:pPr>
        <w:pStyle w:val="N03Y"/>
        <w:spacing w:before="0" w:after="0"/>
        <w:jc w:val="both"/>
        <w:rPr>
          <w:rFonts w:ascii="Arial" w:hAnsi="Arial" w:cs="Arial"/>
          <w:b w:val="0"/>
          <w:sz w:val="20"/>
          <w:szCs w:val="20"/>
        </w:rPr>
      </w:pPr>
      <w:r w:rsidRPr="00072FFA">
        <w:rPr>
          <w:rFonts w:ascii="Arial" w:hAnsi="Arial" w:cs="Arial"/>
          <w:b w:val="0"/>
          <w:sz w:val="20"/>
          <w:szCs w:val="20"/>
          <w:lang w:val="en-US"/>
        </w:rPr>
        <w:t xml:space="preserve">         U “</w:t>
      </w:r>
      <w:proofErr w:type="spellStart"/>
      <w:r w:rsidRPr="00072FFA">
        <w:rPr>
          <w:rFonts w:ascii="Arial" w:hAnsi="Arial" w:cs="Arial"/>
          <w:b w:val="0"/>
          <w:sz w:val="20"/>
          <w:szCs w:val="20"/>
          <w:lang w:val="en-US"/>
        </w:rPr>
        <w:t>Službenom</w:t>
      </w:r>
      <w:proofErr w:type="spellEnd"/>
      <w:r w:rsidRPr="00072FFA">
        <w:rPr>
          <w:rFonts w:ascii="Arial" w:hAnsi="Arial" w:cs="Arial"/>
          <w:b w:val="0"/>
          <w:sz w:val="20"/>
          <w:szCs w:val="20"/>
          <w:lang w:val="en-US"/>
        </w:rPr>
        <w:t xml:space="preserve"> </w:t>
      </w:r>
      <w:proofErr w:type="spellStart"/>
      <w:r w:rsidRPr="00072FFA">
        <w:rPr>
          <w:rFonts w:ascii="Arial" w:hAnsi="Arial" w:cs="Arial"/>
          <w:b w:val="0"/>
          <w:sz w:val="20"/>
          <w:szCs w:val="20"/>
          <w:lang w:val="en-US"/>
        </w:rPr>
        <w:t>listu</w:t>
      </w:r>
      <w:proofErr w:type="spellEnd"/>
      <w:r w:rsidRPr="00072FFA">
        <w:rPr>
          <w:rFonts w:ascii="Arial" w:hAnsi="Arial" w:cs="Arial"/>
          <w:b w:val="0"/>
          <w:sz w:val="20"/>
          <w:szCs w:val="20"/>
          <w:lang w:val="en-US"/>
        </w:rPr>
        <w:t xml:space="preserve"> </w:t>
      </w:r>
      <w:proofErr w:type="spellStart"/>
      <w:r w:rsidRPr="00072FFA">
        <w:rPr>
          <w:rFonts w:ascii="Arial" w:hAnsi="Arial" w:cs="Arial"/>
          <w:b w:val="0"/>
          <w:sz w:val="20"/>
          <w:szCs w:val="20"/>
          <w:lang w:val="en-US"/>
        </w:rPr>
        <w:t>Crne</w:t>
      </w:r>
      <w:proofErr w:type="spellEnd"/>
      <w:r w:rsidRPr="00072FFA">
        <w:rPr>
          <w:rFonts w:ascii="Arial" w:hAnsi="Arial" w:cs="Arial"/>
          <w:b w:val="0"/>
          <w:sz w:val="20"/>
          <w:szCs w:val="20"/>
          <w:lang w:val="en-US"/>
        </w:rPr>
        <w:t xml:space="preserve"> Gore” br. 19/24 </w:t>
      </w:r>
      <w:proofErr w:type="spellStart"/>
      <w:r w:rsidRPr="00072FFA">
        <w:rPr>
          <w:rFonts w:ascii="Arial" w:hAnsi="Arial" w:cs="Arial"/>
          <w:b w:val="0"/>
          <w:sz w:val="20"/>
          <w:szCs w:val="20"/>
          <w:lang w:val="en-US"/>
        </w:rPr>
        <w:t>objavljen</w:t>
      </w:r>
      <w:proofErr w:type="spellEnd"/>
      <w:r w:rsidRPr="00072FFA">
        <w:rPr>
          <w:rFonts w:ascii="Arial" w:hAnsi="Arial" w:cs="Arial"/>
          <w:b w:val="0"/>
          <w:sz w:val="20"/>
          <w:szCs w:val="20"/>
          <w:lang w:val="en-US"/>
        </w:rPr>
        <w:t xml:space="preserve"> je </w:t>
      </w:r>
      <w:r w:rsidRPr="00072FFA">
        <w:rPr>
          <w:rFonts w:ascii="Arial" w:hAnsi="Arial" w:cs="Arial"/>
          <w:b w:val="0"/>
          <w:sz w:val="20"/>
          <w:szCs w:val="20"/>
        </w:rPr>
        <w:t xml:space="preserve">Pravilnik o bližim uslovima za izdavanje saglasnosti za uvoz lijeka koji nema dozvolu za lijek, koji stupa na snagu 13.03.2024. godine. </w:t>
      </w:r>
    </w:p>
    <w:p w14:paraId="3D1A0322" w14:textId="77777777" w:rsidR="007473C2" w:rsidRPr="00072FFA" w:rsidRDefault="007473C2" w:rsidP="007473C2">
      <w:pPr>
        <w:pStyle w:val="N03Y"/>
        <w:spacing w:before="0" w:after="0"/>
        <w:jc w:val="both"/>
        <w:rPr>
          <w:rFonts w:ascii="Arial" w:hAnsi="Arial" w:cs="Arial"/>
          <w:b w:val="0"/>
          <w:sz w:val="20"/>
          <w:szCs w:val="20"/>
        </w:rPr>
      </w:pPr>
      <w:r w:rsidRPr="00072FFA">
        <w:rPr>
          <w:rFonts w:ascii="Arial" w:hAnsi="Arial" w:cs="Arial"/>
          <w:b w:val="0"/>
          <w:sz w:val="20"/>
          <w:szCs w:val="20"/>
        </w:rPr>
        <w:t xml:space="preserve">        Ovim Pravilnikom propisuju se bliži uslovi za izdavanje saglasnosti za uvoz lijeka za humanu, odnosno veterinarsku upotrebu koji nema dozvolu za stavljanje lijeka u promet. </w:t>
      </w:r>
    </w:p>
    <w:p w14:paraId="29F6FCD4" w14:textId="77777777" w:rsidR="007473C2" w:rsidRPr="00072FFA" w:rsidRDefault="007473C2" w:rsidP="007473C2">
      <w:pPr>
        <w:pStyle w:val="N03Y"/>
        <w:spacing w:before="0" w:after="0"/>
        <w:jc w:val="both"/>
        <w:rPr>
          <w:rFonts w:ascii="Arial" w:hAnsi="Arial" w:cs="Arial"/>
          <w:b w:val="0"/>
          <w:sz w:val="20"/>
          <w:szCs w:val="20"/>
        </w:rPr>
      </w:pPr>
      <w:r w:rsidRPr="00072FFA">
        <w:rPr>
          <w:rFonts w:ascii="Arial" w:hAnsi="Arial" w:cs="Arial"/>
          <w:b w:val="0"/>
          <w:sz w:val="20"/>
          <w:szCs w:val="20"/>
        </w:rPr>
        <w:t xml:space="preserve">       Značenje izraza u smislu ovog Pravilnika je:</w:t>
      </w:r>
    </w:p>
    <w:p w14:paraId="034E23D1" w14:textId="77777777" w:rsidR="007473C2" w:rsidRPr="00072FFA" w:rsidRDefault="007473C2" w:rsidP="007473C2">
      <w:pPr>
        <w:pStyle w:val="N03Y"/>
        <w:numPr>
          <w:ilvl w:val="0"/>
          <w:numId w:val="1"/>
        </w:numPr>
        <w:spacing w:before="0" w:after="0"/>
        <w:jc w:val="both"/>
        <w:rPr>
          <w:rFonts w:ascii="Arial" w:hAnsi="Arial" w:cs="Arial"/>
          <w:b w:val="0"/>
          <w:sz w:val="20"/>
          <w:szCs w:val="20"/>
        </w:rPr>
      </w:pPr>
      <w:r w:rsidRPr="00072FFA">
        <w:rPr>
          <w:rFonts w:ascii="Arial" w:hAnsi="Arial" w:cs="Arial"/>
          <w:i/>
          <w:sz w:val="20"/>
          <w:szCs w:val="20"/>
        </w:rPr>
        <w:t xml:space="preserve">ljekovi koji sadrže opojne droge ili psihotropne supstance </w:t>
      </w:r>
      <w:r w:rsidRPr="00072FFA">
        <w:rPr>
          <w:rFonts w:ascii="Arial" w:hAnsi="Arial" w:cs="Arial"/>
          <w:b w:val="0"/>
          <w:sz w:val="20"/>
          <w:szCs w:val="20"/>
        </w:rPr>
        <w:t>su ljekovi određenog kvalitativnog i kvantitativnog sastava u određenom farmaceutskom obliku koji se koriste u medicinske, veterinarske, nastavne, laboratorijske i naučne svrhe, u skladu sa posebnim zakonima.</w:t>
      </w:r>
    </w:p>
    <w:p w14:paraId="67C0B163" w14:textId="77777777" w:rsidR="007473C2" w:rsidRPr="00072FFA" w:rsidRDefault="007473C2" w:rsidP="007473C2">
      <w:pPr>
        <w:pStyle w:val="N03Y"/>
        <w:numPr>
          <w:ilvl w:val="0"/>
          <w:numId w:val="1"/>
        </w:numPr>
        <w:spacing w:before="0" w:after="0"/>
        <w:jc w:val="both"/>
        <w:rPr>
          <w:rFonts w:ascii="Arial" w:hAnsi="Arial" w:cs="Arial"/>
          <w:b w:val="0"/>
          <w:sz w:val="20"/>
          <w:szCs w:val="20"/>
        </w:rPr>
      </w:pPr>
      <w:r w:rsidRPr="00072FFA">
        <w:rPr>
          <w:rFonts w:ascii="Arial" w:hAnsi="Arial" w:cs="Arial"/>
          <w:i/>
          <w:sz w:val="20"/>
          <w:szCs w:val="20"/>
        </w:rPr>
        <w:t>naziv lijeka</w:t>
      </w:r>
      <w:r w:rsidRPr="00072FFA">
        <w:rPr>
          <w:rFonts w:ascii="Arial" w:hAnsi="Arial" w:cs="Arial"/>
          <w:b w:val="0"/>
          <w:sz w:val="20"/>
          <w:szCs w:val="20"/>
        </w:rPr>
        <w:t xml:space="preserve"> je naziv koji može biti novi, generički ili naučni naziv. Uz generički odnosno naučni naziv dodaje se zaštitni znak ili naziv proizvođača ili nosioca dozvole za lijek, a ako je novi naziv mora se razlikovati od generičkog i ne smije dovoditi u zabludu.</w:t>
      </w:r>
    </w:p>
    <w:p w14:paraId="6662001A" w14:textId="77777777" w:rsidR="007473C2" w:rsidRPr="00072FFA" w:rsidRDefault="007473C2" w:rsidP="007473C2">
      <w:pPr>
        <w:pStyle w:val="N03Y"/>
        <w:numPr>
          <w:ilvl w:val="0"/>
          <w:numId w:val="1"/>
        </w:numPr>
        <w:spacing w:before="0" w:after="0"/>
        <w:jc w:val="both"/>
        <w:rPr>
          <w:rFonts w:ascii="Arial" w:hAnsi="Arial" w:cs="Arial"/>
          <w:b w:val="0"/>
          <w:sz w:val="20"/>
          <w:szCs w:val="20"/>
        </w:rPr>
      </w:pPr>
      <w:r w:rsidRPr="00072FFA">
        <w:rPr>
          <w:rFonts w:ascii="Arial" w:hAnsi="Arial" w:cs="Arial"/>
          <w:i/>
          <w:sz w:val="20"/>
          <w:szCs w:val="20"/>
        </w:rPr>
        <w:t>obilježavanje lijeka</w:t>
      </w:r>
      <w:r w:rsidRPr="00072FFA">
        <w:rPr>
          <w:rFonts w:ascii="Arial" w:hAnsi="Arial" w:cs="Arial"/>
          <w:b w:val="0"/>
          <w:sz w:val="20"/>
          <w:szCs w:val="20"/>
        </w:rPr>
        <w:t xml:space="preserve"> podrazumijeva podatke koji se nalaze na spoljnjem ili unutrašnjem pakovanju.</w:t>
      </w:r>
    </w:p>
    <w:p w14:paraId="58AACDD2" w14:textId="77777777" w:rsidR="007473C2" w:rsidRPr="00072FFA" w:rsidRDefault="007473C2" w:rsidP="007473C2">
      <w:pPr>
        <w:pStyle w:val="N03Y"/>
        <w:numPr>
          <w:ilvl w:val="0"/>
          <w:numId w:val="1"/>
        </w:numPr>
        <w:spacing w:before="0" w:after="0"/>
        <w:jc w:val="both"/>
        <w:rPr>
          <w:rFonts w:ascii="Arial" w:hAnsi="Arial" w:cs="Arial"/>
          <w:b w:val="0"/>
          <w:sz w:val="20"/>
          <w:szCs w:val="20"/>
        </w:rPr>
      </w:pPr>
      <w:r w:rsidRPr="00072FFA">
        <w:rPr>
          <w:rFonts w:ascii="Arial" w:hAnsi="Arial" w:cs="Arial"/>
          <w:i/>
          <w:sz w:val="20"/>
          <w:szCs w:val="20"/>
        </w:rPr>
        <w:t>proizvođač lijeka</w:t>
      </w:r>
      <w:r w:rsidRPr="00072FFA">
        <w:rPr>
          <w:rFonts w:ascii="Arial" w:hAnsi="Arial" w:cs="Arial"/>
          <w:b w:val="0"/>
          <w:sz w:val="20"/>
          <w:szCs w:val="20"/>
        </w:rPr>
        <w:t xml:space="preserve"> je pravno lice koje ima dozvolu za proizvodnju lijeka i/ili lijeka koji se klinički ispituje izdatu od nadležnog organa.</w:t>
      </w:r>
    </w:p>
    <w:p w14:paraId="2BA6CC1B" w14:textId="77777777" w:rsidR="007473C2" w:rsidRPr="00072FFA" w:rsidRDefault="007473C2" w:rsidP="007473C2">
      <w:pPr>
        <w:pStyle w:val="N03Y"/>
        <w:numPr>
          <w:ilvl w:val="0"/>
          <w:numId w:val="1"/>
        </w:numPr>
        <w:spacing w:before="0" w:after="0"/>
        <w:jc w:val="both"/>
        <w:rPr>
          <w:rFonts w:ascii="Arial" w:hAnsi="Arial" w:cs="Arial"/>
          <w:b w:val="0"/>
          <w:sz w:val="20"/>
          <w:szCs w:val="20"/>
        </w:rPr>
      </w:pPr>
      <w:r w:rsidRPr="00072FFA">
        <w:rPr>
          <w:rFonts w:ascii="Arial" w:hAnsi="Arial" w:cs="Arial"/>
          <w:i/>
          <w:sz w:val="20"/>
          <w:szCs w:val="20"/>
        </w:rPr>
        <w:t>saosjećajna upotreba (compassionate use)</w:t>
      </w:r>
      <w:r w:rsidRPr="00072FFA">
        <w:rPr>
          <w:rFonts w:ascii="Arial" w:hAnsi="Arial" w:cs="Arial"/>
          <w:b w:val="0"/>
          <w:sz w:val="20"/>
          <w:szCs w:val="20"/>
        </w:rPr>
        <w:t xml:space="preserve"> je davanje lijeka sa novom aktivnom supstancom koja spada u značajne terapeutsko-naučno-tehničke inovacije i koji je u postupku dobijanja dozvole za lijek u zemljama EU ili u postupku kliničkog ispitivanja za potrebe dobijanja dozvole za lijek, a koji je namijenjen bolesnicima sa ozbiljnom bolešću koju nije moguće liječiti na zadovoljavajući način sa ljekovima koji već imaju dozvolu za lijek u Crnoj Gori ili EU ili zemljama evropskog ekonomskog prostora ili u zemljama koje imaju sporazum o međusobnom priznavanju sa zemljama EU.</w:t>
      </w:r>
    </w:p>
    <w:p w14:paraId="38F0E0FB" w14:textId="77777777" w:rsidR="007473C2" w:rsidRPr="00072FFA" w:rsidRDefault="007473C2" w:rsidP="007473C2">
      <w:pPr>
        <w:pStyle w:val="T30X"/>
        <w:numPr>
          <w:ilvl w:val="0"/>
          <w:numId w:val="1"/>
        </w:numPr>
        <w:rPr>
          <w:rFonts w:ascii="Arial" w:hAnsi="Arial" w:cs="Arial"/>
          <w:sz w:val="20"/>
          <w:szCs w:val="20"/>
        </w:rPr>
      </w:pPr>
      <w:r w:rsidRPr="00072FFA">
        <w:rPr>
          <w:rFonts w:ascii="Arial" w:hAnsi="Arial" w:cs="Arial"/>
          <w:b/>
          <w:i/>
          <w:sz w:val="20"/>
          <w:szCs w:val="20"/>
        </w:rPr>
        <w:t>sertifikat za potrebe izvoza lijeka (CPP sertifikat)</w:t>
      </w:r>
      <w:r w:rsidRPr="00072FFA">
        <w:rPr>
          <w:rFonts w:ascii="Arial" w:hAnsi="Arial" w:cs="Arial"/>
          <w:sz w:val="20"/>
          <w:szCs w:val="20"/>
        </w:rPr>
        <w:t xml:space="preserve"> je dokument izdat od nadležnog tijela zemlje proizvođača izdat u skladu sa preporukama SZO.</w:t>
      </w:r>
    </w:p>
    <w:p w14:paraId="0BF3C75E" w14:textId="77777777" w:rsidR="007473C2" w:rsidRPr="00072FFA" w:rsidRDefault="007473C2" w:rsidP="007473C2">
      <w:pPr>
        <w:pStyle w:val="T30X"/>
        <w:numPr>
          <w:ilvl w:val="0"/>
          <w:numId w:val="1"/>
        </w:numPr>
        <w:rPr>
          <w:rFonts w:ascii="Arial" w:hAnsi="Arial" w:cs="Arial"/>
          <w:sz w:val="20"/>
          <w:szCs w:val="20"/>
        </w:rPr>
      </w:pPr>
      <w:r w:rsidRPr="00072FFA">
        <w:rPr>
          <w:rFonts w:ascii="Arial" w:hAnsi="Arial" w:cs="Arial"/>
          <w:sz w:val="20"/>
          <w:szCs w:val="20"/>
        </w:rPr>
        <w:t xml:space="preserve"> </w:t>
      </w:r>
      <w:r w:rsidRPr="00072FFA">
        <w:rPr>
          <w:rFonts w:ascii="Arial" w:hAnsi="Arial" w:cs="Arial"/>
          <w:b/>
          <w:i/>
          <w:sz w:val="20"/>
          <w:szCs w:val="20"/>
        </w:rPr>
        <w:t>spoljnje pakovanje</w:t>
      </w:r>
      <w:r w:rsidRPr="00072FFA">
        <w:rPr>
          <w:rFonts w:ascii="Arial" w:hAnsi="Arial" w:cs="Arial"/>
          <w:sz w:val="20"/>
          <w:szCs w:val="20"/>
        </w:rPr>
        <w:t xml:space="preserve"> je pakovanje u kojem se nalazi unutrašnje pakovanje lijeka.</w:t>
      </w:r>
    </w:p>
    <w:p w14:paraId="22340DE2" w14:textId="77777777" w:rsidR="007473C2" w:rsidRPr="00072FFA" w:rsidRDefault="007473C2" w:rsidP="007473C2">
      <w:pPr>
        <w:pStyle w:val="T30X"/>
        <w:numPr>
          <w:ilvl w:val="0"/>
          <w:numId w:val="1"/>
        </w:numPr>
        <w:rPr>
          <w:rFonts w:ascii="Arial" w:hAnsi="Arial" w:cs="Arial"/>
          <w:sz w:val="20"/>
          <w:szCs w:val="20"/>
        </w:rPr>
      </w:pPr>
      <w:r w:rsidRPr="00072FFA">
        <w:rPr>
          <w:rFonts w:ascii="Arial" w:hAnsi="Arial" w:cs="Arial"/>
          <w:sz w:val="20"/>
          <w:szCs w:val="20"/>
        </w:rPr>
        <w:t xml:space="preserve"> </w:t>
      </w:r>
      <w:r w:rsidRPr="00072FFA">
        <w:rPr>
          <w:rFonts w:ascii="Arial" w:hAnsi="Arial" w:cs="Arial"/>
          <w:b/>
          <w:i/>
          <w:sz w:val="20"/>
          <w:szCs w:val="20"/>
        </w:rPr>
        <w:t>unutrašnje pakovanje</w:t>
      </w:r>
      <w:r w:rsidRPr="00072FFA">
        <w:rPr>
          <w:rFonts w:ascii="Arial" w:hAnsi="Arial" w:cs="Arial"/>
          <w:sz w:val="20"/>
          <w:szCs w:val="20"/>
        </w:rPr>
        <w:t xml:space="preserve"> je pakovanje sa kojim je lijek u neposrednom kontaktu.</w:t>
      </w:r>
    </w:p>
    <w:p w14:paraId="42055B70" w14:textId="77777777" w:rsidR="007473C2" w:rsidRPr="00072FFA" w:rsidRDefault="007473C2" w:rsidP="007473C2">
      <w:pPr>
        <w:pStyle w:val="N03Y"/>
        <w:spacing w:before="0" w:after="0"/>
        <w:jc w:val="both"/>
        <w:rPr>
          <w:rFonts w:ascii="Arial" w:hAnsi="Arial" w:cs="Arial"/>
          <w:b w:val="0"/>
          <w:sz w:val="20"/>
          <w:szCs w:val="20"/>
        </w:rPr>
      </w:pPr>
      <w:r w:rsidRPr="00072FFA">
        <w:rPr>
          <w:rFonts w:ascii="Arial" w:hAnsi="Arial" w:cs="Arial"/>
          <w:b w:val="0"/>
          <w:sz w:val="20"/>
          <w:szCs w:val="20"/>
        </w:rPr>
        <w:t xml:space="preserve">         Uvoz lijeka koji nema dozvolu za lijek u Crnu Goru može da se vrši samo uz saglasnost Instituta za ljekove i medicinska sredstva (CINMED). Naime, članom 4 Pravilnika propisano je da  Institut za ljekove i medicinska sredstva u skladu sa Zakonom, može da izda </w:t>
      </w:r>
      <w:r w:rsidRPr="00072FFA">
        <w:rPr>
          <w:rFonts w:ascii="Arial" w:hAnsi="Arial" w:cs="Arial"/>
          <w:sz w:val="20"/>
          <w:szCs w:val="20"/>
        </w:rPr>
        <w:t>saglasnost za uvoz lijeka koji nema dozvolu za lijek za:</w:t>
      </w:r>
    </w:p>
    <w:p w14:paraId="6291A456"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t xml:space="preserve">   1) ljekove koji su namijenjeni za istraživačke svrhe, uključujući i veterinarske ljekove koji se koriste za dobijanje rezultata iz člana 47 stav 1 tačka 4 Zakona;</w:t>
      </w:r>
    </w:p>
    <w:p w14:paraId="085A707B"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t xml:space="preserve">   2) medicinski opravdane potrebe, u slučaju epidemija, epizootija, elementarnih nepogoda ili drugih vanrednih stanja, radi zaštite zdravlja;</w:t>
      </w:r>
    </w:p>
    <w:p w14:paraId="1099CE1E"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t xml:space="preserve">   3) slučajeve liječenja određenog pacijenta ili grupe pacijenata lijekom koji je na ličnu odgovornost propisao doktor medicine ili doktor stomatologije koji sprovodi liječenje;</w:t>
      </w:r>
    </w:p>
    <w:p w14:paraId="7785078C"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t xml:space="preserve">   4) slučajeve liječenja određene životinje ili grupe životinja lijekom koji je na ličnu odgovornost propisao veterinar koji sprovodi liječenje;</w:t>
      </w:r>
    </w:p>
    <w:p w14:paraId="457F7DF8"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t xml:space="preserve">   5)  ljekove za saosjećajnu upotrebu.</w:t>
      </w:r>
    </w:p>
    <w:p w14:paraId="47107387" w14:textId="77777777" w:rsidR="007473C2" w:rsidRPr="00072FFA" w:rsidRDefault="007473C2" w:rsidP="007473C2">
      <w:pPr>
        <w:pStyle w:val="T30X"/>
        <w:spacing w:line="276" w:lineRule="auto"/>
        <w:rPr>
          <w:rFonts w:ascii="Arial" w:hAnsi="Arial" w:cs="Arial"/>
          <w:b/>
          <w:sz w:val="20"/>
          <w:szCs w:val="20"/>
        </w:rPr>
      </w:pPr>
      <w:r w:rsidRPr="00072FFA">
        <w:rPr>
          <w:rFonts w:ascii="Arial" w:hAnsi="Arial" w:cs="Arial"/>
          <w:sz w:val="20"/>
          <w:szCs w:val="20"/>
        </w:rPr>
        <w:t xml:space="preserve"> Institutu uvoz lijeka koji nema dozvolu za lijek može da predloži </w:t>
      </w:r>
      <w:r w:rsidRPr="00072FFA">
        <w:rPr>
          <w:rFonts w:ascii="Arial" w:hAnsi="Arial" w:cs="Arial"/>
          <w:b/>
          <w:sz w:val="20"/>
          <w:szCs w:val="20"/>
        </w:rPr>
        <w:t>veledrogerija u ime i za račun</w:t>
      </w:r>
      <w:r w:rsidRPr="00072FFA">
        <w:rPr>
          <w:rFonts w:ascii="Arial" w:hAnsi="Arial" w:cs="Arial"/>
          <w:sz w:val="20"/>
          <w:szCs w:val="20"/>
        </w:rPr>
        <w:t xml:space="preserve"> </w:t>
      </w:r>
      <w:r w:rsidRPr="00072FFA">
        <w:rPr>
          <w:rFonts w:ascii="Arial" w:hAnsi="Arial" w:cs="Arial"/>
          <w:b/>
          <w:sz w:val="20"/>
          <w:szCs w:val="20"/>
        </w:rPr>
        <w:t>predlagača uvoza</w:t>
      </w:r>
      <w:r w:rsidRPr="00072FFA">
        <w:rPr>
          <w:rFonts w:ascii="Arial" w:hAnsi="Arial" w:cs="Arial"/>
          <w:sz w:val="20"/>
          <w:szCs w:val="20"/>
        </w:rPr>
        <w:t xml:space="preserve"> (</w:t>
      </w:r>
      <w:r w:rsidRPr="00072FFA">
        <w:rPr>
          <w:rFonts w:ascii="Arial" w:hAnsi="Arial" w:cs="Arial"/>
          <w:i/>
          <w:sz w:val="20"/>
          <w:szCs w:val="20"/>
        </w:rPr>
        <w:t>to su</w:t>
      </w:r>
      <w:r w:rsidRPr="00072FFA">
        <w:rPr>
          <w:rFonts w:ascii="Arial" w:hAnsi="Arial" w:cs="Arial"/>
          <w:sz w:val="20"/>
          <w:szCs w:val="20"/>
        </w:rPr>
        <w:t xml:space="preserve">: </w:t>
      </w:r>
      <w:r w:rsidRPr="00072FFA">
        <w:rPr>
          <w:rFonts w:ascii="Arial" w:hAnsi="Arial" w:cs="Arial"/>
          <w:i/>
          <w:sz w:val="20"/>
          <w:szCs w:val="20"/>
        </w:rPr>
        <w:t>zdravstvena ustanova, naučnoistraživačka ustanova, ustanova socijalne i dječje zaštite u kojoj se obezbjeđuje pružanje zdravstvene zaštite, humanitarna organizacija, organ državne uprave nadležan za poslove odbrane, organ državne uprave nadležan za poslove zdravlja, organ državne uprave nadležan za unutrašnje poslove, organ državne uprave nadležan za poslove veterinarstva, pravno lice koje obavlja veterinarsku djelatnost u skladu sa zakonom kojim se uređuje veterinarstvo i pravno lice koje ima dozvolu za promet veterinarskih ljekova na veliko</w:t>
      </w:r>
      <w:r w:rsidRPr="00072FFA">
        <w:rPr>
          <w:rFonts w:ascii="Arial" w:hAnsi="Arial" w:cs="Arial"/>
          <w:sz w:val="20"/>
          <w:szCs w:val="20"/>
        </w:rPr>
        <w:t>).</w:t>
      </w:r>
    </w:p>
    <w:p w14:paraId="5D2CD31D" w14:textId="77777777" w:rsidR="007473C2" w:rsidRPr="00072FFA" w:rsidRDefault="007473C2" w:rsidP="007473C2">
      <w:pPr>
        <w:pStyle w:val="T30X"/>
        <w:rPr>
          <w:rFonts w:ascii="Arial" w:hAnsi="Arial" w:cs="Arial"/>
          <w:b/>
          <w:sz w:val="20"/>
          <w:szCs w:val="20"/>
        </w:rPr>
      </w:pPr>
      <w:r w:rsidRPr="00072FFA">
        <w:rPr>
          <w:rFonts w:ascii="Arial" w:hAnsi="Arial" w:cs="Arial"/>
          <w:sz w:val="20"/>
          <w:szCs w:val="20"/>
        </w:rPr>
        <w:t xml:space="preserve"> Članom 14 Pravilnika propisano je da </w:t>
      </w:r>
      <w:r w:rsidRPr="00072FFA">
        <w:rPr>
          <w:rFonts w:ascii="Arial" w:hAnsi="Arial" w:cs="Arial"/>
          <w:b/>
          <w:sz w:val="20"/>
          <w:szCs w:val="20"/>
        </w:rPr>
        <w:t>saglasnost za uvoz lijeka koji nema dozvolu za lijek sadrži:</w:t>
      </w:r>
    </w:p>
    <w:p w14:paraId="1BABEDE8"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t xml:space="preserve">   1) naziv lijeka, farmaceutski oblik, jačinu lijeka i veličinu pakovanja;</w:t>
      </w:r>
    </w:p>
    <w:p w14:paraId="2DD2A61D"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t xml:space="preserve">   2) naziv proizvođača lijeka;</w:t>
      </w:r>
    </w:p>
    <w:p w14:paraId="053B6F4B"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t xml:space="preserve">   3) broj serije;</w:t>
      </w:r>
    </w:p>
    <w:p w14:paraId="54295208"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t xml:space="preserve">   4) jedinicu mjere (npr. kutija, bočica);</w:t>
      </w:r>
    </w:p>
    <w:p w14:paraId="503CE92D"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t xml:space="preserve">   5) količinu lijeka;</w:t>
      </w:r>
    </w:p>
    <w:p w14:paraId="4BCA4F3E"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t xml:space="preserve">   6) naziv isporučioca;</w:t>
      </w:r>
    </w:p>
    <w:p w14:paraId="2B4EECF2" w14:textId="77777777" w:rsidR="007473C2" w:rsidRPr="00072FFA" w:rsidRDefault="007473C2" w:rsidP="007473C2">
      <w:pPr>
        <w:pStyle w:val="T30X"/>
        <w:ind w:left="567" w:hanging="283"/>
        <w:rPr>
          <w:rFonts w:ascii="Arial" w:hAnsi="Arial" w:cs="Arial"/>
          <w:sz w:val="20"/>
          <w:szCs w:val="20"/>
        </w:rPr>
      </w:pPr>
      <w:r w:rsidRPr="00072FFA">
        <w:rPr>
          <w:rFonts w:ascii="Arial" w:hAnsi="Arial" w:cs="Arial"/>
          <w:sz w:val="20"/>
          <w:szCs w:val="20"/>
        </w:rPr>
        <w:lastRenderedPageBreak/>
        <w:t xml:space="preserve">   7) naziv korisnika.</w:t>
      </w:r>
    </w:p>
    <w:p w14:paraId="0DE4B737" w14:textId="77777777" w:rsidR="007473C2" w:rsidRPr="00072FFA" w:rsidRDefault="007473C2" w:rsidP="007473C2">
      <w:pPr>
        <w:pStyle w:val="T30X"/>
        <w:spacing w:before="0" w:after="0"/>
        <w:rPr>
          <w:rFonts w:ascii="Arial" w:hAnsi="Arial" w:cs="Arial"/>
          <w:b/>
          <w:sz w:val="20"/>
          <w:szCs w:val="20"/>
        </w:rPr>
      </w:pPr>
      <w:r w:rsidRPr="00072FFA">
        <w:rPr>
          <w:rFonts w:ascii="Arial" w:hAnsi="Arial" w:cs="Arial"/>
          <w:sz w:val="20"/>
          <w:szCs w:val="20"/>
        </w:rPr>
        <w:t xml:space="preserve">U slučaju da prilikom uvoza nije moguće dostaviti neki od podataka iz stava 1 ovog člana, Institut može da izda privremeno rješenje, u skladu sa zakonom. </w:t>
      </w:r>
      <w:r w:rsidRPr="00072FFA">
        <w:rPr>
          <w:rFonts w:ascii="Arial" w:hAnsi="Arial" w:cs="Arial"/>
          <w:b/>
          <w:sz w:val="20"/>
          <w:szCs w:val="20"/>
        </w:rPr>
        <w:t xml:space="preserve">Saglasnost za uvoz lijeka za </w:t>
      </w:r>
      <w:r w:rsidRPr="00072FFA">
        <w:rPr>
          <w:rFonts w:ascii="Arial" w:hAnsi="Arial" w:cs="Arial"/>
          <w:b/>
          <w:sz w:val="20"/>
          <w:szCs w:val="20"/>
          <w:u w:val="single"/>
        </w:rPr>
        <w:t>humanu upotrebu</w:t>
      </w:r>
      <w:r w:rsidRPr="00072FFA">
        <w:rPr>
          <w:rFonts w:ascii="Arial" w:hAnsi="Arial" w:cs="Arial"/>
          <w:b/>
          <w:sz w:val="20"/>
          <w:szCs w:val="20"/>
        </w:rPr>
        <w:t xml:space="preserve"> koji nema dozvolu za lijek važi </w:t>
      </w:r>
      <w:r w:rsidRPr="00072FFA">
        <w:rPr>
          <w:rFonts w:ascii="Arial" w:hAnsi="Arial" w:cs="Arial"/>
          <w:b/>
          <w:sz w:val="20"/>
          <w:szCs w:val="20"/>
          <w:u w:val="single"/>
        </w:rPr>
        <w:t>do uvoza cijele odobrene količine</w:t>
      </w:r>
      <w:r w:rsidRPr="00072FFA">
        <w:rPr>
          <w:rFonts w:ascii="Arial" w:hAnsi="Arial" w:cs="Arial"/>
          <w:b/>
          <w:sz w:val="20"/>
          <w:szCs w:val="20"/>
        </w:rPr>
        <w:t xml:space="preserve"> tog lijeka, koja ne može biti veća od potreba predlagača uvoza.</w:t>
      </w:r>
    </w:p>
    <w:p w14:paraId="1A556E68" w14:textId="77777777" w:rsidR="007473C2" w:rsidRPr="00072FFA" w:rsidRDefault="007473C2" w:rsidP="007473C2">
      <w:pPr>
        <w:pStyle w:val="T30X"/>
        <w:spacing w:before="0" w:after="0"/>
        <w:rPr>
          <w:rFonts w:ascii="Arial" w:hAnsi="Arial" w:cs="Arial"/>
          <w:b/>
          <w:sz w:val="20"/>
          <w:szCs w:val="20"/>
          <w:u w:val="single"/>
        </w:rPr>
      </w:pPr>
      <w:r w:rsidRPr="00072FFA">
        <w:rPr>
          <w:rFonts w:ascii="Arial" w:hAnsi="Arial" w:cs="Arial"/>
          <w:b/>
          <w:sz w:val="20"/>
          <w:szCs w:val="20"/>
        </w:rPr>
        <w:t xml:space="preserve">Saglasnost za uvoz lijeka za </w:t>
      </w:r>
      <w:r w:rsidRPr="00072FFA">
        <w:rPr>
          <w:rFonts w:ascii="Arial" w:hAnsi="Arial" w:cs="Arial"/>
          <w:b/>
          <w:sz w:val="20"/>
          <w:szCs w:val="20"/>
          <w:u w:val="single"/>
        </w:rPr>
        <w:t>veterinarsku upotrebu</w:t>
      </w:r>
      <w:r w:rsidRPr="00072FFA">
        <w:rPr>
          <w:rFonts w:ascii="Arial" w:hAnsi="Arial" w:cs="Arial"/>
          <w:b/>
          <w:sz w:val="20"/>
          <w:szCs w:val="20"/>
        </w:rPr>
        <w:t xml:space="preserve"> koji nema dozvolu za lijek </w:t>
      </w:r>
      <w:r w:rsidRPr="00072FFA">
        <w:rPr>
          <w:rFonts w:ascii="Arial" w:hAnsi="Arial" w:cs="Arial"/>
          <w:b/>
          <w:sz w:val="20"/>
          <w:szCs w:val="20"/>
          <w:u w:val="single"/>
        </w:rPr>
        <w:t>važi do uvoza cijele odobrene količine tog lijeka, a najduže tri mjeseca od dana izdavanja saglasnosti.</w:t>
      </w:r>
    </w:p>
    <w:p w14:paraId="7B6AD6E4" w14:textId="2CAA46F5" w:rsidR="007473C2" w:rsidRPr="00072FFA" w:rsidRDefault="007473C2" w:rsidP="007473C2">
      <w:pPr>
        <w:pStyle w:val="Default"/>
        <w:spacing w:line="276" w:lineRule="auto"/>
        <w:ind w:hanging="284"/>
        <w:jc w:val="both"/>
        <w:rPr>
          <w:rFonts w:ascii="Arial" w:hAnsi="Arial" w:cs="Arial"/>
          <w:sz w:val="20"/>
          <w:szCs w:val="20"/>
          <w:lang w:val="sr-Latn-CS"/>
        </w:rPr>
      </w:pPr>
    </w:p>
    <w:p w14:paraId="1B70DD0E" w14:textId="77777777" w:rsidR="00072FFA" w:rsidRPr="00072FFA" w:rsidRDefault="00072FFA" w:rsidP="00072FFA">
      <w:pPr>
        <w:pStyle w:val="Default"/>
        <w:spacing w:line="276" w:lineRule="auto"/>
        <w:jc w:val="both"/>
        <w:rPr>
          <w:rFonts w:ascii="Arial" w:hAnsi="Arial" w:cs="Arial"/>
          <w:sz w:val="20"/>
          <w:szCs w:val="20"/>
          <w:lang w:val="sr-Latn-CS"/>
        </w:rPr>
      </w:pPr>
    </w:p>
    <w:p w14:paraId="4CC2E728" w14:textId="77777777" w:rsidR="007473C2" w:rsidRPr="00072FFA" w:rsidRDefault="007473C2" w:rsidP="007473C2">
      <w:pPr>
        <w:pStyle w:val="Default"/>
        <w:spacing w:line="276" w:lineRule="auto"/>
        <w:ind w:hanging="284"/>
        <w:jc w:val="both"/>
        <w:rPr>
          <w:rFonts w:ascii="Arial" w:hAnsi="Arial" w:cs="Arial"/>
          <w:sz w:val="20"/>
          <w:szCs w:val="20"/>
          <w:lang w:val="hr-HR"/>
        </w:rPr>
      </w:pPr>
    </w:p>
    <w:p w14:paraId="7D201E26" w14:textId="28CEEBA0" w:rsidR="007473C2" w:rsidRPr="00072FFA" w:rsidRDefault="005D5F32" w:rsidP="008A7246">
      <w:pPr>
        <w:jc w:val="center"/>
        <w:rPr>
          <w:rFonts w:ascii="Arial" w:hAnsi="Arial" w:cs="Arial"/>
          <w:sz w:val="20"/>
          <w:szCs w:val="20"/>
        </w:rPr>
      </w:pPr>
      <w:bookmarkStart w:id="0" w:name="_GoBack"/>
      <w:r w:rsidRPr="00072FFA">
        <w:rPr>
          <w:rFonts w:ascii="Arial" w:hAnsi="Arial" w:cs="Arial"/>
          <w:b/>
          <w:sz w:val="20"/>
          <w:szCs w:val="20"/>
        </w:rPr>
        <w:t>Akt Uprave carina 3171/1-24 od 18.03.2024.godine</w:t>
      </w:r>
    </w:p>
    <w:bookmarkEnd w:id="0"/>
    <w:p w14:paraId="5973BD63" w14:textId="77777777" w:rsidR="00344381" w:rsidRPr="00072FFA" w:rsidRDefault="00344381">
      <w:pPr>
        <w:rPr>
          <w:rFonts w:ascii="Arial" w:hAnsi="Arial" w:cs="Arial"/>
          <w:sz w:val="20"/>
          <w:szCs w:val="20"/>
        </w:rPr>
      </w:pPr>
    </w:p>
    <w:sectPr w:rsidR="00344381" w:rsidRPr="00072FFA" w:rsidSect="00FD6290">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63287"/>
    <w:multiLevelType w:val="hybridMultilevel"/>
    <w:tmpl w:val="29389266"/>
    <w:lvl w:ilvl="0" w:tplc="E558E9A6">
      <w:start w:val="5"/>
      <w:numFmt w:val="bullet"/>
      <w:lvlText w:val="-"/>
      <w:lvlJc w:val="left"/>
      <w:pPr>
        <w:ind w:left="720" w:hanging="360"/>
      </w:pPr>
      <w:rPr>
        <w:rFonts w:ascii="Cambria" w:eastAsiaTheme="minorEastAsia" w:hAnsi="Cambria" w:cs="Times New Roman" w:hint="default"/>
        <w:b/>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1"/>
    <w:rsid w:val="00072FFA"/>
    <w:rsid w:val="00344381"/>
    <w:rsid w:val="005D5F32"/>
    <w:rsid w:val="007473C2"/>
    <w:rsid w:val="008A72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9C6E"/>
  <w15:chartTrackingRefBased/>
  <w15:docId w15:val="{BC4C0C9F-1356-481A-B697-D7F4FCC7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3C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473C2"/>
    <w:pPr>
      <w:spacing w:after="0" w:line="240" w:lineRule="auto"/>
      <w:ind w:left="1134"/>
      <w:jc w:val="both"/>
      <w:outlineLvl w:val="0"/>
    </w:pPr>
    <w:rPr>
      <w:rFonts w:ascii="Arial" w:eastAsiaTheme="minorHAnsi" w:hAnsi="Arial" w:cs="Arial"/>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3C2"/>
    <w:rPr>
      <w:rFonts w:ascii="Arial" w:hAnsi="Arial" w:cs="Arial"/>
      <w:bCs/>
      <w:sz w:val="24"/>
      <w:lang w:val="hr-HR"/>
    </w:rPr>
  </w:style>
  <w:style w:type="paragraph" w:customStyle="1" w:styleId="Default">
    <w:name w:val="Default"/>
    <w:rsid w:val="007473C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semiHidden/>
    <w:unhideWhenUsed/>
    <w:rsid w:val="007473C2"/>
    <w:rPr>
      <w:color w:val="0000FF"/>
      <w:u w:val="single"/>
    </w:rPr>
  </w:style>
  <w:style w:type="paragraph" w:styleId="Header">
    <w:name w:val="header"/>
    <w:basedOn w:val="Normal"/>
    <w:link w:val="HeaderChar"/>
    <w:uiPriority w:val="99"/>
    <w:unhideWhenUsed/>
    <w:rsid w:val="007473C2"/>
    <w:pPr>
      <w:tabs>
        <w:tab w:val="center" w:pos="4536"/>
        <w:tab w:val="right" w:pos="9072"/>
      </w:tabs>
      <w:spacing w:after="0" w:line="240" w:lineRule="auto"/>
      <w:jc w:val="both"/>
    </w:pPr>
    <w:rPr>
      <w:rFonts w:asciiTheme="minorHAnsi" w:eastAsiaTheme="minorHAnsi" w:hAnsiTheme="minorHAnsi" w:cstheme="minorBidi"/>
      <w:sz w:val="24"/>
      <w:lang w:val="sr-Latn-ME"/>
    </w:rPr>
  </w:style>
  <w:style w:type="character" w:customStyle="1" w:styleId="HeaderChar">
    <w:name w:val="Header Char"/>
    <w:basedOn w:val="DefaultParagraphFont"/>
    <w:link w:val="Header"/>
    <w:uiPriority w:val="99"/>
    <w:rsid w:val="007473C2"/>
    <w:rPr>
      <w:sz w:val="24"/>
      <w:lang w:val="sr-Latn-ME"/>
    </w:rPr>
  </w:style>
  <w:style w:type="paragraph" w:styleId="Title">
    <w:name w:val="Title"/>
    <w:basedOn w:val="Normal"/>
    <w:next w:val="Normal"/>
    <w:link w:val="TitleChar"/>
    <w:uiPriority w:val="10"/>
    <w:qFormat/>
    <w:rsid w:val="007473C2"/>
    <w:pPr>
      <w:spacing w:before="120" w:after="80" w:line="192" w:lineRule="auto"/>
      <w:ind w:left="1134"/>
    </w:pPr>
    <w:rPr>
      <w:rFonts w:eastAsia="Times New Roman"/>
      <w:noProof/>
      <w:spacing w:val="-10"/>
      <w:kern w:val="28"/>
      <w:sz w:val="28"/>
      <w:szCs w:val="40"/>
      <w:lang w:val="en-US"/>
    </w:rPr>
  </w:style>
  <w:style w:type="character" w:customStyle="1" w:styleId="TitleChar">
    <w:name w:val="Title Char"/>
    <w:basedOn w:val="DefaultParagraphFont"/>
    <w:link w:val="Title"/>
    <w:uiPriority w:val="10"/>
    <w:rsid w:val="007473C2"/>
    <w:rPr>
      <w:rFonts w:ascii="Calibri" w:eastAsia="Times New Roman" w:hAnsi="Calibri" w:cs="Times New Roman"/>
      <w:noProof/>
      <w:spacing w:val="-10"/>
      <w:kern w:val="28"/>
      <w:sz w:val="28"/>
      <w:szCs w:val="40"/>
      <w:lang w:val="en-US"/>
    </w:rPr>
  </w:style>
  <w:style w:type="character" w:customStyle="1" w:styleId="NoSpacingChar">
    <w:name w:val="No Spacing Char"/>
    <w:link w:val="NoSpacing"/>
    <w:uiPriority w:val="1"/>
    <w:locked/>
    <w:rsid w:val="007473C2"/>
    <w:rPr>
      <w:lang w:val="en-US"/>
    </w:rPr>
  </w:style>
  <w:style w:type="paragraph" w:styleId="NoSpacing">
    <w:name w:val="No Spacing"/>
    <w:link w:val="NoSpacingChar"/>
    <w:uiPriority w:val="1"/>
    <w:qFormat/>
    <w:rsid w:val="007473C2"/>
    <w:pPr>
      <w:spacing w:after="0" w:line="240" w:lineRule="auto"/>
    </w:pPr>
    <w:rPr>
      <w:lang w:val="en-US"/>
    </w:rPr>
  </w:style>
  <w:style w:type="paragraph" w:customStyle="1" w:styleId="N03Y">
    <w:name w:val="N03Y"/>
    <w:basedOn w:val="Normal"/>
    <w:uiPriority w:val="99"/>
    <w:rsid w:val="007473C2"/>
    <w:pPr>
      <w:autoSpaceDE w:val="0"/>
      <w:autoSpaceDN w:val="0"/>
      <w:adjustRightInd w:val="0"/>
      <w:spacing w:before="200" w:line="240" w:lineRule="auto"/>
      <w:jc w:val="center"/>
    </w:pPr>
    <w:rPr>
      <w:rFonts w:ascii="Times New Roman" w:eastAsiaTheme="minorEastAsia" w:hAnsi="Times New Roman"/>
      <w:b/>
      <w:bCs/>
      <w:color w:val="000000"/>
      <w:sz w:val="28"/>
      <w:szCs w:val="28"/>
      <w:lang w:eastAsia="sl-SI"/>
    </w:rPr>
  </w:style>
  <w:style w:type="paragraph" w:customStyle="1" w:styleId="T30X">
    <w:name w:val="T30X"/>
    <w:basedOn w:val="Normal"/>
    <w:uiPriority w:val="99"/>
    <w:rsid w:val="007473C2"/>
    <w:pPr>
      <w:autoSpaceDE w:val="0"/>
      <w:autoSpaceDN w:val="0"/>
      <w:adjustRightInd w:val="0"/>
      <w:spacing w:before="60" w:after="60" w:line="240" w:lineRule="auto"/>
      <w:ind w:firstLine="283"/>
      <w:jc w:val="both"/>
    </w:pPr>
    <w:rPr>
      <w:rFonts w:ascii="Times New Roman" w:eastAsiaTheme="minorEastAsia" w:hAnsi="Times New Roman"/>
      <w:color w:val="00000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8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Ostojić</dc:creator>
  <cp:keywords/>
  <dc:description/>
  <cp:lastModifiedBy>Stefan Ostojić</cp:lastModifiedBy>
  <cp:revision>5</cp:revision>
  <dcterms:created xsi:type="dcterms:W3CDTF">2025-10-08T11:05:00Z</dcterms:created>
  <dcterms:modified xsi:type="dcterms:W3CDTF">2025-10-08T12:29:00Z</dcterms:modified>
</cp:coreProperties>
</file>