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86" w:rsidRDefault="00B07486">
      <w:bookmarkStart w:id="0" w:name="_GoBack"/>
      <w:bookmarkEnd w:id="0"/>
    </w:p>
    <w:p w:rsidR="003461B0" w:rsidRDefault="003461B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val="sr-Latn-ME" w:eastAsia="sr-Latn-ME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9744A9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javne uprave</w:t>
            </w:r>
          </w:p>
        </w:tc>
      </w:tr>
    </w:tbl>
    <w:p w:rsidR="00AE65B1" w:rsidRDefault="00AE65B1" w:rsidP="00AE65B1">
      <w:r>
        <w:t>Broj: ___________________________</w:t>
      </w:r>
      <w:r>
        <w:br/>
        <w:t xml:space="preserve">_____________, ______. </w:t>
      </w:r>
      <w:proofErr w:type="gramStart"/>
      <w:r>
        <w:t>godine</w:t>
      </w:r>
      <w:proofErr w:type="gramEnd"/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>za utvrđivanje</w:t>
      </w:r>
      <w:r w:rsidR="00BB11D0">
        <w:rPr>
          <w:rFonts w:ascii="Calibri" w:hAnsi="Calibri"/>
          <w:b/>
        </w:rPr>
        <w:t xml:space="preserve"> </w:t>
      </w:r>
      <w:r w:rsidRPr="00AE65B1">
        <w:rPr>
          <w:rFonts w:ascii="Calibri" w:hAnsi="Calibri"/>
          <w:b/>
        </w:rPr>
        <w:t>predloga</w:t>
      </w:r>
      <w:r w:rsidR="00BB11D0">
        <w:rPr>
          <w:rFonts w:ascii="Calibri" w:hAnsi="Calibri"/>
          <w:b/>
        </w:rPr>
        <w:t xml:space="preserve"> </w:t>
      </w:r>
      <w:r w:rsidRPr="00AE65B1">
        <w:rPr>
          <w:rFonts w:ascii="Calibri" w:hAnsi="Calibri"/>
          <w:b/>
        </w:rPr>
        <w:t>prioritetnih</w:t>
      </w:r>
      <w:r w:rsidR="00BB11D0">
        <w:rPr>
          <w:rFonts w:ascii="Calibri" w:hAnsi="Calibri"/>
          <w:b/>
        </w:rPr>
        <w:t xml:space="preserve"> </w:t>
      </w:r>
      <w:r w:rsidRPr="00AE65B1">
        <w:rPr>
          <w:rFonts w:ascii="Calibri" w:hAnsi="Calibri"/>
          <w:b/>
        </w:rPr>
        <w:t>oblasti</w:t>
      </w:r>
      <w:r w:rsidR="00BB11D0">
        <w:rPr>
          <w:rFonts w:ascii="Calibri" w:hAnsi="Calibri"/>
          <w:b/>
        </w:rPr>
        <w:t xml:space="preserve"> </w:t>
      </w:r>
      <w:proofErr w:type="gramStart"/>
      <w:r w:rsidRPr="00AE65B1">
        <w:rPr>
          <w:rFonts w:ascii="Calibri" w:hAnsi="Calibri"/>
          <w:b/>
        </w:rPr>
        <w:t>od</w:t>
      </w:r>
      <w:proofErr w:type="gramEnd"/>
      <w:r w:rsidR="00BB11D0">
        <w:rPr>
          <w:rFonts w:ascii="Calibri" w:hAnsi="Calibri"/>
          <w:b/>
        </w:rPr>
        <w:t xml:space="preserve"> </w:t>
      </w:r>
      <w:r w:rsidRPr="00AE65B1">
        <w:rPr>
          <w:rFonts w:ascii="Calibri" w:hAnsi="Calibri"/>
          <w:b/>
        </w:rPr>
        <w:t>javnog interesa i potrebnih</w:t>
      </w:r>
      <w:r w:rsidR="00BB11D0">
        <w:rPr>
          <w:rFonts w:ascii="Calibri" w:hAnsi="Calibri"/>
          <w:b/>
        </w:rPr>
        <w:t xml:space="preserve"> </w:t>
      </w:r>
      <w:r w:rsidRPr="00AE65B1">
        <w:rPr>
          <w:rFonts w:ascii="Calibri" w:hAnsi="Calibri"/>
          <w:b/>
        </w:rPr>
        <w:t>sredstava</w:t>
      </w:r>
      <w:r w:rsidRPr="00AE65B1">
        <w:rPr>
          <w:rFonts w:ascii="Calibri" w:hAnsi="Calibri"/>
          <w:b/>
        </w:rPr>
        <w:br/>
        <w:t>za finansiranje</w:t>
      </w:r>
      <w:r w:rsidR="00BB11D0">
        <w:rPr>
          <w:rFonts w:ascii="Calibri" w:hAnsi="Calibri"/>
          <w:b/>
        </w:rPr>
        <w:t xml:space="preserve"> </w:t>
      </w:r>
      <w:r w:rsidRPr="00AE65B1">
        <w:rPr>
          <w:rFonts w:ascii="Calibri" w:hAnsi="Calibri"/>
          <w:b/>
        </w:rPr>
        <w:t>projekata i programa</w:t>
      </w:r>
      <w:r w:rsidR="00BB11D0">
        <w:rPr>
          <w:rFonts w:ascii="Calibri" w:hAnsi="Calibri"/>
          <w:b/>
        </w:rPr>
        <w:t xml:space="preserve"> </w:t>
      </w:r>
      <w:r w:rsidRPr="00AE65B1">
        <w:rPr>
          <w:rFonts w:ascii="Calibri" w:hAnsi="Calibri"/>
          <w:b/>
        </w:rPr>
        <w:t>nevladinih</w:t>
      </w:r>
      <w:r w:rsidR="00BB11D0">
        <w:rPr>
          <w:rFonts w:ascii="Calibri" w:hAnsi="Calibri"/>
          <w:b/>
        </w:rPr>
        <w:t xml:space="preserve"> </w:t>
      </w:r>
      <w:r w:rsidRPr="00AE65B1">
        <w:rPr>
          <w:rFonts w:ascii="Calibri" w:hAnsi="Calibri"/>
          <w:b/>
        </w:rPr>
        <w:t>organizacija</w:t>
      </w:r>
      <w:r w:rsidRPr="00AE65B1">
        <w:rPr>
          <w:rFonts w:ascii="Calibri" w:hAnsi="Calibri"/>
          <w:b/>
        </w:rPr>
        <w:br/>
        <w:t>iz</w:t>
      </w:r>
      <w:r w:rsidR="00BB11D0">
        <w:rPr>
          <w:rFonts w:ascii="Calibri" w:hAnsi="Calibri"/>
          <w:b/>
        </w:rPr>
        <w:t xml:space="preserve">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="009744A9">
        <w:rPr>
          <w:rFonts w:ascii="Calibri" w:hAnsi="Calibri"/>
          <w:b/>
        </w:rPr>
        <w:t xml:space="preserve"> u 2019</w:t>
      </w:r>
      <w:r w:rsidRPr="00AE65B1">
        <w:rPr>
          <w:rFonts w:ascii="Calibri" w:hAnsi="Calibri"/>
          <w:b/>
        </w:rPr>
        <w:t xml:space="preserve">. </w:t>
      </w:r>
      <w:proofErr w:type="gramStart"/>
      <w:r w:rsidRPr="00AE65B1">
        <w:rPr>
          <w:rFonts w:ascii="Calibri" w:hAnsi="Calibri"/>
          <w:b/>
        </w:rPr>
        <w:t>godini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A41C80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</w:t>
            </w:r>
            <w:r w:rsidR="00A41C80">
              <w:rPr>
                <w:i/>
              </w:rPr>
              <w:t xml:space="preserve">a </w:t>
            </w:r>
            <w:r w:rsidRPr="0026502A">
              <w:rPr>
                <w:i/>
              </w:rPr>
              <w:t>analiza se sačinjava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na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osnovu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strateških i planskih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dokumenata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odnosno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propisa u odgovarajućoj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oblasti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od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javnog interesa uz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konsultacije sa zainteresovanim nevladinim organizacijama, i predstavlja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osnov za utvrđivanje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prioritetnih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oblasti i potrebnih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sredstava za finansiranje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projekata i programa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nevladinih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organizacija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iz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državnog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budžeta u narednoj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godini, u skladu sa Zakonom o nevladinim organizacijama. Sektorska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analiza se priprema u tekućoj za narednu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kalendarsku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godinu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radi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blagovremenog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planiranja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visine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sredstava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koja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će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biti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opredijeljena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na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pozicijama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ministarstava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nadležnih za oblasti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koje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Vlada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utvrdi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kao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prioritetne za finansiranje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projekata i programa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nevladinih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organizacija. Analiza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će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poslužiti i za pripremu javnih konkursa za raspodjelu</w:t>
            </w:r>
            <w:r w:rsidR="00A41C80">
              <w:rPr>
                <w:i/>
              </w:rPr>
              <w:t xml:space="preserve"> </w:t>
            </w:r>
            <w:r w:rsidRPr="0026502A">
              <w:rPr>
                <w:i/>
              </w:rPr>
              <w:t>sredstava za finansiranje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projekata i programa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nevladinih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organizacija u oblasti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koja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će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biti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utvrđena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kao</w:t>
            </w:r>
            <w:r w:rsidR="0053143C">
              <w:rPr>
                <w:i/>
              </w:rPr>
              <w:t xml:space="preserve"> </w:t>
            </w:r>
            <w:r w:rsidRPr="0026502A">
              <w:rPr>
                <w:i/>
              </w:rPr>
              <w:t>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</w:t>
      </w:r>
      <w:r w:rsidR="0053143C">
        <w:t xml:space="preserve"> </w:t>
      </w:r>
      <w:r>
        <w:t>oblastima</w:t>
      </w:r>
      <w:r w:rsidR="0053143C">
        <w:t xml:space="preserve"> </w:t>
      </w:r>
      <w:r>
        <w:t>od</w:t>
      </w:r>
      <w:r w:rsidR="0053143C">
        <w:t xml:space="preserve"> </w:t>
      </w:r>
      <w:r>
        <w:t>javnog interesa (iz</w:t>
      </w:r>
      <w:r w:rsidR="0053143C">
        <w:t xml:space="preserve"> </w:t>
      </w:r>
      <w:r>
        <w:t>člana 32 Zakona o NVO) iz</w:t>
      </w:r>
      <w:r w:rsidR="0053143C">
        <w:t xml:space="preserve"> </w:t>
      </w:r>
      <w:r>
        <w:t>nadležnosti</w:t>
      </w:r>
      <w:r w:rsidR="0053143C">
        <w:t xml:space="preserve"> </w:t>
      </w:r>
      <w:r>
        <w:t>ministarstva</w:t>
      </w:r>
      <w:r w:rsidR="0053143C">
        <w:t xml:space="preserve"> </w:t>
      </w:r>
      <w:r>
        <w:t>planirate</w:t>
      </w:r>
      <w:r w:rsidR="0053143C">
        <w:t xml:space="preserve"> </w:t>
      </w:r>
      <w:r>
        <w:t>finansijsku</w:t>
      </w:r>
      <w:r w:rsidR="0053143C">
        <w:t xml:space="preserve"> </w:t>
      </w:r>
      <w:r>
        <w:t>podršku</w:t>
      </w:r>
      <w:r w:rsidR="0053143C">
        <w:t xml:space="preserve"> </w:t>
      </w:r>
      <w:r>
        <w:t>iz</w:t>
      </w:r>
      <w:r w:rsidR="0053143C">
        <w:t xml:space="preserve"> </w:t>
      </w:r>
      <w:r>
        <w:t xml:space="preserve">budžeta </w:t>
      </w:r>
      <w:r w:rsidR="0053143C">
        <w:t xml:space="preserve"> </w:t>
      </w:r>
      <w:r>
        <w:t>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</w:t>
            </w:r>
            <w:r w:rsidR="0053143C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B4123A">
              <w:rPr>
                <w:rFonts w:ascii="Calibri" w:hAnsi="Calibri" w:cs="Arial"/>
                <w:sz w:val="16"/>
                <w:szCs w:val="16"/>
              </w:rPr>
              <w:t>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R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azvoj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>
              <w:rPr>
                <w:rFonts w:ascii="Calibri" w:hAnsi="Calibri" w:cs="Arial"/>
                <w:sz w:val="16"/>
                <w:szCs w:val="16"/>
              </w:rPr>
              <w:t>civilnog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aštita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životne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</w:t>
            </w:r>
            <w:r w:rsidR="00035B3D" w:rsidRPr="00B4123A">
              <w:rPr>
                <w:rFonts w:ascii="Calibri" w:hAnsi="Calibri" w:cs="Arial"/>
                <w:sz w:val="16"/>
                <w:szCs w:val="16"/>
              </w:rPr>
              <w:t>manjenje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B4123A">
              <w:rPr>
                <w:rFonts w:ascii="Calibri" w:hAnsi="Calibri" w:cs="Arial"/>
                <w:sz w:val="16"/>
                <w:szCs w:val="16"/>
              </w:rPr>
              <w:t>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</w:t>
            </w:r>
            <w:r w:rsidR="0053143C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F7162D">
              <w:rPr>
                <w:rFonts w:ascii="Calibri" w:hAnsi="Calibri" w:cs="Arial"/>
                <w:sz w:val="16"/>
                <w:szCs w:val="16"/>
              </w:rPr>
              <w:t>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Z</w:t>
            </w:r>
            <w:r w:rsidR="00035B3D" w:rsidRPr="00B4123A">
              <w:rPr>
                <w:rFonts w:ascii="Calibri" w:hAnsi="Calibri" w:cs="Arial"/>
                <w:sz w:val="16"/>
                <w:szCs w:val="16"/>
              </w:rPr>
              <w:t>aštita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B4123A">
              <w:rPr>
                <w:rFonts w:ascii="Calibri" w:hAnsi="Calibri" w:cs="Arial"/>
                <w:sz w:val="16"/>
                <w:szCs w:val="16"/>
              </w:rPr>
              <w:t>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</w:t>
            </w:r>
            <w:r w:rsidR="0053143C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C63484">
              <w:rPr>
                <w:rFonts w:ascii="Calibri" w:hAnsi="Calibri" w:cs="Arial"/>
                <w:sz w:val="16"/>
                <w:szCs w:val="16"/>
              </w:rPr>
              <w:t>institucionalno</w:t>
            </w:r>
            <w:r w:rsidR="0053143C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C63484">
              <w:rPr>
                <w:rFonts w:ascii="Calibri" w:hAnsi="Calibri" w:cs="Arial"/>
                <w:sz w:val="16"/>
                <w:szCs w:val="16"/>
              </w:rPr>
              <w:t>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drživi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D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ruštvena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aštita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omoć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starijim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odna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</w:t>
            </w:r>
            <w:r w:rsidR="0053143C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C63484">
              <w:rPr>
                <w:rFonts w:ascii="Calibri" w:hAnsi="Calibri" w:cs="Arial"/>
                <w:sz w:val="16"/>
                <w:szCs w:val="16"/>
              </w:rPr>
              <w:t>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</w:t>
            </w:r>
            <w:r w:rsidR="00035B3D">
              <w:rPr>
                <w:rFonts w:ascii="Calibri" w:hAnsi="Calibri" w:cs="Arial"/>
                <w:sz w:val="16"/>
                <w:szCs w:val="16"/>
              </w:rPr>
              <w:t>orba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>
              <w:rPr>
                <w:rFonts w:ascii="Calibri" w:hAnsi="Calibri" w:cs="Arial"/>
                <w:sz w:val="16"/>
                <w:szCs w:val="16"/>
              </w:rPr>
              <w:t>protivkorupcije i organizovanog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ehnička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53143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orba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protiv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bolesti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53143C" w:rsidP="00C66C6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</w:t>
            </w:r>
            <w:r w:rsidR="00035B3D" w:rsidRPr="00035B3D">
              <w:rPr>
                <w:rFonts w:ascii="Calibri" w:hAnsi="Calibri" w:cs="Arial"/>
                <w:sz w:val="16"/>
                <w:szCs w:val="16"/>
              </w:rPr>
              <w:t>ruge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035B3D">
              <w:rPr>
                <w:rFonts w:ascii="Calibri" w:hAnsi="Calibri" w:cs="Arial"/>
                <w:sz w:val="16"/>
                <w:szCs w:val="16"/>
              </w:rPr>
              <w:t>oblasti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035B3D">
              <w:rPr>
                <w:rFonts w:ascii="Calibri" w:hAnsi="Calibri" w:cs="Arial"/>
                <w:sz w:val="16"/>
                <w:szCs w:val="16"/>
              </w:rPr>
              <w:t>od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035B3D">
              <w:rPr>
                <w:rFonts w:ascii="Calibri" w:hAnsi="Calibri" w:cs="Arial"/>
                <w:sz w:val="16"/>
                <w:szCs w:val="16"/>
              </w:rPr>
              <w:t>javnog  interesa  utvrđene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035B3D">
              <w:rPr>
                <w:rFonts w:ascii="Calibri" w:hAnsi="Calibri" w:cs="Arial"/>
                <w:sz w:val="16"/>
                <w:szCs w:val="16"/>
              </w:rPr>
              <w:t>posebnim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035B3D">
              <w:rPr>
                <w:rFonts w:ascii="Calibri" w:hAnsi="Calibri" w:cs="Arial"/>
                <w:sz w:val="16"/>
                <w:szCs w:val="16"/>
              </w:rPr>
              <w:t>zakonom (navesti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035B3D" w:rsidRPr="00035B3D">
              <w:rPr>
                <w:rFonts w:ascii="Calibri" w:hAnsi="Calibri" w:cs="Arial"/>
                <w:sz w:val="16"/>
                <w:szCs w:val="16"/>
              </w:rPr>
              <w:t xml:space="preserve">koje):  </w:t>
            </w:r>
            <w:r w:rsidR="00C66C6F">
              <w:rPr>
                <w:rFonts w:ascii="Calibri" w:hAnsi="Calibri" w:cs="Arial"/>
                <w:sz w:val="16"/>
                <w:szCs w:val="16"/>
              </w:rPr>
              <w:t>Elektronska uprava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 POT</w:t>
      </w:r>
      <w:r w:rsidR="009744A9">
        <w:rPr>
          <w:b/>
        </w:rPr>
        <w:t>REBE KOJE TREBA RIJEŠITI U 2019</w:t>
      </w:r>
      <w:r w:rsidRPr="00035B3D">
        <w:rPr>
          <w:b/>
        </w:rPr>
        <w:t>. 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>Navesti</w:t>
      </w:r>
      <w:r w:rsidR="0053143C">
        <w:t xml:space="preserve"> </w:t>
      </w:r>
      <w:r>
        <w:t>prioritetne</w:t>
      </w:r>
      <w:r w:rsidR="0053143C">
        <w:t xml:space="preserve"> </w:t>
      </w:r>
      <w:r>
        <w:t xml:space="preserve">probleme u </w:t>
      </w:r>
      <w:proofErr w:type="gramStart"/>
      <w:r>
        <w:t>oblasti(</w:t>
      </w:r>
      <w:proofErr w:type="gramEnd"/>
      <w:r>
        <w:t>ma) iz</w:t>
      </w:r>
      <w:r w:rsidR="0053143C">
        <w:t xml:space="preserve"> </w:t>
      </w:r>
      <w:r>
        <w:t>nadležnosti</w:t>
      </w:r>
      <w:r w:rsidR="0053143C">
        <w:t xml:space="preserve"> </w:t>
      </w:r>
      <w:r>
        <w:t>ministarstva</w:t>
      </w:r>
      <w:r w:rsidR="0053143C">
        <w:t xml:space="preserve"> </w:t>
      </w:r>
      <w:r>
        <w:t>koji se planiraju</w:t>
      </w:r>
      <w:r w:rsidR="0053143C">
        <w:t xml:space="preserve"> </w:t>
      </w:r>
      <w:r>
        <w:t>rješavati</w:t>
      </w:r>
      <w:r w:rsidR="0053143C">
        <w:t xml:space="preserve"> </w:t>
      </w:r>
      <w:r>
        <w:t>finansiranjem</w:t>
      </w:r>
      <w:r w:rsidR="0053143C">
        <w:t xml:space="preserve"> </w:t>
      </w:r>
      <w:r>
        <w:t>projekata i programa</w:t>
      </w:r>
      <w:r w:rsidR="0053143C">
        <w:t xml:space="preserve"> </w:t>
      </w:r>
      <w:r>
        <w:t>nevladinih</w:t>
      </w:r>
      <w:r w:rsidR="0053143C">
        <w:t xml:space="preserve"> </w:t>
      </w:r>
      <w:r>
        <w:t>organizacija. Opis</w:t>
      </w:r>
      <w:r w:rsidR="0053143C">
        <w:t xml:space="preserve"> </w:t>
      </w:r>
      <w:r>
        <w:t>problema</w:t>
      </w:r>
      <w:r w:rsidR="0053143C">
        <w:t xml:space="preserve"> </w:t>
      </w:r>
      <w:r>
        <w:t>obrazložiti</w:t>
      </w:r>
      <w:r w:rsidR="0053143C">
        <w:t xml:space="preserve"> </w:t>
      </w:r>
      <w:r>
        <w:t>koristeći</w:t>
      </w:r>
      <w:r w:rsidR="0053143C">
        <w:t xml:space="preserve"> </w:t>
      </w:r>
      <w:r>
        <w:t>konkretne</w:t>
      </w:r>
      <w:r w:rsidR="0053143C">
        <w:t xml:space="preserve"> </w:t>
      </w:r>
      <w:r>
        <w:t>mjerljive</w:t>
      </w:r>
      <w:r w:rsidR="0053143C">
        <w:t xml:space="preserve"> </w:t>
      </w:r>
      <w:r>
        <w:t>pokazatelje</w:t>
      </w:r>
      <w:r w:rsidR="0053143C">
        <w:t xml:space="preserve"> </w:t>
      </w:r>
      <w:r>
        <w:t>trenutnog</w:t>
      </w:r>
      <w:r w:rsidR="0053143C">
        <w:t xml:space="preserve"> </w:t>
      </w:r>
      <w:r>
        <w:t>stanja i željenog</w:t>
      </w:r>
      <w:r w:rsidR="0053143C">
        <w:t xml:space="preserve"> </w:t>
      </w:r>
      <w:r>
        <w:t>stanja</w:t>
      </w:r>
      <w:r w:rsidR="0053143C">
        <w:t xml:space="preserve"> </w:t>
      </w:r>
      <w:r>
        <w:t>odnosno</w:t>
      </w:r>
      <w:r w:rsidR="0053143C">
        <w:t xml:space="preserve"> </w:t>
      </w:r>
      <w:r>
        <w:t>rješenja, navodeći</w:t>
      </w:r>
      <w:r w:rsidR="0053143C">
        <w:t xml:space="preserve"> </w:t>
      </w:r>
      <w:r>
        <w:t>izvor u kojem</w:t>
      </w:r>
      <w:r w:rsidR="0053143C">
        <w:t xml:space="preserve"> </w:t>
      </w:r>
      <w:r>
        <w:t>su</w:t>
      </w:r>
      <w:r w:rsidR="0053143C">
        <w:t xml:space="preserve"> </w:t>
      </w:r>
      <w:r>
        <w:t>takvi</w:t>
      </w:r>
      <w:r w:rsidR="0053143C">
        <w:t xml:space="preserve"> </w:t>
      </w:r>
      <w:r>
        <w:t>podaci</w:t>
      </w:r>
      <w:r w:rsidR="0053143C">
        <w:t xml:space="preserve"> </w:t>
      </w:r>
      <w:r>
        <w:t>dostupni. Pokazatelji</w:t>
      </w:r>
      <w:r w:rsidR="0053143C">
        <w:t xml:space="preserve"> </w:t>
      </w:r>
      <w:r>
        <w:t>mogu</w:t>
      </w:r>
      <w:r w:rsidR="0053143C">
        <w:t xml:space="preserve"> </w:t>
      </w:r>
      <w:r>
        <w:t>biti</w:t>
      </w:r>
      <w:r w:rsidR="0053143C">
        <w:t xml:space="preserve"> </w:t>
      </w:r>
      <w:r>
        <w:t>informacije</w:t>
      </w:r>
      <w:r w:rsidR="0053143C">
        <w:t xml:space="preserve"> </w:t>
      </w:r>
      <w:r>
        <w:t>iz</w:t>
      </w:r>
      <w:r w:rsidR="0053143C">
        <w:t xml:space="preserve"> </w:t>
      </w:r>
      <w:r>
        <w:t>uporednih</w:t>
      </w:r>
      <w:r w:rsidR="0053143C">
        <w:t xml:space="preserve"> </w:t>
      </w:r>
      <w:r>
        <w:t>analiza, izvještaja, rezultata</w:t>
      </w:r>
      <w:r w:rsidR="0053143C">
        <w:t xml:space="preserve"> </w:t>
      </w:r>
      <w:r>
        <w:t>istraživanja, studija, i drugi</w:t>
      </w:r>
      <w:r w:rsidR="0053143C">
        <w:t xml:space="preserve"> </w:t>
      </w:r>
      <w:r>
        <w:t>dostupni</w:t>
      </w:r>
      <w:r w:rsidR="0053143C">
        <w:t xml:space="preserve"> </w:t>
      </w:r>
      <w:r>
        <w:t>statistički</w:t>
      </w:r>
      <w:r w:rsidR="0053143C">
        <w:t xml:space="preserve"> </w:t>
      </w:r>
      <w:r>
        <w:t>podaci.</w:t>
      </w:r>
    </w:p>
    <w:tbl>
      <w:tblPr>
        <w:tblStyle w:val="TableGrid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4278"/>
        <w:gridCol w:w="9468"/>
      </w:tblGrid>
      <w:tr w:rsidR="00510F37" w:rsidTr="00B27F0A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</w:t>
            </w:r>
            <w:r w:rsidR="009744A9">
              <w:rPr>
                <w:rFonts w:ascii="Calibri" w:hAnsi="Calibri"/>
              </w:rPr>
              <w:t xml:space="preserve"> </w:t>
            </w:r>
            <w:r w:rsidRPr="00510F37">
              <w:rPr>
                <w:rFonts w:ascii="Calibri" w:hAnsi="Calibri"/>
              </w:rPr>
              <w:t>problema:</w:t>
            </w:r>
          </w:p>
        </w:tc>
      </w:tr>
      <w:tr w:rsidR="00510F37" w:rsidTr="00B27F0A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2C3FCC" w:rsidRDefault="002C3FCC" w:rsidP="009744A9">
            <w:pPr>
              <w:jc w:val="both"/>
            </w:pPr>
            <w:r>
              <w:t xml:space="preserve">Problem koji je, kroz sektorsku analizu, </w:t>
            </w:r>
            <w:r w:rsidR="009744A9">
              <w:t xml:space="preserve">prepoznat od strane Ministarstva javne uprave, a za koji je procijenjeno da podrška nevladinog sektora može doprinijeti njegovom rješavanju, odnosi se na </w:t>
            </w:r>
            <w:r w:rsidR="009744A9" w:rsidRPr="00DA3792">
              <w:t>nedovoljnu participaciju građana u procesu donošenja odluka od javnog interesa posredstvom eParticipacije</w:t>
            </w:r>
            <w:r w:rsidR="009744A9">
              <w:t xml:space="preserve">. </w:t>
            </w:r>
            <w:r w:rsidR="000B5516">
              <w:t>U tom smislu, neophodno je da se kroz projekte nevladinih organizacija koji će se finansirati iz državnog budžeta obezbijedi:</w:t>
            </w:r>
          </w:p>
          <w:p w:rsidR="00252F39" w:rsidRDefault="000B5516" w:rsidP="000B5516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Edukacija građana</w:t>
            </w:r>
            <w:r w:rsidR="0060370C">
              <w:t xml:space="preserve"> i promocija potstranice</w:t>
            </w:r>
            <w:r w:rsidR="00252F39">
              <w:t xml:space="preserve"> eParticipacija u okviru kojeg postoji mogućnost učešća u javnoj raspravi onlajn</w:t>
            </w:r>
          </w:p>
          <w:p w:rsidR="002C3FCC" w:rsidRDefault="00252F39" w:rsidP="009744A9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Mapiranje drugih usluga u okviru eParticipacije, uz mapiranje profila korisnika koji bi te usluge koristili</w:t>
            </w:r>
            <w:r w:rsidR="000B5516">
              <w:t xml:space="preserve"> </w:t>
            </w:r>
          </w:p>
          <w:p w:rsidR="00252F39" w:rsidRDefault="00252F39" w:rsidP="00252F39">
            <w:pPr>
              <w:pStyle w:val="ListParagraph"/>
              <w:jc w:val="both"/>
            </w:pPr>
          </w:p>
          <w:p w:rsidR="002C3FCC" w:rsidRDefault="002C3FCC" w:rsidP="002C3FCC">
            <w:pPr>
              <w:jc w:val="center"/>
            </w:pPr>
            <w:r>
              <w:t>***</w:t>
            </w:r>
          </w:p>
          <w:p w:rsidR="009744A9" w:rsidRPr="00D558E4" w:rsidRDefault="009744A9" w:rsidP="009744A9">
            <w:pPr>
              <w:jc w:val="both"/>
            </w:pPr>
            <w:r>
              <w:t xml:space="preserve">Oblici eDemokratije, kao posebno važnog mehanizma za ostvarenje funkcije participativne demokratije na kojoj se temelji svako moderno društvo, postoje i u Crnoj Gori. Na portalu </w:t>
            </w:r>
            <w:r w:rsidR="0060370C">
              <w:t>eUprave razvijena je posebna pot</w:t>
            </w:r>
            <w:r>
              <w:t xml:space="preserve">stranica </w:t>
            </w:r>
            <w:r w:rsidRPr="00DA3792">
              <w:t>eParticipacija</w:t>
            </w:r>
            <w:r>
              <w:t xml:space="preserve"> za elektronske javne rasprave koja omogućava komentarisanje i prilaganje dokumenata u sklopu javnih poziva koje objavljuju organi. Dakle, u ovom dijelu portala građani mogu aktivno da učestvuju u kreiranju zakona i ostalih strateških dokumenata iznose mišljenja i stavove o pojedinim zakonskim aktima u sklopu javnih rasprava.</w:t>
            </w:r>
          </w:p>
          <w:p w:rsidR="00810756" w:rsidRDefault="009744A9" w:rsidP="009744A9">
            <w:pPr>
              <w:jc w:val="both"/>
            </w:pPr>
            <w:r>
              <w:t>Međutim, kada je riječ o korišćenju mehanizma eParticipacija,</w:t>
            </w:r>
            <w:r w:rsidR="002C3FCC">
              <w:t xml:space="preserve"> treba naglasiti da građani nijesu </w:t>
            </w:r>
            <w:r w:rsidR="00FC7960">
              <w:t>informisani</w:t>
            </w:r>
            <w:r w:rsidR="002C3FCC">
              <w:t xml:space="preserve"> za ovakav vid učešća u </w:t>
            </w:r>
            <w:r w:rsidR="00F019B0">
              <w:t>procesu</w:t>
            </w:r>
            <w:r w:rsidR="002C3FCC">
              <w:t xml:space="preserve"> </w:t>
            </w:r>
            <w:r w:rsidR="00252F39">
              <w:t>donošenja zakona i drugih strateških dokumenata</w:t>
            </w:r>
            <w:r w:rsidR="002C3FCC">
              <w:t>. Dakle, jedan od pokazatelja jeste činjenica da</w:t>
            </w:r>
            <w:r w:rsidR="00F019B0">
              <w:t xml:space="preserve"> su</w:t>
            </w:r>
            <w:r>
              <w:t xml:space="preserve"> u 2017. </w:t>
            </w:r>
            <w:proofErr w:type="gramStart"/>
            <w:r>
              <w:t>godini</w:t>
            </w:r>
            <w:proofErr w:type="gramEnd"/>
            <w:r>
              <w:t xml:space="preserve"> o</w:t>
            </w:r>
            <w:r w:rsidR="00F019B0">
              <w:t>rgani državne uprave objavili</w:t>
            </w:r>
            <w:r>
              <w:t xml:space="preserve"> ukupno 136 objava vezani</w:t>
            </w:r>
            <w:r w:rsidR="002C3FCC">
              <w:t>h za javne rasprave, pri čemu</w:t>
            </w:r>
            <w:r>
              <w:t xml:space="preserve"> </w:t>
            </w:r>
            <w:r w:rsidR="002C3FCC">
              <w:t>postoji samo jedan</w:t>
            </w:r>
            <w:r>
              <w:t xml:space="preserve"> komentar građana na nacrte dokumenata koji su postavljeni na portalu.</w:t>
            </w:r>
          </w:p>
          <w:p w:rsidR="000F4482" w:rsidRDefault="000F4482" w:rsidP="009744A9">
            <w:pPr>
              <w:jc w:val="both"/>
            </w:pPr>
            <w:r>
              <w:t>Ministarstvo javne uprave prepoznalo je problem nedovoljnog učešća građana u javnim raspravama putem po</w:t>
            </w:r>
            <w:r w:rsidR="00683DE4">
              <w:t xml:space="preserve">tstranice eParticipacija. U cilju poboljšanja stanja u ovoj oblasti Akcionim planom za sprovođenje Strategije reforme javne uprave 2016-2020. </w:t>
            </w:r>
            <w:proofErr w:type="gramStart"/>
            <w:r w:rsidR="00683DE4">
              <w:t>godina</w:t>
            </w:r>
            <w:proofErr w:type="gramEnd"/>
            <w:r w:rsidR="00683DE4">
              <w:t xml:space="preserve">, za period 2018-2020. </w:t>
            </w:r>
            <w:proofErr w:type="gramStart"/>
            <w:r w:rsidR="00683DE4">
              <w:t>godina</w:t>
            </w:r>
            <w:proofErr w:type="gramEnd"/>
            <w:r w:rsidR="00683DE4">
              <w:t xml:space="preserve"> u okviru </w:t>
            </w:r>
            <w:r w:rsidR="0052657B">
              <w:t>cilja 4.2.3 Portal eUprave predstavlja jedinstvenu tačku pristupa elektronskim uslugama koje nude organi uprave sa visokim stepenom korisničkog iskustva i korisničkog zadovoljstva, prepoznata je potreba za uspostavljanjem većeg nivoa eDemokratije. Ta</w:t>
            </w:r>
            <w:r w:rsidR="00646C14">
              <w:t>kođe, postizanje navedenog cilja</w:t>
            </w:r>
            <w:r w:rsidR="0052657B">
              <w:t xml:space="preserve"> treba obezbijediti, između ostalog, povećanjem broja objavljenih javnih rasprava na portal eUprave od strane nadležnih državnih organa, unapređenjem potportala eParticipacija, te promocijom eParticipacije u cilju korišćenja javnih rasprava </w:t>
            </w:r>
            <w:r w:rsidR="003D496E">
              <w:t>i</w:t>
            </w:r>
            <w:r w:rsidR="0052657B">
              <w:t xml:space="preserve"> dostavljanja komentara preko portal.</w:t>
            </w:r>
          </w:p>
          <w:p w:rsidR="00281EAB" w:rsidRDefault="0052657B" w:rsidP="00810756">
            <w:pPr>
              <w:jc w:val="both"/>
            </w:pPr>
            <w:r>
              <w:t xml:space="preserve">Takođe, </w:t>
            </w:r>
            <w:r w:rsidR="0060370C">
              <w:t xml:space="preserve">i </w:t>
            </w:r>
            <w:r>
              <w:t xml:space="preserve">nevladine organizacije </w:t>
            </w:r>
            <w:r w:rsidR="0060370C">
              <w:t xml:space="preserve">u Crnoj Gori </w:t>
            </w:r>
            <w:r>
              <w:t xml:space="preserve">prepoznale su </w:t>
            </w:r>
            <w:r w:rsidR="0060370C">
              <w:t>ovaj problem</w:t>
            </w:r>
            <w:r>
              <w:t>. Naime, i</w:t>
            </w:r>
            <w:r w:rsidR="00810756">
              <w:t>str</w:t>
            </w:r>
            <w:r w:rsidR="00810756" w:rsidRPr="001928B2">
              <w:t>aživanja</w:t>
            </w:r>
            <w:r w:rsidR="00810756">
              <w:t xml:space="preserve"> nevladine organizacije “Građanska Alijansa” ukazala su da su građani  u Crnoj Gori dominantno inertni, odnosno nezainteresovani da koriste sredstva koja im omogućavaju da utiču na određene procese, kreiranje politika, ukazivanje problema ili njihovog rješavanja. </w:t>
            </w:r>
            <w:r w:rsidR="00281EAB">
              <w:t>(Analiza – eParticipacija i implementacija onlajn alatki u Crnoj Gori, jun 2018. godine, Podgorica, str. 6)</w:t>
            </w:r>
          </w:p>
          <w:p w:rsidR="00810756" w:rsidRDefault="00F019B0" w:rsidP="009744A9">
            <w:pPr>
              <w:jc w:val="both"/>
            </w:pPr>
            <w:r>
              <w:t>Istraživanje javnog mnjenja od strane nevladine organizacije “Građanska Alijansa” i De Facto agencije na temu “Građanska participacija u Crnoj Gori”</w:t>
            </w:r>
            <w:r w:rsidR="009A4544">
              <w:t>, na reprezentativnom uzorku od 851 ispitanika</w:t>
            </w:r>
            <w:r w:rsidR="00415753">
              <w:t>, ukazalo je d</w:t>
            </w:r>
            <w:r w:rsidR="00252F39">
              <w:t xml:space="preserve">a </w:t>
            </w:r>
            <w:r w:rsidR="00252F39" w:rsidRPr="00252F39">
              <w:t xml:space="preserve">građani nijesu dovoljno informisani, odnosno edukovani o tome kako mogu biti aktivni, koja su njihova prava i mogućnosti, a sa druge strane identifikovan je i problem nepovjerenja građana da će </w:t>
            </w:r>
            <w:proofErr w:type="gramStart"/>
            <w:r w:rsidR="00252F39" w:rsidRPr="00252F39">
              <w:t>organi  čuti</w:t>
            </w:r>
            <w:proofErr w:type="gramEnd"/>
            <w:r w:rsidR="00252F39" w:rsidRPr="00252F39">
              <w:t xml:space="preserve"> i uvažiti njihove ideje.</w:t>
            </w:r>
            <w:r w:rsidR="00252F39">
              <w:t xml:space="preserve"> Riječ je o istraž</w:t>
            </w:r>
            <w:r w:rsidR="009A4544">
              <w:t xml:space="preserve">ivanju koje je sprovedeno u dva talasa, prvo 2015. </w:t>
            </w:r>
            <w:proofErr w:type="gramStart"/>
            <w:r w:rsidR="009A4544">
              <w:t>godine</w:t>
            </w:r>
            <w:proofErr w:type="gramEnd"/>
            <w:r w:rsidR="009A4544">
              <w:t xml:space="preserve">, a zatim </w:t>
            </w:r>
            <w:r w:rsidR="000A1719">
              <w:t>i</w:t>
            </w:r>
            <w:r w:rsidR="009A4544">
              <w:t xml:space="preserve"> 2017. </w:t>
            </w:r>
            <w:proofErr w:type="gramStart"/>
            <w:r w:rsidR="009A4544">
              <w:t>godine</w:t>
            </w:r>
            <w:proofErr w:type="gramEnd"/>
            <w:r w:rsidR="009A4544">
              <w:t xml:space="preserve"> kako bi se mogao pratiti napredak </w:t>
            </w:r>
            <w:r w:rsidR="00D84B0A">
              <w:t xml:space="preserve">tokom dvije godine. </w:t>
            </w:r>
            <w:r w:rsidR="00B27F0A">
              <w:t>istraživanje je, i</w:t>
            </w:r>
            <w:r w:rsidR="00810756">
              <w:t>zmeđu ostalog</w:t>
            </w:r>
            <w:r w:rsidR="00D84B0A">
              <w:t xml:space="preserve">, pokazalo </w:t>
            </w:r>
            <w:r w:rsidR="00810756">
              <w:t>sljedeće:</w:t>
            </w:r>
          </w:p>
          <w:p w:rsidR="00B95C43" w:rsidRDefault="00810756" w:rsidP="009744A9">
            <w:pPr>
              <w:jc w:val="both"/>
            </w:pPr>
            <w:r>
              <w:t>-</w:t>
            </w:r>
            <w:r w:rsidR="00D84B0A">
              <w:t>da jedan dio građana smatra da je glasanje na izborima mehanizam za uticanje na proces donošenja odluka na nacionalnom nivou</w:t>
            </w:r>
            <w:r w:rsidR="000A1719">
              <w:t xml:space="preserve">, </w:t>
            </w:r>
            <w:r w:rsidR="00686D7B">
              <w:t xml:space="preserve">ne prepoznajući mehanizme poput eParticipacije. Uz to, polovina ispitanika je </w:t>
            </w:r>
            <w:r w:rsidR="0015765E">
              <w:t xml:space="preserve">na pitanje koji je razlog nedostatka njihove participacije u javnim raspravama ili ePeticijama navela da </w:t>
            </w:r>
            <w:r w:rsidR="0015765E" w:rsidRPr="00DA3792">
              <w:t>nemaju potrebu za tim</w:t>
            </w:r>
            <w:r w:rsidR="0015765E">
              <w:t xml:space="preserve">. </w:t>
            </w:r>
          </w:p>
          <w:p w:rsidR="008F7796" w:rsidRDefault="00810756" w:rsidP="009744A9">
            <w:pPr>
              <w:jc w:val="both"/>
            </w:pPr>
            <w:r>
              <w:t>-</w:t>
            </w:r>
            <w:r w:rsidR="008E58AB">
              <w:t>da preko polovine ispitanika (55.5%) nema informaciju da postoji sajt</w:t>
            </w:r>
            <w:r w:rsidR="008F7796">
              <w:t xml:space="preserve"> eUprave (međutim, treba dodati</w:t>
            </w:r>
            <w:r w:rsidR="008E58AB">
              <w:t xml:space="preserve"> i to da je u odnosu na 2015. godinu napravljen određeni napredak jer je u toj godini procenat ispitanika koji nijesu čuli za saj eUpravio bio na nivou od 59.2%). </w:t>
            </w:r>
          </w:p>
          <w:p w:rsidR="0060370C" w:rsidRDefault="00810756" w:rsidP="009744A9">
            <w:pPr>
              <w:jc w:val="both"/>
            </w:pPr>
            <w:r>
              <w:t>-</w:t>
            </w:r>
            <w:r w:rsidR="00B95C43">
              <w:t xml:space="preserve"> </w:t>
            </w:r>
            <w:proofErr w:type="gramStart"/>
            <w:r w:rsidR="00B95C43">
              <w:t>da</w:t>
            </w:r>
            <w:proofErr w:type="gramEnd"/>
            <w:r w:rsidR="00B95C43">
              <w:t xml:space="preserve"> je </w:t>
            </w:r>
            <w:r>
              <w:t>č</w:t>
            </w:r>
            <w:r w:rsidR="00B95C43">
              <w:t>ak 45.1% građana ocijenilo</w:t>
            </w:r>
            <w:r w:rsidR="008F7796">
              <w:t xml:space="preserve"> da je sajt eUprave previše komplikovan za korišćenje (uz to treba naglasiti da je zabilježen rast procenta građana koji smatraju da je eUprava komplikovana za korišćenje u odnosu na 2015. godinu</w:t>
            </w:r>
            <w:r w:rsidR="008E58AB">
              <w:t xml:space="preserve"> </w:t>
            </w:r>
            <w:r>
              <w:t>kada je iznosio 34.4%).</w:t>
            </w:r>
            <w:r w:rsidR="002F679D">
              <w:t xml:space="preserve"> </w:t>
            </w:r>
          </w:p>
          <w:p w:rsidR="00B95C43" w:rsidRDefault="00B95C43" w:rsidP="00B95C43">
            <w:pPr>
              <w:jc w:val="both"/>
            </w:pPr>
            <w:r>
              <w:t xml:space="preserve">Dakle, prethodno navedeni podaci ukazali su Ministarstvu javne uprave da: </w:t>
            </w:r>
            <w:r w:rsidRPr="00B95C43">
              <w:t>postoji određeni otpor građana prema učešću u procesu donošenja odluka, da se u prethodnom vremenu radilo na promociji sajta eUprava, ali i potrebu da se dodatno pažnja usmjeri na promociju i edukaciju građana vezano za postojanje pomenutog sajta i elektronskih usluga koje u okviru njega postoje, uključujući i mehanizam eParticipacije</w:t>
            </w:r>
            <w:r>
              <w:t>, da je jedan od razloga zbog kojeg građani ne koriste potportal eParticipacija jer je sajt portala eUprave  previše komlikovan za korišćenje.</w:t>
            </w:r>
          </w:p>
          <w:p w:rsidR="00B95C43" w:rsidRDefault="00B95C43" w:rsidP="00B95C43">
            <w:pPr>
              <w:jc w:val="both"/>
            </w:pPr>
          </w:p>
          <w:p w:rsidR="00B95C43" w:rsidRDefault="00B95C43" w:rsidP="009744A9">
            <w:pPr>
              <w:jc w:val="both"/>
            </w:pPr>
          </w:p>
          <w:p w:rsidR="0060370C" w:rsidRDefault="0060370C" w:rsidP="0060370C">
            <w:pPr>
              <w:autoSpaceDE w:val="0"/>
              <w:autoSpaceDN w:val="0"/>
              <w:adjustRightInd w:val="0"/>
              <w:spacing w:after="0"/>
            </w:pPr>
            <w:r>
              <w:t>Takođe, istraživanje NVO Institut alternativa “Percepcija javne uprave”,pokazalo je da je korišćenje elektronskog pristupa javnoj upravi je, očekivano, uglavnom vezano za mlađe i obrazovanije stano</w:t>
            </w:r>
            <w:r w:rsidR="00812D34">
              <w:t xml:space="preserve">vništvo zemlje i većina građana/ki </w:t>
            </w:r>
            <w:r>
              <w:t>ga ne koristi, te da portal eUprave je relativno nepoznat građanima – za njega zna oko jedne trećine građana. (Institut alternative, “Percepcija javne uprave”, mart 2018. godine, Podgorica, str. 5).</w:t>
            </w:r>
          </w:p>
          <w:p w:rsidR="0060370C" w:rsidRDefault="0060370C" w:rsidP="0060370C">
            <w:pPr>
              <w:autoSpaceDE w:val="0"/>
              <w:autoSpaceDN w:val="0"/>
              <w:adjustRightInd w:val="0"/>
              <w:spacing w:after="0"/>
            </w:pPr>
          </w:p>
          <w:p w:rsidR="00B95C43" w:rsidRDefault="00B95C43" w:rsidP="007936CC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Uz to istraživanje je pokazalo da je “portal E-Uprave je relativno nepoznat građanima i građankama Crne Gore, te da je svaki treći građanin čuo za portal E-uprava (30%), dok ga je samo 7% zapravo koristilo” (Institut alternativa, “Percepcija javne uprave”, mart 2018. godine, Podgorica, str. 20). </w:t>
            </w:r>
          </w:p>
          <w:p w:rsidR="00B95C43" w:rsidRDefault="00B95C43" w:rsidP="007936CC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0370C" w:rsidRDefault="00B95C43" w:rsidP="007936CC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To, takođe, ukazuje Ministarstvu javne </w:t>
            </w:r>
            <w:proofErr w:type="gramStart"/>
            <w:r>
              <w:t>uprave  da</w:t>
            </w:r>
            <w:proofErr w:type="gramEnd"/>
            <w:r>
              <w:t xml:space="preserve"> je potrebno uložiti dodatne napore da građane informišemo o mogućnostima, te da ih ohrabrimo i motivišemo da budu aktivni učesnici u donošenju odluka od javnog interesa.</w:t>
            </w:r>
            <w:r w:rsidR="0060370C">
              <w:t>Ovo su značajni izvori podataka koji nam govore da je neophodno raditi na promociji portal</w:t>
            </w:r>
            <w:r w:rsidR="007936CC">
              <w:t>a</w:t>
            </w:r>
            <w:r w:rsidR="0060370C">
              <w:t xml:space="preserve"> eUprave u okviru kojeg je uspostavljena i potstranica eParticipacija. </w:t>
            </w:r>
          </w:p>
          <w:p w:rsidR="0060370C" w:rsidRDefault="0060370C" w:rsidP="0060370C">
            <w:pPr>
              <w:autoSpaceDE w:val="0"/>
              <w:autoSpaceDN w:val="0"/>
              <w:adjustRightInd w:val="0"/>
              <w:spacing w:after="0"/>
            </w:pPr>
          </w:p>
          <w:p w:rsidR="00252F39" w:rsidRDefault="0060370C" w:rsidP="009744A9">
            <w:pPr>
              <w:jc w:val="both"/>
            </w:pPr>
            <w:r>
              <w:t>Dakle, u</w:t>
            </w:r>
            <w:r w:rsidR="00EC2F43">
              <w:t>zroke</w:t>
            </w:r>
            <w:r w:rsidR="00BB6BB4">
              <w:t xml:space="preserve"> postojanja ovih problema možemo</w:t>
            </w:r>
            <w:r w:rsidR="00EC2F43">
              <w:t xml:space="preserve"> tražiti na više “</w:t>
            </w:r>
            <w:r w:rsidR="00023E74">
              <w:t>adresa”. Počevši od toga da građ</w:t>
            </w:r>
            <w:r w:rsidR="00EC2F43">
              <w:t xml:space="preserve">ani ne posjeduju </w:t>
            </w:r>
            <w:r w:rsidR="00BB6BB4">
              <w:t xml:space="preserve">informacije o mogućnosti učešća u javnim raspravama putem navedenog mehanizma, što nam ukazuje na </w:t>
            </w:r>
            <w:r w:rsidR="00812D34">
              <w:t>potrebu nedovoljne promocije pot</w:t>
            </w:r>
            <w:r w:rsidR="00BB6BB4">
              <w:t>portala eParticipacija</w:t>
            </w:r>
            <w:r w:rsidR="00252F39">
              <w:t>. Uz to možemo konstatovati da građani smatraju da ne mo</w:t>
            </w:r>
            <w:r>
              <w:t>gu uticati na donošenje odluka i</w:t>
            </w:r>
            <w:r w:rsidR="00252F39">
              <w:t xml:space="preserve"> kreiranje javnih politika, što nam govori o</w:t>
            </w:r>
            <w:r w:rsidR="00BB6BB4">
              <w:t xml:space="preserve"> nedovoljno razvijenoj svijesti građana o važnosti njihovih prava da budu aktivni učesnici procesa donošenja odluka. </w:t>
            </w:r>
            <w:r w:rsidR="00252F39">
              <w:t xml:space="preserve">Jer, činjenica je da bez aktivnih građana koji daju doprinos kreiranju </w:t>
            </w:r>
            <w:r w:rsidR="002A3ED0">
              <w:t>javnih politika koje oblikuju naše društvo, ne možemo govoriti o napretku u reformskim procesima u oblasti javne uprave. Dakle, kroz realizaciju projekata koji će doprinijeti aktivnijem učešću građana u procesu donošenja odluka ujedno jačanmo njihovo povjerenje u rad javne uprave.</w:t>
            </w:r>
          </w:p>
          <w:p w:rsidR="0060370C" w:rsidRDefault="0060370C" w:rsidP="0060370C">
            <w:pPr>
              <w:spacing w:after="0"/>
              <w:jc w:val="both"/>
            </w:pPr>
          </w:p>
          <w:p w:rsidR="00BD5A40" w:rsidRDefault="00BB6BB4" w:rsidP="009744A9">
            <w:pPr>
              <w:jc w:val="both"/>
            </w:pPr>
            <w:r>
              <w:t xml:space="preserve">Pored toga, </w:t>
            </w:r>
            <w:r w:rsidR="00437E23">
              <w:t xml:space="preserve">jedan dio građana na indirektan način učestvuju i to djelovanjem upravo </w:t>
            </w:r>
            <w:r w:rsidR="00DC747E">
              <w:t>u velikom broju</w:t>
            </w:r>
            <w:r w:rsidR="00437E23">
              <w:t xml:space="preserve"> nevladinih organizacija koje se bave različitim oblastima javne uprave </w:t>
            </w:r>
            <w:r w:rsidR="00836519">
              <w:t>(prema podacima iz Strategije unapređenje podsticajnog okruženja za djelovanje nevladinih organizacija 2018-2020. godina, na teriroriji Crne Gore funkcioniše 4.602 nevladine organizacije, što ukazuje da postoji trend indirektnog učestvovanja građana u procese donošenja odluka kroz djelovanje u nevladinim organizacijama). Međutim, ni nevladine organizacije nijesu koristile mogućnost učešća u javnim raspravama putem eParticipacije, a razloge može</w:t>
            </w:r>
            <w:r w:rsidR="0060370C">
              <w:t>mo tražiti u činjenici da je NVO sektor uključen u proces</w:t>
            </w:r>
            <w:r w:rsidR="00836519">
              <w:t xml:space="preserve"> donošenja odluka kroz učešće u radnim grupama za pripremu zakonskih, strateških i drugih dokumenata.  </w:t>
            </w:r>
          </w:p>
          <w:p w:rsidR="0060370C" w:rsidRDefault="0060370C" w:rsidP="0060370C">
            <w:pPr>
              <w:spacing w:after="0"/>
              <w:jc w:val="both"/>
            </w:pPr>
          </w:p>
          <w:p w:rsidR="00BB6BB4" w:rsidRDefault="00437E23" w:rsidP="009744A9">
            <w:pPr>
              <w:jc w:val="both"/>
            </w:pPr>
            <w:r>
              <w:t xml:space="preserve"> Uz sve to, formalizovane procedure koje su do sada sprovodili državni službenici u postupku javnih rasprava mogu da naruše njihov kvalitet, te da zbog toga građani nemaju dobru per</w:t>
            </w:r>
            <w:r w:rsidR="00B07486">
              <w:t xml:space="preserve">cepciju i stvaraju otpor prema </w:t>
            </w:r>
            <w:r>
              <w:t xml:space="preserve">sopstvenom djelovanju u procesu donošenja odluka.  </w:t>
            </w:r>
          </w:p>
          <w:p w:rsidR="0060370C" w:rsidRDefault="0060370C" w:rsidP="0060370C">
            <w:pPr>
              <w:spacing w:after="0"/>
              <w:jc w:val="both"/>
            </w:pPr>
          </w:p>
          <w:p w:rsidR="00836519" w:rsidRPr="00DA3792" w:rsidRDefault="00CE59EB" w:rsidP="0060370C">
            <w:pPr>
              <w:spacing w:after="0"/>
              <w:jc w:val="both"/>
            </w:pPr>
            <w:r w:rsidRPr="00DA3792">
              <w:t xml:space="preserve">Dakle, </w:t>
            </w:r>
            <w:r w:rsidR="00437E23" w:rsidRPr="00DA3792">
              <w:t xml:space="preserve">identifikovali smo da </w:t>
            </w:r>
            <w:r w:rsidRPr="00DA3792">
              <w:t xml:space="preserve">trenutno ne postoji dvosmjerna komunikacija na relaciji građani-organi državne uprave, a to je ključna pretpostavka napretka reformskog procesa u oblasti javne uprave, te povećanja povjerenja građana u njen rad. </w:t>
            </w:r>
            <w:r w:rsidR="00836519" w:rsidRPr="00DA3792">
              <w:t>Sa druge strane, eParticipacija ne podrazumijeva samo sprovođenje javnih rasprava posredstvom interneta, već niz drugih alatki koje doprinose kvalitetnijoj i bržoj komunikaciji između građana i uprave</w:t>
            </w:r>
            <w:r w:rsidR="00812D34" w:rsidRPr="00DA3792">
              <w:t>.</w:t>
            </w:r>
          </w:p>
          <w:p w:rsidR="00836519" w:rsidRPr="00DA3792" w:rsidRDefault="00836519" w:rsidP="00CE59EB">
            <w:pPr>
              <w:spacing w:after="0"/>
            </w:pPr>
          </w:p>
          <w:p w:rsidR="00BD5A40" w:rsidRDefault="00BD5A40" w:rsidP="0060370C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Ipak, </w:t>
            </w:r>
            <w:r w:rsidR="00B27FE6">
              <w:t>imajući u vidu</w:t>
            </w:r>
            <w:r>
              <w:t xml:space="preserve"> da građani smatraju da je eUprava učinila da nema čekanja u redovima, kao i da</w:t>
            </w:r>
            <w:r w:rsidR="00B27FE6">
              <w:t xml:space="preserve"> smatraju da su</w:t>
            </w:r>
            <w:r>
              <w:t xml:space="preserve"> zah</w:t>
            </w:r>
            <w:r w:rsidR="00B27FE6">
              <w:t>valjujući eUpravi informacije svim građanima dostupne</w:t>
            </w:r>
            <w:r>
              <w:t xml:space="preserve"> 24 časa</w:t>
            </w:r>
            <w:r w:rsidR="00B27FE6">
              <w:t xml:space="preserve"> (istraživanje “Građanska participacija u Crnoj Gori”, Građanska alijansa, 2017. godina)</w:t>
            </w:r>
            <w:r>
              <w:t xml:space="preserve">, cijenimo da </w:t>
            </w:r>
            <w:r w:rsidR="00B27FE6">
              <w:t>građani imaju pozitivnu percepciju o elektronskoj upravi i uslugama u okviru nje, što je dobra polazna osnova za dalje unapređenje stanja u ovoj oblasti</w:t>
            </w:r>
            <w:r w:rsidR="0060370C">
              <w:t>.</w:t>
            </w:r>
          </w:p>
          <w:p w:rsidR="002A3ED0" w:rsidRPr="00DA3792" w:rsidRDefault="002A3ED0" w:rsidP="00CE59EB">
            <w:pPr>
              <w:spacing w:after="0"/>
            </w:pPr>
          </w:p>
          <w:p w:rsidR="00CE59EB" w:rsidRPr="00DA3792" w:rsidRDefault="00CE59EB" w:rsidP="0060370C">
            <w:pPr>
              <w:spacing w:after="0"/>
              <w:jc w:val="both"/>
            </w:pPr>
            <w:r w:rsidRPr="00DA3792">
              <w:t>U tom smislu, naš cilj je da u saradnji sa nevladinom sektorom realizujemo projekat koji će doprinijeti povećanju svijesti građana o neopho</w:t>
            </w:r>
            <w:r w:rsidR="00346B92" w:rsidRPr="00DA3792">
              <w:t>dnosti njihovog učešća u proces</w:t>
            </w:r>
            <w:r w:rsidRPr="00DA3792">
              <w:t xml:space="preserve"> donošenja odluka, te afirmaciji eParticipacije, kao ključnog mehanizma za ostvarivanje te uloge naših građana.</w:t>
            </w:r>
          </w:p>
          <w:p w:rsidR="00CE59EB" w:rsidRPr="00DA3792" w:rsidRDefault="00CE59EB" w:rsidP="00CE59EB">
            <w:pPr>
              <w:spacing w:after="0"/>
            </w:pPr>
          </w:p>
          <w:p w:rsidR="00510F37" w:rsidRPr="00DA3792" w:rsidRDefault="00836519" w:rsidP="0060370C">
            <w:pPr>
              <w:spacing w:after="0"/>
              <w:jc w:val="both"/>
            </w:pPr>
            <w:r w:rsidRPr="00DA3792">
              <w:t>Takođe</w:t>
            </w:r>
            <w:r w:rsidR="00BB6BB4" w:rsidRPr="00DA3792">
              <w:t xml:space="preserve">, cijenimo da nevladin sektor može pružiti značajan </w:t>
            </w:r>
            <w:r w:rsidR="003A72FC" w:rsidRPr="00DA3792">
              <w:t>doprinos u identifikaciji nedostajućih</w:t>
            </w:r>
            <w:r w:rsidR="00B12065">
              <w:t xml:space="preserve"> alatki</w:t>
            </w:r>
            <w:r w:rsidR="003A72FC" w:rsidRPr="00DA3792">
              <w:t>, a građani ih smatraju potrebnim</w:t>
            </w:r>
            <w:r w:rsidR="00BB6BB4" w:rsidRPr="00DA3792">
              <w:t xml:space="preserve"> da bi mogli ostvariti svoje pravo da budu aktivni </w:t>
            </w:r>
            <w:r w:rsidR="00B12065">
              <w:t>partneri u</w:t>
            </w:r>
            <w:r w:rsidR="00BB6BB4" w:rsidRPr="00DA3792">
              <w:t xml:space="preserve"> proces</w:t>
            </w:r>
            <w:r w:rsidR="00B12065">
              <w:t>u</w:t>
            </w:r>
            <w:r w:rsidR="00BB6BB4" w:rsidRPr="00DA3792">
              <w:t xml:space="preserve"> donošenja odluka i unapređenja cjelokupnog državnog sistema.</w:t>
            </w:r>
          </w:p>
          <w:p w:rsidR="00C56D1A" w:rsidRPr="00DA3792" w:rsidRDefault="00C56D1A" w:rsidP="00836519">
            <w:pPr>
              <w:spacing w:after="0"/>
            </w:pPr>
          </w:p>
          <w:p w:rsidR="00C56D1A" w:rsidRPr="00DA3792" w:rsidRDefault="00C56D1A" w:rsidP="0060370C">
            <w:pPr>
              <w:spacing w:after="0"/>
              <w:jc w:val="both"/>
            </w:pPr>
            <w:r w:rsidRPr="00DA3792">
              <w:t>Na kraju, da rezimiramo – trenutno, od strane građana uopšte se ne koristi mogućnost uč</w:t>
            </w:r>
            <w:r w:rsidR="0060370C" w:rsidRPr="00DA3792">
              <w:t>ešća u javnoj raspravi putem potstranice</w:t>
            </w:r>
            <w:r w:rsidRPr="00DA3792">
              <w:t xml:space="preserve"> eParticipacija</w:t>
            </w:r>
            <w:r w:rsidR="004E6BAC" w:rsidRPr="00DA3792">
              <w:t xml:space="preserve">. Nakon realizacije javnog konkursa očekujemo da će broj korisnika </w:t>
            </w:r>
            <w:r w:rsidR="004F5F80" w:rsidRPr="00DA3792">
              <w:t>na nivou od 10</w:t>
            </w:r>
            <w:r w:rsidR="00AA358F" w:rsidRPr="00DA3792">
              <w:t>%</w:t>
            </w:r>
            <w:r w:rsidR="004E6BAC" w:rsidRPr="00DA3792">
              <w:t xml:space="preserve">. Uz to, prethodno smo ukazali </w:t>
            </w:r>
            <w:proofErr w:type="gramStart"/>
            <w:r w:rsidR="004E6BAC" w:rsidRPr="00DA3792">
              <w:t>da  je</w:t>
            </w:r>
            <w:proofErr w:type="gramEnd"/>
            <w:r w:rsidR="004E6BAC" w:rsidRPr="00DA3792">
              <w:t xml:space="preserve"> u okviru eParticipacije neophodno sagledati uspostavljanje novih usluga, te mapiranje korisničkih profila koji bi ih koristili. Tako, kroz istraživanje koje bi </w:t>
            </w:r>
            <w:r w:rsidR="00965D4C" w:rsidRPr="00DA3792">
              <w:t xml:space="preserve">sprovele nevladine organizacije, očekujemo kvalitetne smjernice koje su potrebe naših građana kada je eUprava </w:t>
            </w:r>
            <w:r w:rsidR="00346B92" w:rsidRPr="00DA3792">
              <w:t>i</w:t>
            </w:r>
            <w:r w:rsidR="00965D4C" w:rsidRPr="00DA3792">
              <w:t xml:space="preserve"> eParticipacija u pitanju.</w:t>
            </w:r>
            <w:r w:rsidR="004E6BAC" w:rsidRPr="00DA3792">
              <w:t xml:space="preserve"> </w:t>
            </w:r>
          </w:p>
        </w:tc>
      </w:tr>
      <w:tr w:rsidR="00510F37" w:rsidTr="00B27F0A">
        <w:tc>
          <w:tcPr>
            <w:tcW w:w="427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Podaci (analize, studije, statistički</w:t>
            </w:r>
            <w:r w:rsidR="003A72FC">
              <w:rPr>
                <w:rFonts w:ascii="Calibri" w:hAnsi="Calibri"/>
              </w:rPr>
              <w:t xml:space="preserve"> </w:t>
            </w:r>
            <w:r w:rsidRPr="00510F37">
              <w:rPr>
                <w:rFonts w:ascii="Calibri" w:hAnsi="Calibri"/>
              </w:rPr>
              <w:t>izvještaji, itd.) koji</w:t>
            </w:r>
            <w:r w:rsidR="009744A9">
              <w:rPr>
                <w:rFonts w:ascii="Calibri" w:hAnsi="Calibri"/>
              </w:rPr>
              <w:t xml:space="preserve"> </w:t>
            </w:r>
            <w:r w:rsidRPr="00510F37">
              <w:rPr>
                <w:rFonts w:ascii="Calibri" w:hAnsi="Calibri"/>
              </w:rPr>
              <w:t>pojašnjavaju</w:t>
            </w:r>
            <w:r w:rsidR="009744A9">
              <w:rPr>
                <w:rFonts w:ascii="Calibri" w:hAnsi="Calibri"/>
              </w:rPr>
              <w:t xml:space="preserve"> </w:t>
            </w:r>
            <w:r w:rsidRPr="00510F37">
              <w:rPr>
                <w:rFonts w:ascii="Calibri" w:hAnsi="Calibri"/>
              </w:rPr>
              <w:t>navedeni problem</w:t>
            </w:r>
          </w:p>
        </w:tc>
        <w:tc>
          <w:tcPr>
            <w:tcW w:w="946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510F37" w:rsidTr="00B27F0A">
        <w:tc>
          <w:tcPr>
            <w:tcW w:w="4278" w:type="dxa"/>
            <w:tcMar>
              <w:top w:w="57" w:type="dxa"/>
              <w:bottom w:w="57" w:type="dxa"/>
            </w:tcMar>
          </w:tcPr>
          <w:p w:rsidR="00393F1E" w:rsidRDefault="00393F1E" w:rsidP="00510F37">
            <w:pPr>
              <w:spacing w:after="0"/>
            </w:pPr>
            <w:r>
              <w:t>*Akcioni plan 2018-2020</w:t>
            </w:r>
            <w:r w:rsidR="00C36A9A">
              <w:t>.</w:t>
            </w:r>
            <w:r>
              <w:t>, za sprovođenje Strategije reforme javne uprave u Crnoj Gori za period 2016-2020</w:t>
            </w:r>
            <w:r w:rsidR="00C36A9A">
              <w:t>.</w:t>
            </w:r>
          </w:p>
          <w:p w:rsidR="00393F1E" w:rsidRDefault="00393F1E" w:rsidP="00510F37">
            <w:pPr>
              <w:spacing w:after="0"/>
            </w:pPr>
          </w:p>
          <w:p w:rsidR="00393F1E" w:rsidRDefault="00393F1E" w:rsidP="00510F37">
            <w:pPr>
              <w:spacing w:after="0"/>
            </w:pPr>
          </w:p>
          <w:p w:rsidR="00393F1E" w:rsidRDefault="00393F1E" w:rsidP="00510F37">
            <w:pPr>
              <w:spacing w:after="0"/>
            </w:pPr>
          </w:p>
          <w:p w:rsidR="00510F37" w:rsidRDefault="00B27F0A" w:rsidP="00510F37">
            <w:pPr>
              <w:spacing w:after="0"/>
            </w:pPr>
            <w:r>
              <w:t>*</w:t>
            </w:r>
            <w:r w:rsidR="003A72FC">
              <w:t xml:space="preserve">Informacija o korišćenju ePortala za 2017. </w:t>
            </w:r>
            <w:r>
              <w:t>g</w:t>
            </w:r>
            <w:r w:rsidR="003A72FC">
              <w:t>odinu</w:t>
            </w:r>
          </w:p>
          <w:p w:rsidR="00B27F0A" w:rsidRDefault="00B27F0A" w:rsidP="00510F37">
            <w:pPr>
              <w:spacing w:after="0"/>
            </w:pPr>
          </w:p>
          <w:p w:rsidR="00B27F0A" w:rsidRDefault="00B27F0A" w:rsidP="00510F37">
            <w:pPr>
              <w:spacing w:after="0"/>
            </w:pPr>
          </w:p>
          <w:p w:rsidR="00B27F0A" w:rsidRDefault="00B27F0A" w:rsidP="00510F37">
            <w:pPr>
              <w:spacing w:after="0"/>
            </w:pPr>
          </w:p>
          <w:p w:rsidR="00B27F0A" w:rsidRDefault="00B27F0A" w:rsidP="00510F37">
            <w:pPr>
              <w:spacing w:after="0"/>
            </w:pPr>
          </w:p>
          <w:p w:rsidR="00B27F0A" w:rsidRDefault="00B27F0A" w:rsidP="00510F37">
            <w:pPr>
              <w:spacing w:after="0"/>
            </w:pPr>
            <w:r>
              <w:t>*Strategija unapređenje podsticajnog okruženja za djelovanje nevl</w:t>
            </w:r>
            <w:r w:rsidR="00C36A9A">
              <w:t>adinih organizacija 2018-2020. godine</w:t>
            </w:r>
          </w:p>
          <w:p w:rsidR="00B27F0A" w:rsidRDefault="00B27F0A" w:rsidP="00510F37">
            <w:pPr>
              <w:spacing w:after="0"/>
            </w:pPr>
          </w:p>
          <w:p w:rsidR="00B27F0A" w:rsidRDefault="00B27F0A" w:rsidP="00510F37">
            <w:pPr>
              <w:spacing w:after="0"/>
            </w:pPr>
          </w:p>
          <w:p w:rsidR="00B27F0A" w:rsidRDefault="00B27F0A" w:rsidP="00510F37">
            <w:pPr>
              <w:spacing w:after="0"/>
            </w:pPr>
          </w:p>
          <w:p w:rsidR="00B27F0A" w:rsidRDefault="00B27F0A" w:rsidP="00510F37">
            <w:pPr>
              <w:spacing w:after="0"/>
            </w:pPr>
          </w:p>
          <w:p w:rsidR="003A72FC" w:rsidRDefault="00B27F0A" w:rsidP="00510F37">
            <w:pPr>
              <w:spacing w:after="0"/>
            </w:pPr>
            <w:r>
              <w:t>* Analiza “</w:t>
            </w:r>
            <w:r w:rsidR="003A72FC">
              <w:t xml:space="preserve"> E-participacija i impelemntacija onlajn alatki u Crnoj Gori” (Građanska alijansa)</w:t>
            </w:r>
          </w:p>
          <w:p w:rsidR="00B27F0A" w:rsidRDefault="00B27F0A" w:rsidP="00510F37">
            <w:pPr>
              <w:spacing w:after="0"/>
            </w:pPr>
          </w:p>
          <w:p w:rsidR="00B27F0A" w:rsidRDefault="00B27F0A" w:rsidP="00510F37">
            <w:pPr>
              <w:spacing w:after="0"/>
            </w:pPr>
          </w:p>
          <w:p w:rsidR="00B27F0A" w:rsidRDefault="00B27F0A" w:rsidP="00510F37">
            <w:pPr>
              <w:spacing w:after="0"/>
            </w:pPr>
          </w:p>
          <w:p w:rsidR="00B27F0A" w:rsidRDefault="00B27F0A" w:rsidP="00510F37">
            <w:pPr>
              <w:spacing w:after="0"/>
            </w:pPr>
          </w:p>
          <w:p w:rsidR="00B27F0A" w:rsidRDefault="00B27F0A" w:rsidP="00510F37">
            <w:pPr>
              <w:spacing w:after="0"/>
            </w:pPr>
          </w:p>
          <w:p w:rsidR="003A72FC" w:rsidRDefault="00B27F0A" w:rsidP="003A72FC">
            <w:pPr>
              <w:spacing w:after="0"/>
            </w:pPr>
            <w:r>
              <w:t>*</w:t>
            </w:r>
            <w:r w:rsidR="003A72FC">
              <w:t xml:space="preserve">Istraživanje NVO Građanska alijansa u saradnji sa De Facto agencijom </w:t>
            </w:r>
            <w:r w:rsidR="00F73571">
              <w:t>“Građanska participacija u Crnoj Gori”</w:t>
            </w:r>
          </w:p>
          <w:p w:rsidR="006A498E" w:rsidRDefault="006A498E" w:rsidP="003A72FC">
            <w:pPr>
              <w:spacing w:after="0"/>
            </w:pPr>
          </w:p>
          <w:p w:rsidR="006A498E" w:rsidRDefault="006A498E" w:rsidP="003A72FC">
            <w:pPr>
              <w:spacing w:after="0"/>
            </w:pPr>
          </w:p>
          <w:p w:rsidR="006A498E" w:rsidRPr="00510F37" w:rsidRDefault="006A498E" w:rsidP="003A72FC">
            <w:pPr>
              <w:spacing w:after="0"/>
              <w:rPr>
                <w:rFonts w:ascii="Calibri" w:hAnsi="Calibri"/>
              </w:rPr>
            </w:pPr>
            <w:r>
              <w:t>*Istraživanje  Institututa Alternativa “Percepcija  javne uprave”</w:t>
            </w:r>
          </w:p>
        </w:tc>
        <w:tc>
          <w:tcPr>
            <w:tcW w:w="9468" w:type="dxa"/>
            <w:tcMar>
              <w:top w:w="57" w:type="dxa"/>
              <w:bottom w:w="57" w:type="dxa"/>
            </w:tcMar>
          </w:tcPr>
          <w:p w:rsidR="00393F1E" w:rsidRDefault="00874186" w:rsidP="00510F37">
            <w:pPr>
              <w:spacing w:after="0"/>
              <w:rPr>
                <w:rFonts w:ascii="Calibri" w:hAnsi="Calibri"/>
              </w:rPr>
            </w:pPr>
            <w:hyperlink r:id="rId10" w:history="1">
              <w:r w:rsidR="00393F1E" w:rsidRPr="005645B3">
                <w:rPr>
                  <w:rStyle w:val="Hyperlink"/>
                  <w:rFonts w:ascii="Calibri" w:hAnsi="Calibri"/>
                </w:rPr>
                <w:t>http://www.mju.gov.me/ResourceManager/FileDownload.aspx?rid=302277&amp;rType=2&amp;file=Akcioni%20plan%202018-2020,%20%202016-2020.pdf</w:t>
              </w:r>
            </w:hyperlink>
          </w:p>
          <w:p w:rsidR="00393F1E" w:rsidRDefault="00393F1E" w:rsidP="00510F37">
            <w:pPr>
              <w:spacing w:after="0"/>
              <w:rPr>
                <w:rFonts w:ascii="Calibri" w:hAnsi="Calibri"/>
              </w:rPr>
            </w:pPr>
          </w:p>
          <w:p w:rsidR="00393F1E" w:rsidRDefault="00393F1E" w:rsidP="00510F37">
            <w:pPr>
              <w:spacing w:after="0"/>
              <w:rPr>
                <w:rFonts w:ascii="Calibri" w:hAnsi="Calibri"/>
              </w:rPr>
            </w:pPr>
          </w:p>
          <w:p w:rsidR="00393F1E" w:rsidRDefault="00393F1E" w:rsidP="00510F37">
            <w:pPr>
              <w:spacing w:after="0"/>
              <w:rPr>
                <w:rFonts w:ascii="Calibri" w:hAnsi="Calibri"/>
              </w:rPr>
            </w:pPr>
          </w:p>
          <w:p w:rsidR="00393F1E" w:rsidRDefault="00393F1E" w:rsidP="00510F37">
            <w:pPr>
              <w:spacing w:after="0"/>
              <w:rPr>
                <w:rFonts w:ascii="Calibri" w:hAnsi="Calibri"/>
              </w:rPr>
            </w:pPr>
          </w:p>
          <w:p w:rsidR="00393F1E" w:rsidRDefault="00393F1E" w:rsidP="00510F37">
            <w:pPr>
              <w:spacing w:after="0"/>
              <w:rPr>
                <w:rFonts w:ascii="Calibri" w:hAnsi="Calibri"/>
              </w:rPr>
            </w:pPr>
          </w:p>
          <w:p w:rsidR="00B27F0A" w:rsidRDefault="00874186" w:rsidP="00510F37">
            <w:pPr>
              <w:spacing w:after="0"/>
              <w:rPr>
                <w:rFonts w:ascii="Calibri" w:hAnsi="Calibri"/>
              </w:rPr>
            </w:pPr>
            <w:hyperlink r:id="rId11" w:history="1">
              <w:r w:rsidR="006A498E" w:rsidRPr="005645B3">
                <w:rPr>
                  <w:rStyle w:val="Hyperlink"/>
                  <w:rFonts w:ascii="Calibri" w:hAnsi="Calibri"/>
                </w:rPr>
                <w:t>http://www.mju.gov.me/ResourceManager/FileDownload.aspx?rid=309936&amp;rType=2&amp;file=Informacija%20o%20kori%C5%A1%C4%87enju%20portala%20e-uprave%20za%202017.%20godinu.pdf</w:t>
              </w:r>
            </w:hyperlink>
          </w:p>
          <w:p w:rsidR="0060370C" w:rsidRDefault="0060370C" w:rsidP="00B27F0A">
            <w:pPr>
              <w:rPr>
                <w:rFonts w:ascii="Calibri" w:hAnsi="Calibri"/>
              </w:rPr>
            </w:pPr>
          </w:p>
          <w:p w:rsidR="0060370C" w:rsidRDefault="0060370C" w:rsidP="00B27F0A">
            <w:pPr>
              <w:rPr>
                <w:rFonts w:ascii="Calibri" w:hAnsi="Calibri"/>
              </w:rPr>
            </w:pPr>
          </w:p>
          <w:p w:rsidR="00B27F0A" w:rsidRDefault="00874186" w:rsidP="00B27F0A">
            <w:pPr>
              <w:rPr>
                <w:rFonts w:ascii="Calibri" w:hAnsi="Calibri"/>
              </w:rPr>
            </w:pPr>
            <w:hyperlink r:id="rId12" w:history="1">
              <w:r w:rsidR="006A498E" w:rsidRPr="005645B3">
                <w:rPr>
                  <w:rStyle w:val="Hyperlink"/>
                  <w:rFonts w:ascii="Calibri" w:hAnsi="Calibri"/>
                </w:rPr>
                <w:t>http://www.mju.gov.me/ResourceManager/FileDownload.aspx?rid=301459&amp;rType=2&amp;file=Strategija%20unapre%C4%91enja%20podsticajnog%20okru%C5%BEenja%20%202018-20120.pdf</w:t>
              </w:r>
            </w:hyperlink>
          </w:p>
          <w:p w:rsidR="00B27F0A" w:rsidRDefault="00B27F0A" w:rsidP="00B27F0A">
            <w:pPr>
              <w:rPr>
                <w:rFonts w:ascii="Calibri" w:hAnsi="Calibri"/>
              </w:rPr>
            </w:pPr>
          </w:p>
          <w:p w:rsidR="0060370C" w:rsidRDefault="0060370C" w:rsidP="00B27F0A">
            <w:pPr>
              <w:rPr>
                <w:rFonts w:ascii="Calibri" w:hAnsi="Calibri"/>
              </w:rPr>
            </w:pPr>
          </w:p>
          <w:p w:rsidR="00B27F0A" w:rsidRDefault="00874186" w:rsidP="00B27F0A">
            <w:pPr>
              <w:rPr>
                <w:rFonts w:ascii="Calibri" w:hAnsi="Calibri"/>
              </w:rPr>
            </w:pPr>
            <w:hyperlink r:id="rId13" w:history="1">
              <w:r w:rsidR="006A498E" w:rsidRPr="005645B3">
                <w:rPr>
                  <w:rStyle w:val="Hyperlink"/>
                  <w:rFonts w:ascii="Calibri" w:hAnsi="Calibri"/>
                </w:rPr>
                <w:t>http://gamn.org/wp-content/uploads/2018/06/GA-analiza-realizacija-onlajn-alatki-za-e-participaciju-u-CG-2018-2.pdf</w:t>
              </w:r>
            </w:hyperlink>
          </w:p>
          <w:p w:rsidR="006A498E" w:rsidRDefault="006A498E" w:rsidP="00B27F0A">
            <w:pPr>
              <w:rPr>
                <w:rFonts w:ascii="Calibri" w:hAnsi="Calibri"/>
              </w:rPr>
            </w:pPr>
          </w:p>
          <w:p w:rsidR="0060370C" w:rsidRDefault="0060370C" w:rsidP="00B27F0A">
            <w:pPr>
              <w:rPr>
                <w:rFonts w:ascii="Calibri" w:hAnsi="Calibri"/>
              </w:rPr>
            </w:pPr>
          </w:p>
          <w:p w:rsidR="0060370C" w:rsidRDefault="0060370C" w:rsidP="00B27F0A">
            <w:pPr>
              <w:rPr>
                <w:rFonts w:ascii="Calibri" w:hAnsi="Calibri"/>
              </w:rPr>
            </w:pPr>
          </w:p>
          <w:p w:rsidR="00510F37" w:rsidRDefault="00874186" w:rsidP="00B27F0A">
            <w:pPr>
              <w:rPr>
                <w:rFonts w:ascii="Calibri" w:hAnsi="Calibri"/>
              </w:rPr>
            </w:pPr>
            <w:hyperlink r:id="rId14" w:history="1">
              <w:r w:rsidR="006A498E" w:rsidRPr="005645B3">
                <w:rPr>
                  <w:rStyle w:val="Hyperlink"/>
                  <w:rFonts w:ascii="Calibri" w:hAnsi="Calibri"/>
                </w:rPr>
                <w:t>http://gamn.org/images/docs/cg/gradjanska-participacija-u-crnoj-gori-2017.pdf</w:t>
              </w:r>
            </w:hyperlink>
          </w:p>
          <w:p w:rsidR="006A498E" w:rsidRDefault="006A498E" w:rsidP="00B27F0A">
            <w:pPr>
              <w:rPr>
                <w:rFonts w:ascii="Calibri" w:hAnsi="Calibri"/>
              </w:rPr>
            </w:pPr>
          </w:p>
          <w:p w:rsidR="006A498E" w:rsidRDefault="006A498E" w:rsidP="00B27F0A">
            <w:pPr>
              <w:rPr>
                <w:rFonts w:ascii="Calibri" w:hAnsi="Calibri"/>
              </w:rPr>
            </w:pPr>
          </w:p>
          <w:p w:rsidR="006A498E" w:rsidRDefault="00874186" w:rsidP="00B27F0A">
            <w:pPr>
              <w:rPr>
                <w:rFonts w:ascii="Calibri" w:hAnsi="Calibri"/>
              </w:rPr>
            </w:pPr>
            <w:hyperlink r:id="rId15" w:history="1">
              <w:r w:rsidR="006A498E" w:rsidRPr="005645B3">
                <w:rPr>
                  <w:rStyle w:val="Hyperlink"/>
                  <w:rFonts w:ascii="Calibri" w:hAnsi="Calibri"/>
                </w:rPr>
                <w:t>http://media.institut-alternativa.org/2018/04/Percepcija-javne-uprave-istra%C5%BEivanje-2.pdf</w:t>
              </w:r>
            </w:hyperlink>
          </w:p>
          <w:p w:rsidR="006A498E" w:rsidRPr="00B27F0A" w:rsidRDefault="006A498E" w:rsidP="00B27F0A">
            <w:pPr>
              <w:rPr>
                <w:rFonts w:ascii="Calibri" w:hAnsi="Calibri"/>
              </w:rPr>
            </w:pP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Navesti</w:t>
      </w:r>
      <w:r w:rsidR="0053143C">
        <w:t xml:space="preserve"> </w:t>
      </w:r>
      <w:r>
        <w:t>ključne</w:t>
      </w:r>
      <w:r w:rsidR="0053143C">
        <w:t xml:space="preserve"> </w:t>
      </w:r>
      <w:r>
        <w:t>strateško-planske</w:t>
      </w:r>
      <w:r w:rsidR="0053143C">
        <w:t xml:space="preserve"> </w:t>
      </w:r>
      <w:r>
        <w:t>dokumente</w:t>
      </w:r>
      <w:r w:rsidR="0053143C">
        <w:t xml:space="preserve"> </w:t>
      </w:r>
      <w:r>
        <w:t>odnosno</w:t>
      </w:r>
      <w:r w:rsidR="0053143C">
        <w:t xml:space="preserve"> </w:t>
      </w:r>
      <w:r>
        <w:t>propise</w:t>
      </w:r>
      <w:r w:rsidR="0053143C">
        <w:t xml:space="preserve"> </w:t>
      </w:r>
      <w:r>
        <w:t>koji</w:t>
      </w:r>
      <w:r w:rsidR="0053143C">
        <w:t xml:space="preserve"> </w:t>
      </w:r>
      <w:r>
        <w:t>prepoznaju</w:t>
      </w:r>
      <w:r w:rsidR="0053143C">
        <w:t xml:space="preserve"> </w:t>
      </w:r>
      <w:r>
        <w:t>važnost</w:t>
      </w:r>
      <w:r w:rsidR="0053143C">
        <w:t xml:space="preserve"> </w:t>
      </w:r>
      <w:r>
        <w:t>problema</w:t>
      </w:r>
      <w:r w:rsidR="0053143C">
        <w:t xml:space="preserve"> i</w:t>
      </w:r>
      <w:r>
        <w:t>dentifikovanih pod tačkom 2.1., kao i specifične</w:t>
      </w:r>
      <w:r w:rsidR="0053143C">
        <w:t xml:space="preserve"> </w:t>
      </w:r>
      <w:r>
        <w:t>mjere/djelove</w:t>
      </w:r>
      <w:r w:rsidR="0053143C">
        <w:t xml:space="preserve"> </w:t>
      </w:r>
      <w:r>
        <w:t>tih</w:t>
      </w:r>
      <w:r w:rsidR="0053143C">
        <w:t xml:space="preserve"> </w:t>
      </w:r>
      <w:r>
        <w:t>dokumenata</w:t>
      </w:r>
      <w:r w:rsidR="0053143C">
        <w:t xml:space="preserve"> </w:t>
      </w:r>
      <w:r>
        <w:t>koji</w:t>
      </w:r>
      <w:r w:rsidR="0053143C">
        <w:t xml:space="preserve"> </w:t>
      </w:r>
      <w:r>
        <w:t>su u vezi</w:t>
      </w:r>
      <w:r w:rsidR="0053143C">
        <w:t xml:space="preserve"> </w:t>
      </w:r>
      <w:proofErr w:type="gramStart"/>
      <w:r>
        <w:t>sa</w:t>
      </w:r>
      <w:proofErr w:type="gramEnd"/>
      <w:r w:rsidR="0053143C">
        <w:t xml:space="preserve"> </w:t>
      </w:r>
      <w:r>
        <w:t>identifikovanim</w:t>
      </w:r>
      <w:r w:rsidR="0053143C">
        <w:t xml:space="preserve"> </w:t>
      </w:r>
      <w:r>
        <w:t>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</w:t>
            </w:r>
            <w:r w:rsidR="008A3CAA">
              <w:rPr>
                <w:rFonts w:ascii="Calibri" w:hAnsi="Calibri"/>
              </w:rPr>
              <w:t xml:space="preserve"> </w:t>
            </w:r>
            <w:r w:rsidRPr="00C95284">
              <w:rPr>
                <w:rFonts w:ascii="Calibri" w:hAnsi="Calibri"/>
              </w:rPr>
              <w:t>strateškog/planskog</w:t>
            </w:r>
            <w:r w:rsidR="008A3CAA">
              <w:rPr>
                <w:rFonts w:ascii="Calibri" w:hAnsi="Calibri"/>
              </w:rPr>
              <w:t xml:space="preserve"> </w:t>
            </w:r>
            <w:r w:rsidRPr="00C95284">
              <w:rPr>
                <w:rFonts w:ascii="Calibri" w:hAnsi="Calibri"/>
              </w:rPr>
              <w:t>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</w:t>
            </w:r>
            <w:r w:rsidR="008A3CAA">
              <w:rPr>
                <w:rFonts w:ascii="Calibri" w:hAnsi="Calibri"/>
              </w:rPr>
              <w:t xml:space="preserve"> </w:t>
            </w:r>
            <w:r w:rsidRPr="00C95284">
              <w:rPr>
                <w:rFonts w:ascii="Calibri" w:hAnsi="Calibri"/>
              </w:rPr>
              <w:t>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Default="00F73571" w:rsidP="00C9528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="002A0A38">
              <w:rPr>
                <w:rFonts w:ascii="Calibri" w:hAnsi="Calibri"/>
              </w:rPr>
              <w:t>Strategija reforme javne uprave 2016-2020</w:t>
            </w:r>
          </w:p>
          <w:p w:rsidR="00F73571" w:rsidRDefault="00F73571" w:rsidP="00C95284">
            <w:pPr>
              <w:spacing w:after="0"/>
              <w:rPr>
                <w:rFonts w:ascii="Calibri" w:hAnsi="Calibri"/>
              </w:rPr>
            </w:pPr>
          </w:p>
          <w:p w:rsidR="00F73571" w:rsidRDefault="00F73571" w:rsidP="00C95284">
            <w:pPr>
              <w:spacing w:after="0"/>
              <w:rPr>
                <w:rFonts w:ascii="Calibri" w:hAnsi="Calibri"/>
              </w:rPr>
            </w:pPr>
          </w:p>
          <w:p w:rsidR="00CA7B51" w:rsidRDefault="00CA7B51" w:rsidP="00C95284">
            <w:pPr>
              <w:spacing w:after="0"/>
              <w:rPr>
                <w:rFonts w:ascii="Calibri" w:hAnsi="Calibri"/>
              </w:rPr>
            </w:pPr>
          </w:p>
          <w:p w:rsidR="002A0A38" w:rsidRPr="00510F37" w:rsidRDefault="00F73571" w:rsidP="00C9528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="002A0A38">
              <w:rPr>
                <w:rFonts w:ascii="Calibri" w:hAnsi="Calibri"/>
              </w:rPr>
              <w:t>Akcioni plan za sprovođenje Strategije reforme javne uprave za period 2018-2020. godina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6C94" w:rsidRDefault="00376C94" w:rsidP="00376C9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Pružanje javnih usluga</w:t>
            </w:r>
          </w:p>
          <w:p w:rsidR="00F73571" w:rsidRDefault="00F73571" w:rsidP="00C95284">
            <w:pPr>
              <w:spacing w:after="0"/>
              <w:rPr>
                <w:rFonts w:ascii="Calibri" w:hAnsi="Calibri"/>
              </w:rPr>
            </w:pPr>
          </w:p>
          <w:p w:rsidR="00F73571" w:rsidRDefault="00F73571" w:rsidP="00C95284">
            <w:pPr>
              <w:spacing w:after="0"/>
              <w:rPr>
                <w:rFonts w:ascii="Calibri" w:hAnsi="Calibri"/>
              </w:rPr>
            </w:pPr>
          </w:p>
          <w:p w:rsidR="00CA7B51" w:rsidRDefault="00CA7B51" w:rsidP="00C95284">
            <w:pPr>
              <w:spacing w:after="0"/>
              <w:rPr>
                <w:rFonts w:ascii="Calibri" w:hAnsi="Calibri"/>
              </w:rPr>
            </w:pPr>
          </w:p>
          <w:p w:rsidR="001873AD" w:rsidRPr="00510F37" w:rsidRDefault="001873AD" w:rsidP="00C95284">
            <w:pPr>
              <w:spacing w:after="0"/>
              <w:rPr>
                <w:rFonts w:ascii="Calibri" w:hAnsi="Calibri"/>
              </w:rPr>
            </w:pPr>
            <w:r w:rsidRPr="001873AD">
              <w:rPr>
                <w:rFonts w:ascii="Calibri" w:hAnsi="Calibri"/>
              </w:rPr>
              <w:t xml:space="preserve">cilj 4.2.3 </w:t>
            </w:r>
            <w:r>
              <w:rPr>
                <w:rFonts w:ascii="Calibri" w:hAnsi="Calibri"/>
              </w:rPr>
              <w:t>“</w:t>
            </w:r>
            <w:r w:rsidRPr="001873AD">
              <w:rPr>
                <w:rFonts w:ascii="Calibri" w:hAnsi="Calibri"/>
              </w:rPr>
              <w:t>Portal eUprave predstavlja jedinstvenu tačku pristupa elektronskim uslugama koje nude organi uprave sa visokim stepenom korisničkog iskustva i korisničkog zadovoljstva</w:t>
            </w:r>
            <w:r>
              <w:rPr>
                <w:rFonts w:ascii="Calibri" w:hAnsi="Calibri"/>
              </w:rPr>
              <w:t>”</w:t>
            </w:r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Obrazložiiti</w:t>
      </w:r>
      <w:r w:rsidR="008A3CAA">
        <w:t xml:space="preserve"> </w:t>
      </w:r>
      <w:proofErr w:type="gramStart"/>
      <w:r>
        <w:t>na</w:t>
      </w:r>
      <w:proofErr w:type="gramEnd"/>
      <w:r w:rsidR="008A3CAA">
        <w:t xml:space="preserve"> </w:t>
      </w:r>
      <w:r>
        <w:t>koji</w:t>
      </w:r>
      <w:r w:rsidR="008A3CAA">
        <w:t xml:space="preserve"> </w:t>
      </w:r>
      <w:r>
        <w:t>način</w:t>
      </w:r>
      <w:r w:rsidR="008A3CAA">
        <w:t xml:space="preserve"> </w:t>
      </w:r>
      <w:r>
        <w:t>nevladine</w:t>
      </w:r>
      <w:r w:rsidR="008A3CAA">
        <w:t xml:space="preserve"> </w:t>
      </w:r>
      <w:r>
        <w:t>organizacije</w:t>
      </w:r>
      <w:r w:rsidR="008A3CAA">
        <w:t xml:space="preserve"> </w:t>
      </w:r>
      <w:r>
        <w:t>mogu</w:t>
      </w:r>
      <w:r w:rsidR="008A3CAA">
        <w:t xml:space="preserve"> </w:t>
      </w:r>
      <w:r>
        <w:t>doprinijeti</w:t>
      </w:r>
      <w:r w:rsidR="008A3CAA">
        <w:t xml:space="preserve"> </w:t>
      </w:r>
      <w:r>
        <w:t>rješavanju</w:t>
      </w:r>
      <w:r w:rsidR="008A3CAA">
        <w:t xml:space="preserve"> </w:t>
      </w:r>
      <w:r>
        <w:t>problema</w:t>
      </w:r>
      <w:r w:rsidR="008A3CAA">
        <w:t xml:space="preserve"> i</w:t>
      </w:r>
      <w:r>
        <w:t xml:space="preserve">dentifikovanih pod tačkom 2.1., </w:t>
      </w:r>
      <w:r w:rsidR="00366EA9">
        <w:t>koje</w:t>
      </w:r>
      <w:r w:rsidR="008A3CAA">
        <w:t xml:space="preserve"> </w:t>
      </w:r>
      <w:r w:rsidR="00366EA9">
        <w:t>aktivnosti</w:t>
      </w:r>
      <w:r w:rsidR="008A3CAA">
        <w:t xml:space="preserve"> </w:t>
      </w:r>
      <w:r w:rsidR="00366EA9">
        <w:t>su</w:t>
      </w:r>
      <w:r w:rsidR="008A3CAA">
        <w:t xml:space="preserve"> </w:t>
      </w:r>
      <w:r w:rsidR="00366EA9">
        <w:t>prihvatljive</w:t>
      </w:r>
      <w:r w:rsidR="0098003E">
        <w:t xml:space="preserve"> za </w:t>
      </w:r>
      <w:r w:rsidR="003B4204">
        <w:t>postizanje</w:t>
      </w:r>
      <w:r w:rsidR="008A3CAA">
        <w:t xml:space="preserve"> </w:t>
      </w:r>
      <w:r w:rsidR="003B4204">
        <w:t>željenog</w:t>
      </w:r>
      <w:r w:rsidR="008A3CAA">
        <w:t xml:space="preserve"> </w:t>
      </w:r>
      <w:r w:rsidR="00652635">
        <w:t>rezultata</w:t>
      </w:r>
      <w:r w:rsidR="0098003E">
        <w:t xml:space="preserve">, </w:t>
      </w:r>
      <w:r>
        <w:t>kako se planira</w:t>
      </w:r>
      <w:r w:rsidR="008A3CAA">
        <w:t xml:space="preserve"> </w:t>
      </w:r>
      <w:r>
        <w:t>praćenje i vrednovanje</w:t>
      </w:r>
      <w:r w:rsidR="008A3CAA">
        <w:t xml:space="preserve"> </w:t>
      </w:r>
      <w:r>
        <w:t>doprinosa</w:t>
      </w:r>
      <w:r w:rsidR="008A3CAA">
        <w:t xml:space="preserve"> </w:t>
      </w:r>
      <w:r>
        <w:t>rješavanju</w:t>
      </w:r>
      <w:r w:rsidR="008A3CAA">
        <w:t xml:space="preserve"> </w:t>
      </w:r>
      <w:r>
        <w:t>pomenutih</w:t>
      </w:r>
      <w:r w:rsidR="008A3CAA">
        <w:t xml:space="preserve"> </w:t>
      </w:r>
      <w:r>
        <w:t>problema. Navesti</w:t>
      </w:r>
      <w:r w:rsidR="008A3CAA">
        <w:t xml:space="preserve"> </w:t>
      </w:r>
      <w:r>
        <w:t>konkretne</w:t>
      </w:r>
      <w:r w:rsidR="008A3CAA">
        <w:t xml:space="preserve"> </w:t>
      </w:r>
      <w:r>
        <w:t>mjerljive</w:t>
      </w:r>
      <w:r w:rsidR="008A3CAA">
        <w:t xml:space="preserve"> </w:t>
      </w:r>
      <w:r>
        <w:t>pokazatelje/indikatore</w:t>
      </w:r>
      <w:r w:rsidR="008A3CAA">
        <w:t xml:space="preserve"> </w:t>
      </w:r>
      <w:r w:rsidR="0098003E">
        <w:t xml:space="preserve">za </w:t>
      </w:r>
      <w:r w:rsidR="00326A9D">
        <w:t>praćenje</w:t>
      </w:r>
      <w:r w:rsidR="008A3CAA">
        <w:t xml:space="preserve"> </w:t>
      </w:r>
      <w:r>
        <w:t>doprinosa</w:t>
      </w:r>
      <w:r w:rsidR="008A3CAA">
        <w:t xml:space="preserve"> </w:t>
      </w:r>
      <w:r>
        <w:t>nevladinih</w:t>
      </w:r>
      <w:r w:rsidR="008A3CAA">
        <w:t xml:space="preserve"> </w:t>
      </w:r>
      <w:r>
        <w:t>organizacija</w:t>
      </w:r>
      <w:r w:rsidR="008A3CAA">
        <w:t xml:space="preserve"> </w:t>
      </w:r>
      <w:r>
        <w:t>rješavanju</w:t>
      </w:r>
      <w:r w:rsidR="008A3CAA">
        <w:t xml:space="preserve"> </w:t>
      </w:r>
      <w:r>
        <w:t>identifikovanih</w:t>
      </w:r>
      <w:r w:rsidR="008A3CAA">
        <w:t xml:space="preserve"> </w:t>
      </w:r>
      <w:r>
        <w:t>problema i izvor</w:t>
      </w:r>
      <w:r w:rsidR="00345BD0">
        <w:t>e</w:t>
      </w:r>
      <w:r w:rsidR="008A3CAA">
        <w:t xml:space="preserve"> </w:t>
      </w:r>
      <w:r w:rsidR="00345BD0">
        <w:t>verifikacije</w:t>
      </w:r>
      <w:r w:rsidR="008A3CAA">
        <w:t xml:space="preserve"> </w:t>
      </w:r>
      <w:r w:rsidR="00345BD0">
        <w:t>učinjenog</w:t>
      </w:r>
      <w:r>
        <w:t>.</w:t>
      </w:r>
    </w:p>
    <w:p w:rsidR="000B5516" w:rsidRDefault="000B5516" w:rsidP="000B5516">
      <w:pPr>
        <w:pStyle w:val="ListParagraph"/>
        <w:numPr>
          <w:ilvl w:val="0"/>
          <w:numId w:val="5"/>
        </w:numPr>
        <w:jc w:val="both"/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B231E9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BF7161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</w:t>
            </w:r>
            <w:r w:rsidR="008A3CAA">
              <w:rPr>
                <w:rFonts w:ascii="Calibri" w:hAnsi="Calibri"/>
              </w:rPr>
              <w:t xml:space="preserve"> </w:t>
            </w:r>
            <w:r w:rsidRPr="00B231E9">
              <w:rPr>
                <w:rFonts w:ascii="Calibri" w:hAnsi="Calibri"/>
              </w:rPr>
              <w:t>načina</w:t>
            </w:r>
            <w:r w:rsidR="008A3CAA">
              <w:rPr>
                <w:rFonts w:ascii="Calibri" w:hAnsi="Calibri"/>
              </w:rPr>
              <w:t xml:space="preserve"> </w:t>
            </w:r>
            <w:r w:rsidRPr="00B231E9">
              <w:rPr>
                <w:rFonts w:ascii="Calibri" w:hAnsi="Calibri"/>
              </w:rPr>
              <w:t>doprinosa</w:t>
            </w:r>
            <w:r w:rsidR="008A3CAA">
              <w:rPr>
                <w:rFonts w:ascii="Calibri" w:hAnsi="Calibri"/>
              </w:rPr>
              <w:t xml:space="preserve"> </w:t>
            </w:r>
            <w:r w:rsidRPr="00B231E9">
              <w:rPr>
                <w:rFonts w:ascii="Calibri" w:hAnsi="Calibri"/>
              </w:rPr>
              <w:t>nevladinih</w:t>
            </w:r>
            <w:r w:rsidR="008A3CAA">
              <w:rPr>
                <w:rFonts w:ascii="Calibri" w:hAnsi="Calibri"/>
              </w:rPr>
              <w:t xml:space="preserve"> </w:t>
            </w:r>
            <w:r w:rsidRPr="00B231E9">
              <w:rPr>
                <w:rFonts w:ascii="Calibri" w:hAnsi="Calibri"/>
              </w:rPr>
              <w:t>organizacija u rješavanju</w:t>
            </w:r>
            <w:r w:rsidR="008A3CAA">
              <w:rPr>
                <w:rFonts w:ascii="Calibri" w:hAnsi="Calibri"/>
              </w:rPr>
              <w:t xml:space="preserve"> </w:t>
            </w:r>
            <w:r w:rsidRPr="00B231E9">
              <w:rPr>
                <w:rFonts w:ascii="Calibri" w:hAnsi="Calibri"/>
              </w:rPr>
              <w:t>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</w:t>
            </w:r>
            <w:r w:rsidR="008A3CAA">
              <w:rPr>
                <w:rFonts w:ascii="Calibri" w:hAnsi="Calibri"/>
              </w:rPr>
              <w:t xml:space="preserve"> </w:t>
            </w:r>
            <w:r w:rsidRPr="00B231E9">
              <w:rPr>
                <w:rFonts w:ascii="Calibri" w:hAnsi="Calibri"/>
              </w:rPr>
              <w:t>mjerljivi</w:t>
            </w:r>
            <w:r w:rsidR="008A3CAA">
              <w:rPr>
                <w:rFonts w:ascii="Calibri" w:hAnsi="Calibri"/>
              </w:rPr>
              <w:t xml:space="preserve"> </w:t>
            </w:r>
            <w:r w:rsidRPr="00B231E9">
              <w:rPr>
                <w:rFonts w:ascii="Calibri" w:hAnsi="Calibri"/>
              </w:rPr>
              <w:t>pokazatelji</w:t>
            </w:r>
            <w:r w:rsidR="008A3CAA">
              <w:rPr>
                <w:rFonts w:ascii="Calibri" w:hAnsi="Calibri"/>
              </w:rPr>
              <w:t xml:space="preserve"> </w:t>
            </w:r>
            <w:r w:rsidRPr="00B231E9">
              <w:rPr>
                <w:rFonts w:ascii="Calibri" w:hAnsi="Calibri"/>
              </w:rPr>
              <w:t>doprinosa</w:t>
            </w:r>
            <w:r w:rsidR="008A3CAA">
              <w:rPr>
                <w:rFonts w:ascii="Calibri" w:hAnsi="Calibri"/>
              </w:rPr>
              <w:t xml:space="preserve"> </w:t>
            </w:r>
            <w:r w:rsidRPr="00B231E9">
              <w:rPr>
                <w:rFonts w:ascii="Calibri" w:hAnsi="Calibri"/>
              </w:rPr>
              <w:t>nevladinih</w:t>
            </w:r>
            <w:r w:rsidR="008A3CAA">
              <w:rPr>
                <w:rFonts w:ascii="Calibri" w:hAnsi="Calibri"/>
              </w:rPr>
              <w:t xml:space="preserve"> </w:t>
            </w:r>
            <w:r w:rsidRPr="00B231E9">
              <w:rPr>
                <w:rFonts w:ascii="Calibri" w:hAnsi="Calibri"/>
              </w:rPr>
              <w:t>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B231E9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F860E0" w:rsidRDefault="00504668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Doprinos nevladinih organizacija u rješavanju problema</w:t>
            </w:r>
            <w:r w:rsidR="00F860E0">
              <w:rPr>
                <w:rFonts w:ascii="Calibri" w:hAnsi="Calibri"/>
              </w:rPr>
              <w:t xml:space="preserve"> nedovoljne e</w:t>
            </w:r>
            <w:r w:rsidR="00F74101">
              <w:rPr>
                <w:rFonts w:ascii="Calibri" w:hAnsi="Calibri"/>
              </w:rPr>
              <w:t>dukacije građana i promocije pot</w:t>
            </w:r>
            <w:r w:rsidR="00F860E0">
              <w:rPr>
                <w:rFonts w:ascii="Calibri" w:hAnsi="Calibri"/>
              </w:rPr>
              <w:t>stranice eParticipacija podrazumijeva sljedeće:</w:t>
            </w:r>
          </w:p>
          <w:p w:rsidR="00F860E0" w:rsidRDefault="00F860E0" w:rsidP="00B231E9">
            <w:pPr>
              <w:spacing w:after="0"/>
              <w:rPr>
                <w:rFonts w:ascii="Calibri" w:hAnsi="Calibri"/>
              </w:rPr>
            </w:pPr>
          </w:p>
          <w:p w:rsidR="00F860E0" w:rsidRDefault="00504668" w:rsidP="00F860E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F860E0">
              <w:rPr>
                <w:rFonts w:ascii="Calibri" w:hAnsi="Calibri"/>
              </w:rPr>
              <w:t>-</w:t>
            </w:r>
            <w:r w:rsidR="00A31F8F">
              <w:rPr>
                <w:rFonts w:ascii="Calibri" w:hAnsi="Calibri"/>
              </w:rPr>
              <w:t>sprovođenje nezavisnih istraživanja</w:t>
            </w:r>
            <w:r w:rsidR="00A91F89">
              <w:rPr>
                <w:rFonts w:ascii="Calibri" w:hAnsi="Calibri"/>
              </w:rPr>
              <w:t xml:space="preserve"> </w:t>
            </w:r>
          </w:p>
          <w:p w:rsidR="00A31F8F" w:rsidRDefault="00F860E0" w:rsidP="00F860E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="00A31F8F">
              <w:rPr>
                <w:rFonts w:ascii="Calibri" w:hAnsi="Calibri"/>
              </w:rPr>
              <w:t>osmišljavanje kreativne kampanje za informisanje i edukaciju građana</w:t>
            </w:r>
          </w:p>
          <w:p w:rsidR="00F860E0" w:rsidRDefault="00A31F8F" w:rsidP="00F860E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="00A91F89">
              <w:rPr>
                <w:rFonts w:ascii="Calibri" w:hAnsi="Calibri"/>
              </w:rPr>
              <w:t xml:space="preserve">sprovođenje aktivnosti u pravcu testiranja sa građanima postojećih oblika eParticipacije, </w:t>
            </w:r>
          </w:p>
          <w:p w:rsidR="00F860E0" w:rsidRDefault="00F860E0" w:rsidP="00A31F8F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="00A91F89">
              <w:rPr>
                <w:rFonts w:ascii="Calibri" w:hAnsi="Calibri"/>
              </w:rPr>
              <w:t xml:space="preserve">izrade promotivnih materijala </w:t>
            </w:r>
            <w:r w:rsidR="00A31F8F">
              <w:rPr>
                <w:rFonts w:ascii="Calibri" w:hAnsi="Calibri"/>
              </w:rPr>
              <w:t xml:space="preserve">i vizuala </w:t>
            </w:r>
            <w:r w:rsidR="00A91F89">
              <w:rPr>
                <w:rFonts w:ascii="Calibri" w:hAnsi="Calibri"/>
              </w:rPr>
              <w:t xml:space="preserve">koji će sadržati uputstvo za </w:t>
            </w:r>
            <w:r w:rsidR="00D04169">
              <w:rPr>
                <w:rFonts w:ascii="Calibri" w:hAnsi="Calibri"/>
              </w:rPr>
              <w:t xml:space="preserve">upotrebu predmetne onlajn alatke, </w:t>
            </w:r>
          </w:p>
          <w:p w:rsidR="00B231E9" w:rsidRDefault="00F860E0" w:rsidP="00F860E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="00D04169">
              <w:rPr>
                <w:rFonts w:ascii="Calibri" w:hAnsi="Calibri"/>
              </w:rPr>
              <w:t xml:space="preserve"> </w:t>
            </w:r>
            <w:proofErr w:type="gramStart"/>
            <w:r w:rsidR="00D04169">
              <w:rPr>
                <w:rFonts w:ascii="Calibri" w:hAnsi="Calibri"/>
              </w:rPr>
              <w:t>izrada</w:t>
            </w:r>
            <w:proofErr w:type="gramEnd"/>
            <w:r w:rsidR="00D04169">
              <w:rPr>
                <w:rFonts w:ascii="Calibri" w:hAnsi="Calibri"/>
              </w:rPr>
              <w:t xml:space="preserve"> publikacija…</w:t>
            </w:r>
          </w:p>
          <w:p w:rsidR="00F860E0" w:rsidRDefault="00F860E0" w:rsidP="00F860E0">
            <w:pPr>
              <w:spacing w:after="0"/>
              <w:rPr>
                <w:rFonts w:ascii="Calibri" w:hAnsi="Calibri"/>
              </w:rPr>
            </w:pPr>
          </w:p>
          <w:p w:rsidR="00F860E0" w:rsidRDefault="00F860E0" w:rsidP="00F860E0">
            <w:pPr>
              <w:jc w:val="both"/>
            </w:pPr>
            <w:r w:rsidRPr="00F860E0">
              <w:rPr>
                <w:rFonts w:ascii="Calibri" w:hAnsi="Calibri"/>
              </w:rPr>
              <w:t xml:space="preserve">Kada je riječ o </w:t>
            </w:r>
            <w:r>
              <w:t xml:space="preserve">mapiranju drugih usluga u okviru eParticipacije, uz mapiranje profila korisnika koji bi te usluge koristili, od nevladinih organizacija se očekuje </w:t>
            </w:r>
            <w:proofErr w:type="gramStart"/>
            <w:r>
              <w:t xml:space="preserve">da  </w:t>
            </w:r>
            <w:r w:rsidR="00BB1EA6">
              <w:t>sprovedu</w:t>
            </w:r>
            <w:proofErr w:type="gramEnd"/>
            <w:r w:rsidR="00BB1EA6">
              <w:t xml:space="preserve"> sveobuhvatno istraživanje na uzork</w:t>
            </w:r>
            <w:r w:rsidR="00F74101">
              <w:t>u od minimum 1000 ispitanik</w:t>
            </w:r>
            <w:r w:rsidR="00A31F8F">
              <w:t>a.</w:t>
            </w:r>
          </w:p>
          <w:p w:rsidR="00F860E0" w:rsidRPr="00510F37" w:rsidRDefault="00F860E0" w:rsidP="00F860E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13D7C" w:rsidRDefault="00913D7C" w:rsidP="00BB1EA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="00BB1EA6">
              <w:rPr>
                <w:rFonts w:ascii="Calibri" w:hAnsi="Calibri"/>
              </w:rPr>
              <w:t>Broj organizovanih skupova na kojima je građanima predstavljen mehanizam učestovanja u javnim rasprava putem eParticipacije, broj prisutnih građana</w:t>
            </w:r>
          </w:p>
          <w:p w:rsidR="00BB1EA6" w:rsidRDefault="00BB1EA6" w:rsidP="00BB1EA6">
            <w:pPr>
              <w:spacing w:after="0"/>
              <w:rPr>
                <w:rFonts w:ascii="Calibri" w:hAnsi="Calibri"/>
              </w:rPr>
            </w:pPr>
          </w:p>
          <w:p w:rsidR="00BB1EA6" w:rsidRDefault="00BB1EA6" w:rsidP="00BB1EA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-Broj građana, uz identifikaciju koja je ciljna grupa u pitanju, koji su prošli “testnu fazu”</w:t>
            </w:r>
            <w:r w:rsidR="000A7A94">
              <w:rPr>
                <w:rFonts w:ascii="Calibri" w:hAnsi="Calibri"/>
              </w:rPr>
              <w:t xml:space="preserve"> korišćenja potstranice eParticipacija.</w:t>
            </w:r>
          </w:p>
          <w:p w:rsidR="000A7A94" w:rsidRDefault="000A7A94" w:rsidP="00BB1EA6">
            <w:pPr>
              <w:spacing w:after="0"/>
              <w:rPr>
                <w:rFonts w:ascii="Calibri" w:hAnsi="Calibri"/>
              </w:rPr>
            </w:pPr>
          </w:p>
          <w:p w:rsidR="000A7A94" w:rsidRDefault="000A7A94" w:rsidP="00BB1EA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-Broj građana koji su učestvovali na radionicama/skupovima/drugim događajima po regionima (sjeverni, južni, središnji)</w:t>
            </w:r>
          </w:p>
          <w:p w:rsidR="000A7A94" w:rsidRDefault="000A7A94" w:rsidP="00BB1EA6">
            <w:pPr>
              <w:spacing w:after="0"/>
              <w:rPr>
                <w:rFonts w:ascii="Calibri" w:hAnsi="Calibri"/>
              </w:rPr>
            </w:pPr>
          </w:p>
          <w:p w:rsidR="000A7A94" w:rsidRDefault="000A7A94" w:rsidP="00BB1EA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-Broj pregleda reklama/objava na društvenim mrežama</w:t>
            </w:r>
          </w:p>
          <w:p w:rsidR="00A31F8F" w:rsidRDefault="00A31F8F" w:rsidP="00BB1EA6">
            <w:pPr>
              <w:spacing w:after="0"/>
              <w:rPr>
                <w:rFonts w:ascii="Calibri" w:hAnsi="Calibri"/>
              </w:rPr>
            </w:pPr>
          </w:p>
          <w:p w:rsidR="00A31F8F" w:rsidRDefault="00A31F8F" w:rsidP="00BB1EA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-Broj objava u medijima</w:t>
            </w:r>
          </w:p>
          <w:p w:rsidR="000A7A94" w:rsidRDefault="000A7A94" w:rsidP="00BB1EA6">
            <w:pPr>
              <w:spacing w:after="0"/>
              <w:rPr>
                <w:rFonts w:ascii="Calibri" w:hAnsi="Calibri"/>
              </w:rPr>
            </w:pPr>
          </w:p>
          <w:p w:rsidR="000A7A94" w:rsidRPr="00F008D3" w:rsidRDefault="000A7A94" w:rsidP="00BB1EA6">
            <w:pPr>
              <w:spacing w:after="0"/>
              <w:rPr>
                <w:rFonts w:ascii="Calibri" w:hAnsi="Calibri"/>
                <w:color w:val="FF0000"/>
              </w:rPr>
            </w:pPr>
          </w:p>
          <w:p w:rsidR="00913D7C" w:rsidRPr="00F008D3" w:rsidRDefault="00913D7C" w:rsidP="00B231E9">
            <w:pPr>
              <w:spacing w:after="0"/>
              <w:rPr>
                <w:rFonts w:ascii="Calibri" w:hAnsi="Calibri"/>
                <w:color w:val="FF0000"/>
              </w:rPr>
            </w:pPr>
          </w:p>
          <w:p w:rsidR="00913D7C" w:rsidRPr="00510F37" w:rsidRDefault="00913D7C" w:rsidP="00B231E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231E9" w:rsidRDefault="005E31AE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-Dokumenti koji su proizašli iz istraživanja</w:t>
            </w:r>
          </w:p>
          <w:p w:rsidR="005E31AE" w:rsidRDefault="005E31AE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="00A73B74">
              <w:rPr>
                <w:rFonts w:ascii="Calibri" w:hAnsi="Calibri"/>
              </w:rPr>
              <w:t>Evaluacije sa događaja/radionica</w:t>
            </w:r>
          </w:p>
          <w:p w:rsidR="00A73B74" w:rsidRDefault="00A73B74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-Narativni i finansijski izvještaji</w:t>
            </w:r>
          </w:p>
          <w:p w:rsidR="00A73B74" w:rsidRDefault="00A73B74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-Monitornig Ministarstva o toku realizacije</w:t>
            </w:r>
          </w:p>
          <w:p w:rsidR="00A73B74" w:rsidRDefault="00A73B74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-Pojedinačna i ukupna statistika o realizovanim programima, broju posjetilaca i td.</w:t>
            </w:r>
          </w:p>
          <w:p w:rsidR="00A73B74" w:rsidRDefault="00A73B74" w:rsidP="00B231E9">
            <w:pPr>
              <w:spacing w:after="0"/>
              <w:rPr>
                <w:rFonts w:ascii="Calibri" w:hAnsi="Calibri"/>
              </w:rPr>
            </w:pPr>
          </w:p>
          <w:p w:rsidR="00FC7960" w:rsidRDefault="00FC7960" w:rsidP="00B231E9">
            <w:pPr>
              <w:spacing w:after="0"/>
              <w:rPr>
                <w:rFonts w:ascii="Calibri" w:hAnsi="Calibri"/>
              </w:rPr>
            </w:pPr>
          </w:p>
          <w:p w:rsidR="00FC7960" w:rsidRPr="00510F37" w:rsidRDefault="00FC7960" w:rsidP="00B231E9">
            <w:pPr>
              <w:spacing w:after="0"/>
              <w:rPr>
                <w:rFonts w:ascii="Calibri" w:hAnsi="Calibri"/>
              </w:rPr>
            </w:pPr>
          </w:p>
        </w:tc>
      </w:tr>
    </w:tbl>
    <w:p w:rsidR="00B231E9" w:rsidRDefault="00B231E9" w:rsidP="00B231E9">
      <w:pPr>
        <w:ind w:left="792"/>
      </w:pPr>
    </w:p>
    <w:p w:rsidR="00F517FE" w:rsidRDefault="00F517FE" w:rsidP="00F517FE"/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>Navesti</w:t>
      </w:r>
      <w:r w:rsidR="008A3CAA">
        <w:t xml:space="preserve"> </w:t>
      </w:r>
      <w:r w:rsidRPr="00F517FE">
        <w:t>ključne</w:t>
      </w:r>
      <w:r w:rsidR="008A3CAA">
        <w:t xml:space="preserve"> </w:t>
      </w:r>
      <w:r w:rsidRPr="00F517FE">
        <w:t>strateške</w:t>
      </w:r>
      <w:r w:rsidR="008A3CAA">
        <w:t xml:space="preserve"> </w:t>
      </w:r>
      <w:r w:rsidRPr="00F517FE">
        <w:t>ciljeve</w:t>
      </w:r>
      <w:r w:rsidR="008A3CAA">
        <w:t xml:space="preserve"> </w:t>
      </w:r>
      <w:r w:rsidRPr="00F517FE">
        <w:t>iz</w:t>
      </w:r>
      <w:r w:rsidR="008A3CAA">
        <w:t xml:space="preserve"> </w:t>
      </w:r>
      <w:r w:rsidRPr="00F517FE">
        <w:t>sektorske</w:t>
      </w:r>
      <w:r w:rsidR="008A3CAA">
        <w:t xml:space="preserve"> </w:t>
      </w:r>
      <w:r w:rsidRPr="00F517FE">
        <w:t>nadležnosti</w:t>
      </w:r>
      <w:r w:rsidR="008A3CAA">
        <w:t xml:space="preserve"> </w:t>
      </w:r>
      <w:r w:rsidRPr="00F517FE">
        <w:t>čijem</w:t>
      </w:r>
      <w:r w:rsidR="008A3CAA">
        <w:t xml:space="preserve"> </w:t>
      </w:r>
      <w:proofErr w:type="gramStart"/>
      <w:r w:rsidRPr="00F517FE">
        <w:t>će</w:t>
      </w:r>
      <w:proofErr w:type="gramEnd"/>
      <w:r w:rsidR="008A3CAA">
        <w:t xml:space="preserve"> </w:t>
      </w:r>
      <w:r w:rsidRPr="00F517FE">
        <w:t>ostvarenju u 201</w:t>
      </w:r>
      <w:r w:rsidR="00ED5324">
        <w:t>9</w:t>
      </w:r>
      <w:r w:rsidRPr="00F517FE">
        <w:t xml:space="preserve">. </w:t>
      </w:r>
      <w:r w:rsidR="008A3CAA" w:rsidRPr="00F517FE">
        <w:t>G</w:t>
      </w:r>
      <w:r w:rsidRPr="00F517FE">
        <w:t>odini</w:t>
      </w:r>
      <w:r w:rsidR="008A3CAA">
        <w:t xml:space="preserve"> </w:t>
      </w:r>
      <w:r w:rsidRPr="00F517FE">
        <w:t>doprinijeti</w:t>
      </w:r>
      <w:r w:rsidR="008A3CAA">
        <w:t xml:space="preserve"> </w:t>
      </w:r>
      <w:r w:rsidRPr="00F517FE">
        <w:t xml:space="preserve">projekti i </w:t>
      </w:r>
      <w:r w:rsidR="008A3CAA">
        <w:t xml:space="preserve">program </w:t>
      </w:r>
      <w:r w:rsidRPr="00F517FE">
        <w:t>nevladinih</w:t>
      </w:r>
      <w:r w:rsidR="008A3CAA">
        <w:t xml:space="preserve"> </w:t>
      </w:r>
      <w:r w:rsidRPr="00F517FE">
        <w:t>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Strateški</w:t>
            </w:r>
            <w:r w:rsidR="008A3CAA">
              <w:rPr>
                <w:rFonts w:ascii="Calibri" w:hAnsi="Calibri"/>
              </w:rPr>
              <w:t xml:space="preserve"> </w:t>
            </w:r>
            <w:proofErr w:type="gramStart"/>
            <w:r w:rsidRPr="004B45C9">
              <w:rPr>
                <w:rFonts w:ascii="Calibri" w:hAnsi="Calibri"/>
              </w:rPr>
              <w:t>cilj(</w:t>
            </w:r>
            <w:proofErr w:type="gramEnd"/>
            <w:r w:rsidRPr="004B45C9">
              <w:rPr>
                <w:rFonts w:ascii="Calibri" w:hAnsi="Calibri"/>
              </w:rPr>
              <w:t>evi) čijem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ostvarenju</w:t>
            </w:r>
            <w:r w:rsidR="008A3CAA">
              <w:rPr>
                <w:rFonts w:ascii="Calibri" w:hAnsi="Calibri"/>
              </w:rPr>
              <w:t xml:space="preserve"> </w:t>
            </w:r>
            <w:r w:rsidR="008C51C2">
              <w:rPr>
                <w:rFonts w:ascii="Calibri" w:hAnsi="Calibri"/>
              </w:rPr>
              <w:t>će</w:t>
            </w:r>
            <w:r w:rsidR="008A3CAA">
              <w:rPr>
                <w:rFonts w:ascii="Calibri" w:hAnsi="Calibri"/>
              </w:rPr>
              <w:t xml:space="preserve"> </w:t>
            </w:r>
            <w:r w:rsidR="008C51C2">
              <w:rPr>
                <w:rFonts w:ascii="Calibri" w:hAnsi="Calibri"/>
              </w:rPr>
              <w:t>doprinijeti</w:t>
            </w:r>
            <w:r w:rsidR="008A3CAA">
              <w:rPr>
                <w:rFonts w:ascii="Calibri" w:hAnsi="Calibri"/>
              </w:rPr>
              <w:t xml:space="preserve"> </w:t>
            </w:r>
            <w:r w:rsidR="008C51C2">
              <w:rPr>
                <w:rFonts w:ascii="Calibri" w:hAnsi="Calibri"/>
              </w:rPr>
              <w:t>javni</w:t>
            </w:r>
            <w:r w:rsidR="008A3CAA">
              <w:rPr>
                <w:rFonts w:ascii="Calibri" w:hAnsi="Calibri"/>
              </w:rPr>
              <w:t xml:space="preserve"> </w:t>
            </w:r>
            <w:r w:rsidR="008C51C2">
              <w:rPr>
                <w:rFonts w:ascii="Calibri" w:hAnsi="Calibri"/>
              </w:rPr>
              <w:t xml:space="preserve">konkurs za </w:t>
            </w:r>
            <w:r w:rsidRPr="004B45C9">
              <w:rPr>
                <w:rFonts w:ascii="Calibri" w:hAnsi="Calibri"/>
              </w:rPr>
              <w:t>projekte i programe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nevladinih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organizacija</w:t>
            </w:r>
            <w:r w:rsidR="008A3CAA">
              <w:rPr>
                <w:rFonts w:ascii="Calibri" w:hAnsi="Calibri"/>
              </w:rPr>
              <w:t xml:space="preserve"> </w:t>
            </w:r>
            <w:r w:rsidR="00EC69BE">
              <w:rPr>
                <w:rFonts w:ascii="Calibri" w:hAnsi="Calibri"/>
              </w:rPr>
              <w:t>u 2019.</w:t>
            </w:r>
            <w:r w:rsidRPr="004B45C9">
              <w:rPr>
                <w:rFonts w:ascii="Calibri" w:hAnsi="Calibri"/>
              </w:rPr>
              <w:t xml:space="preserve">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na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koji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će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javni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konkurs za</w:t>
            </w:r>
            <w:r w:rsidR="008A3CAA">
              <w:rPr>
                <w:rFonts w:ascii="Calibri" w:hAnsi="Calibri"/>
              </w:rPr>
              <w:t xml:space="preserve"> </w:t>
            </w:r>
            <w:r w:rsidR="008C51C2">
              <w:rPr>
                <w:rFonts w:ascii="Calibri" w:hAnsi="Calibri"/>
              </w:rPr>
              <w:t>projekte i programe</w:t>
            </w:r>
            <w:r w:rsidR="008A3CAA">
              <w:rPr>
                <w:rFonts w:ascii="Calibri" w:hAnsi="Calibri"/>
              </w:rPr>
              <w:t xml:space="preserve"> </w:t>
            </w:r>
            <w:r w:rsidR="008C51C2">
              <w:rPr>
                <w:rFonts w:ascii="Calibri" w:hAnsi="Calibri"/>
              </w:rPr>
              <w:t>nevladinih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organizacija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doprinijeti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ostvarenju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strateških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ciljeva(ukratko</w:t>
            </w:r>
            <w:r w:rsidR="008A3CAA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4B45C9" w:rsidRPr="00510F37" w:rsidRDefault="00EC69BE" w:rsidP="004B45C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Strateški cilj kojem će javni konkurs doprinijeti odnosi se na stvaranje efikasne, ekonomične i srevisno-orjentisane javne uprave, koju karakteriše povjerenje građana</w:t>
            </w:r>
            <w:r w:rsidR="00414CA5">
              <w:rPr>
                <w:rFonts w:ascii="Calibri" w:hAnsi="Calibri"/>
              </w:rPr>
              <w:t xml:space="preserve"> u njen rad.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15AC0" w:rsidRDefault="00414CA5" w:rsidP="003461B0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Javni konkurs će obezbijediti da, kroz zajedničko djelovanje i partnerski odnos Ministarstva javne uprave i nevladinih organizacija,</w:t>
            </w:r>
            <w:r w:rsidR="00ED7618">
              <w:rPr>
                <w:rFonts w:ascii="Calibri" w:hAnsi="Calibri"/>
              </w:rPr>
              <w:t xml:space="preserve"> </w:t>
            </w:r>
            <w:proofErr w:type="gramStart"/>
            <w:r w:rsidR="00ED7618">
              <w:rPr>
                <w:rFonts w:ascii="Calibri" w:hAnsi="Calibri"/>
              </w:rPr>
              <w:t>a</w:t>
            </w:r>
            <w:proofErr w:type="gramEnd"/>
            <w:r w:rsidR="00ED7618">
              <w:rPr>
                <w:rFonts w:ascii="Calibri" w:hAnsi="Calibri"/>
              </w:rPr>
              <w:t xml:space="preserve"> uz kreativni pristup, </w:t>
            </w:r>
            <w:r>
              <w:rPr>
                <w:rFonts w:ascii="Calibri" w:hAnsi="Calibri"/>
              </w:rPr>
              <w:t xml:space="preserve">podignemo svijest građana o neophodnosti njihovog učešća u proces donošenja odluka. </w:t>
            </w:r>
            <w:r w:rsidR="00F73571">
              <w:rPr>
                <w:rFonts w:ascii="Calibri" w:hAnsi="Calibri"/>
              </w:rPr>
              <w:t xml:space="preserve">Uz to, </w:t>
            </w:r>
            <w:r w:rsidR="00015AC0">
              <w:rPr>
                <w:rFonts w:ascii="Calibri" w:hAnsi="Calibri"/>
              </w:rPr>
              <w:t xml:space="preserve">istraživačkim projektima </w:t>
            </w:r>
            <w:r w:rsidR="00B309AA">
              <w:rPr>
                <w:rFonts w:ascii="Calibri" w:hAnsi="Calibri"/>
              </w:rPr>
              <w:t>unaprijediće se potstranica</w:t>
            </w:r>
            <w:r w:rsidR="00015AC0">
              <w:rPr>
                <w:rFonts w:ascii="Calibri" w:hAnsi="Calibri"/>
              </w:rPr>
              <w:t xml:space="preserve"> eParticipacije uslugama koje su građani prepoznali kao njihovu potrebu.</w:t>
            </w:r>
          </w:p>
          <w:p w:rsidR="00015AC0" w:rsidRDefault="00015AC0" w:rsidP="00ED7618">
            <w:pPr>
              <w:spacing w:after="0"/>
              <w:rPr>
                <w:rFonts w:ascii="Calibri" w:hAnsi="Calibri"/>
              </w:rPr>
            </w:pPr>
          </w:p>
          <w:p w:rsidR="004B45C9" w:rsidRPr="00510F37" w:rsidRDefault="003461B0" w:rsidP="003461B0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Dakle, to</w:t>
            </w:r>
            <w:r w:rsidR="00414CA5">
              <w:rPr>
                <w:rFonts w:ascii="Calibri" w:hAnsi="Calibri"/>
              </w:rPr>
              <w:t xml:space="preserve"> je pretpostavka ostvarenja napretka u oblasti reforme javne uprave </w:t>
            </w:r>
            <w:r w:rsidR="00ED7618">
              <w:rPr>
                <w:rFonts w:ascii="Calibri" w:hAnsi="Calibri"/>
              </w:rPr>
              <w:t>utemeljenoj na povjerenju građana u njen rad.</w:t>
            </w: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>Navesti javne konkurse</w:t>
      </w:r>
      <w:r w:rsidR="005B46E5">
        <w:t xml:space="preserve"> </w:t>
      </w:r>
      <w:r w:rsidRPr="00FF5B24">
        <w:t xml:space="preserve">koji se predlažu za objavljivanje </w:t>
      </w:r>
      <w:r w:rsidR="00CD027B">
        <w:t>u 2019</w:t>
      </w:r>
      <w:r w:rsidRPr="00FF5B24">
        <w:t xml:space="preserve">. </w:t>
      </w:r>
      <w:proofErr w:type="gramStart"/>
      <w:r w:rsidRPr="00FF5B24">
        <w:t>godini</w:t>
      </w:r>
      <w:proofErr w:type="gramEnd"/>
      <w:r w:rsidRPr="00FF5B24">
        <w:t xml:space="preserve"> u cilju</w:t>
      </w:r>
      <w:r w:rsidR="005B46E5">
        <w:t xml:space="preserve"> </w:t>
      </w:r>
      <w:r w:rsidRPr="00FF5B24">
        <w:t>doprinosa</w:t>
      </w:r>
      <w:r w:rsidR="005B46E5">
        <w:t xml:space="preserve"> </w:t>
      </w:r>
      <w:r w:rsidRPr="00FF5B24">
        <w:t>ostvarenju</w:t>
      </w:r>
      <w:r w:rsidR="005B46E5">
        <w:t xml:space="preserve"> </w:t>
      </w:r>
      <w:r w:rsidRPr="00FF5B24">
        <w:t>strateških</w:t>
      </w:r>
      <w:r w:rsidR="005B46E5">
        <w:t xml:space="preserve"> </w:t>
      </w:r>
      <w:r w:rsidRPr="00FF5B24">
        <w:t>ciljeva</w:t>
      </w:r>
      <w:r w:rsidR="005B46E5">
        <w:t xml:space="preserve"> </w:t>
      </w:r>
      <w:r w:rsidRPr="00FF5B24">
        <w:t>iz</w:t>
      </w:r>
      <w:r w:rsidR="005B46E5">
        <w:t xml:space="preserve"> </w:t>
      </w:r>
      <w:r w:rsidRPr="00FF5B24">
        <w:t>sektorske</w:t>
      </w:r>
      <w:r w:rsidR="005B46E5">
        <w:t xml:space="preserve"> </w:t>
      </w:r>
      <w:r w:rsidRPr="00FF5B24">
        <w:t>nadležnosti (iztačke 3.1.), uz</w:t>
      </w:r>
      <w:r w:rsidR="005B46E5">
        <w:t xml:space="preserve"> </w:t>
      </w:r>
      <w:r w:rsidRPr="00FF5B24">
        <w:t>prijedlog</w:t>
      </w:r>
      <w:r w:rsidR="005B46E5">
        <w:t xml:space="preserve"> </w:t>
      </w:r>
      <w:r w:rsidRPr="00FF5B24">
        <w:t>potrebnih</w:t>
      </w:r>
      <w:r w:rsidR="005B46E5">
        <w:t xml:space="preserve"> </w:t>
      </w:r>
      <w:r w:rsidRPr="00FF5B24">
        <w:t>iznosa. Ukoliko</w:t>
      </w:r>
      <w:r w:rsidR="005B46E5">
        <w:t xml:space="preserve"> </w:t>
      </w:r>
      <w:r w:rsidRPr="00FF5B24">
        <w:t>postoji</w:t>
      </w:r>
      <w:r w:rsidR="005B46E5">
        <w:t xml:space="preserve"> </w:t>
      </w:r>
      <w:r w:rsidRPr="00FF5B24">
        <w:t>mogućnost</w:t>
      </w:r>
      <w:r w:rsidR="005B46E5">
        <w:t xml:space="preserve"> </w:t>
      </w:r>
      <w:r w:rsidRPr="00FF5B24">
        <w:t>preklapanja s javnim</w:t>
      </w:r>
      <w:r w:rsidR="005B46E5">
        <w:t xml:space="preserve"> </w:t>
      </w:r>
      <w:r w:rsidRPr="00FF5B24">
        <w:t>konkursima</w:t>
      </w:r>
      <w:r w:rsidR="005B46E5">
        <w:t xml:space="preserve"> </w:t>
      </w:r>
      <w:r w:rsidRPr="00FF5B24">
        <w:t>iz</w:t>
      </w:r>
      <w:r w:rsidR="005B46E5">
        <w:t xml:space="preserve"> </w:t>
      </w:r>
      <w:r w:rsidRPr="00FF5B24">
        <w:t xml:space="preserve">nacionalnih, sredstava EU </w:t>
      </w:r>
      <w:proofErr w:type="gramStart"/>
      <w:r w:rsidRPr="00FF5B24">
        <w:t>ili</w:t>
      </w:r>
      <w:proofErr w:type="gramEnd"/>
      <w:r w:rsidR="005B46E5">
        <w:t xml:space="preserve"> </w:t>
      </w:r>
      <w:r w:rsidRPr="00FF5B24">
        <w:t>drugih</w:t>
      </w:r>
      <w:r w:rsidR="005B46E5">
        <w:t xml:space="preserve"> </w:t>
      </w:r>
      <w:r w:rsidRPr="00FF5B24">
        <w:t>vanjskih</w:t>
      </w:r>
      <w:r w:rsidR="005B46E5">
        <w:t xml:space="preserve"> </w:t>
      </w:r>
      <w:r w:rsidRPr="00FF5B24">
        <w:t>fondova</w:t>
      </w:r>
      <w:r w:rsidR="005B46E5">
        <w:t xml:space="preserve"> </w:t>
      </w:r>
      <w:r w:rsidRPr="00FF5B24">
        <w:t>iz</w:t>
      </w:r>
      <w:r w:rsidR="005B46E5">
        <w:t xml:space="preserve"> </w:t>
      </w:r>
      <w:r w:rsidRPr="00FF5B24">
        <w:t>nadležnosti</w:t>
      </w:r>
      <w:r w:rsidR="005B46E5">
        <w:t xml:space="preserve"> </w:t>
      </w:r>
      <w:r w:rsidRPr="00FF5B24">
        <w:t>neke</w:t>
      </w:r>
      <w:r w:rsidR="005B46E5">
        <w:t xml:space="preserve"> </w:t>
      </w:r>
      <w:r w:rsidRPr="00FF5B24">
        <w:t>druge</w:t>
      </w:r>
      <w:r w:rsidR="005B46E5">
        <w:t xml:space="preserve"> </w:t>
      </w:r>
      <w:r w:rsidRPr="00FF5B24">
        <w:t>institucije, navesti s kojim</w:t>
      </w:r>
      <w:r w:rsidR="005B46E5">
        <w:t xml:space="preserve"> </w:t>
      </w:r>
      <w:r w:rsidRPr="00FF5B24">
        <w:t>organom je potrebno</w:t>
      </w:r>
      <w:r w:rsidR="005B46E5">
        <w:t xml:space="preserve"> </w:t>
      </w:r>
      <w:r w:rsidRPr="00FF5B24">
        <w:t>koo</w:t>
      </w:r>
      <w:r w:rsidR="00FF5B24">
        <w:t>rdinirati</w:t>
      </w:r>
      <w:r w:rsidR="005B46E5">
        <w:t xml:space="preserve"> o</w:t>
      </w:r>
      <w:r w:rsidR="00FF5B24">
        <w:t>blasti</w:t>
      </w:r>
      <w:r w:rsidR="005B46E5">
        <w:t xml:space="preserve"> </w:t>
      </w:r>
      <w:r w:rsidR="00FF5B24">
        <w:t>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F470AB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5B46E5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Naziv</w:t>
            </w:r>
            <w:r w:rsidR="005B46E5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javno</w:t>
            </w:r>
            <w:r w:rsidR="005B46E5">
              <w:rPr>
                <w:rFonts w:ascii="Calibri" w:hAnsi="Calibri"/>
              </w:rPr>
              <w:t xml:space="preserve">g </w:t>
            </w:r>
            <w:r w:rsidRPr="004B45C9">
              <w:rPr>
                <w:rFonts w:ascii="Calibri" w:hAnsi="Calibri"/>
              </w:rPr>
              <w:t>konkursa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Drugi</w:t>
            </w:r>
            <w:r w:rsidR="005B46E5">
              <w:rPr>
                <w:rFonts w:ascii="Calibri" w:hAnsi="Calibri"/>
              </w:rPr>
              <w:t xml:space="preserve"> donator </w:t>
            </w:r>
            <w:r w:rsidRPr="004B45C9">
              <w:rPr>
                <w:rFonts w:ascii="Calibri" w:hAnsi="Calibri"/>
              </w:rPr>
              <w:t>s kojima je potrebno</w:t>
            </w:r>
            <w:r w:rsidR="005B46E5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koordinirati</w:t>
            </w:r>
            <w:r w:rsidR="005B46E5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oblasti</w:t>
            </w:r>
            <w:r w:rsidR="005B46E5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finansiranja</w:t>
            </w: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985744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“eParticipacija – učestvuj,</w:t>
            </w:r>
            <w:r w:rsidR="00DE0A8F">
              <w:rPr>
                <w:rFonts w:ascii="Calibri" w:hAnsi="Calibri"/>
              </w:rPr>
              <w:t xml:space="preserve"> predloži, promijeni</w:t>
            </w:r>
            <w:r>
              <w:rPr>
                <w:rFonts w:ascii="Calibri" w:hAnsi="Calibri"/>
              </w:rPr>
              <w:t>”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010331" w:rsidP="00010331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100.000 eura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t>Navesti</w:t>
      </w:r>
      <w:r w:rsidR="005B46E5">
        <w:t xml:space="preserve"> </w:t>
      </w:r>
      <w:proofErr w:type="gramStart"/>
      <w:r>
        <w:t>ko</w:t>
      </w:r>
      <w:proofErr w:type="gramEnd"/>
      <w:r w:rsidR="005B46E5">
        <w:t xml:space="preserve"> </w:t>
      </w:r>
      <w:r>
        <w:t>su</w:t>
      </w:r>
      <w:r w:rsidR="005B46E5">
        <w:t xml:space="preserve"> </w:t>
      </w:r>
      <w:r>
        <w:t>predviđeni</w:t>
      </w:r>
      <w:r w:rsidR="005B46E5">
        <w:t xml:space="preserve"> </w:t>
      </w:r>
      <w:r>
        <w:t>glavni</w:t>
      </w:r>
      <w:r w:rsidR="005B46E5">
        <w:t xml:space="preserve"> </w:t>
      </w:r>
      <w:r>
        <w:t>korisnici</w:t>
      </w:r>
      <w:r w:rsidR="005B46E5">
        <w:t xml:space="preserve"> </w:t>
      </w:r>
      <w:r>
        <w:t>projekata i programa</w:t>
      </w:r>
      <w:r w:rsidR="005B46E5">
        <w:t xml:space="preserve"> </w:t>
      </w:r>
      <w:r>
        <w:t>koji</w:t>
      </w:r>
      <w:r w:rsidR="005B46E5">
        <w:t xml:space="preserve"> </w:t>
      </w:r>
      <w:r>
        <w:t>će se finansirati</w:t>
      </w:r>
      <w:r w:rsidR="005B46E5">
        <w:t xml:space="preserve"> </w:t>
      </w:r>
      <w:r>
        <w:t>putem</w:t>
      </w:r>
      <w:r w:rsidR="005B46E5">
        <w:t xml:space="preserve"> </w:t>
      </w:r>
      <w:r>
        <w:t>javnog</w:t>
      </w:r>
      <w:r w:rsidR="005B46E5">
        <w:t xml:space="preserve"> </w:t>
      </w:r>
      <w:r>
        <w:t>konkursa. Ukratko</w:t>
      </w:r>
      <w:r w:rsidR="005B46E5">
        <w:t xml:space="preserve"> </w:t>
      </w:r>
      <w:r>
        <w:t>nav</w:t>
      </w:r>
      <w:r w:rsidR="006B441C">
        <w:t>esti</w:t>
      </w:r>
      <w:r w:rsidR="005B46E5">
        <w:t xml:space="preserve"> </w:t>
      </w:r>
      <w:r>
        <w:t>glavna</w:t>
      </w:r>
      <w:r w:rsidR="005B46E5">
        <w:t xml:space="preserve"> </w:t>
      </w:r>
      <w:r>
        <w:t>obilježja</w:t>
      </w:r>
      <w:r w:rsidR="005B46E5">
        <w:t xml:space="preserve"> </w:t>
      </w:r>
      <w:r>
        <w:t>svake</w:t>
      </w:r>
      <w:r w:rsidR="005B46E5">
        <w:t xml:space="preserve"> </w:t>
      </w:r>
      <w:r>
        <w:t>grupe</w:t>
      </w:r>
      <w:r w:rsidR="005B46E5">
        <w:t xml:space="preserve"> </w:t>
      </w:r>
      <w:r>
        <w:t>korisnika, njihov</w:t>
      </w:r>
      <w:r w:rsidR="005B46E5">
        <w:t xml:space="preserve"> </w:t>
      </w:r>
      <w:r>
        <w:t>broj i njihove</w:t>
      </w:r>
      <w:r w:rsidR="005B46E5">
        <w:t xml:space="preserve"> </w:t>
      </w:r>
      <w:r>
        <w:t>potrebe</w:t>
      </w:r>
      <w:r w:rsidR="005B46E5">
        <w:t xml:space="preserve"> </w:t>
      </w:r>
      <w:proofErr w:type="gramStart"/>
      <w:r>
        <w:t>na</w:t>
      </w:r>
      <w:proofErr w:type="gramEnd"/>
      <w:r w:rsidR="005B46E5">
        <w:t xml:space="preserve"> </w:t>
      </w:r>
      <w:r>
        <w:t>koje</w:t>
      </w:r>
      <w:r w:rsidR="005B46E5">
        <w:t xml:space="preserve"> </w:t>
      </w:r>
      <w:r>
        <w:t xml:space="preserve">projekti i </w:t>
      </w:r>
      <w:r w:rsidR="005B46E5">
        <w:t xml:space="preserve">program </w:t>
      </w:r>
      <w:r w:rsidR="00B309AA">
        <w:t>treba da odgovore u 2019</w:t>
      </w:r>
      <w:r>
        <w:t xml:space="preserve">. </w:t>
      </w:r>
      <w:r w:rsidR="00B309AA">
        <w:t xml:space="preserve"> </w:t>
      </w:r>
      <w:proofErr w:type="gramStart"/>
      <w:r>
        <w:t>godini</w:t>
      </w:r>
      <w:proofErr w:type="gramEnd"/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Opis</w:t>
            </w:r>
            <w:r w:rsidR="005B46E5">
              <w:rPr>
                <w:rFonts w:ascii="Calibri" w:hAnsi="Calibri"/>
              </w:rPr>
              <w:t xml:space="preserve"> </w:t>
            </w:r>
            <w:r w:rsidRPr="00F470AB">
              <w:rPr>
                <w:rFonts w:ascii="Calibri" w:hAnsi="Calibri"/>
              </w:rPr>
              <w:t>glavnih</w:t>
            </w:r>
            <w:r w:rsidR="005B46E5">
              <w:rPr>
                <w:rFonts w:ascii="Calibri" w:hAnsi="Calibri"/>
              </w:rPr>
              <w:t xml:space="preserve"> </w:t>
            </w:r>
            <w:r w:rsidRPr="00F470AB">
              <w:rPr>
                <w:rFonts w:ascii="Calibri" w:hAnsi="Calibri"/>
              </w:rPr>
              <w:t>grupa</w:t>
            </w:r>
            <w:r w:rsidR="005B46E5">
              <w:rPr>
                <w:rFonts w:ascii="Calibri" w:hAnsi="Calibri"/>
              </w:rPr>
              <w:t xml:space="preserve"> </w:t>
            </w:r>
            <w:r w:rsidRPr="00F470AB">
              <w:rPr>
                <w:rFonts w:ascii="Calibri" w:hAnsi="Calibri"/>
              </w:rPr>
              <w:t>korisnika, njihov</w:t>
            </w:r>
            <w:r w:rsidR="005B46E5">
              <w:rPr>
                <w:rFonts w:ascii="Calibri" w:hAnsi="Calibri"/>
              </w:rPr>
              <w:t xml:space="preserve"> </w:t>
            </w:r>
            <w:r w:rsidRPr="00F470AB">
              <w:rPr>
                <w:rFonts w:ascii="Calibri" w:hAnsi="Calibri"/>
              </w:rPr>
              <w:t>broj i potrebe</w:t>
            </w:r>
          </w:p>
        </w:tc>
      </w:tr>
      <w:tr w:rsidR="00F470AB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410C1B" w:rsidRDefault="00410C1B" w:rsidP="00F74101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Širok je dijapazon korisnika koji će imati benefite od realizacije projekata nevladinih organizacija. Sektorskom analizom prepoznate su sljedeće grupe korisnika:</w:t>
            </w:r>
          </w:p>
          <w:p w:rsidR="00410C1B" w:rsidRDefault="00410C1B" w:rsidP="00410C1B">
            <w:pPr>
              <w:spacing w:after="0"/>
              <w:rPr>
                <w:rFonts w:ascii="Calibri" w:hAnsi="Calibri"/>
              </w:rPr>
            </w:pPr>
          </w:p>
          <w:p w:rsidR="00410C1B" w:rsidRDefault="00410C1B" w:rsidP="00410C1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/>
              </w:rPr>
            </w:pPr>
            <w:r w:rsidRPr="002A29C3">
              <w:rPr>
                <w:rFonts w:ascii="Calibri" w:hAnsi="Calibri"/>
                <w:b/>
              </w:rPr>
              <w:t>Ministarstvo javne uprave</w:t>
            </w:r>
            <w:r w:rsidRPr="002A29C3">
              <w:rPr>
                <w:rFonts w:ascii="Calibri" w:hAnsi="Calibri"/>
              </w:rPr>
              <w:t xml:space="preserve"> </w:t>
            </w:r>
          </w:p>
          <w:p w:rsidR="00410C1B" w:rsidRPr="009419BD" w:rsidRDefault="00410C1B" w:rsidP="00F74101">
            <w:pPr>
              <w:spacing w:after="0"/>
              <w:jc w:val="both"/>
              <w:rPr>
                <w:rFonts w:ascii="Calibri" w:hAnsi="Calibri"/>
              </w:rPr>
            </w:pPr>
            <w:r w:rsidRPr="009419BD">
              <w:rPr>
                <w:rFonts w:ascii="Calibri" w:hAnsi="Calibri"/>
              </w:rPr>
              <w:t xml:space="preserve">Ministarstvo kao ključni nosilac reformskih aktivnosti u oblasti javne uprave, kroz realizaciju ovih projekata dobiće jasniju sliku o stavovima građana vezanih za njihovo učešće u proces donošenja odluka. Na taj način biće nam na raspolaganju konkretni inputi u kom pravcu država treba da djeluje da bi zadovoljila potrebe građana i motivisala ih da budu aktivni sudionici donošenja važnih odluka za cjelokupno društvo. Jer, cilj reforme javne uprave jeste povećanje povjerenja građana u njen rad, </w:t>
            </w:r>
            <w:proofErr w:type="gramStart"/>
            <w:r w:rsidRPr="009419BD">
              <w:rPr>
                <w:rFonts w:ascii="Calibri" w:hAnsi="Calibri"/>
              </w:rPr>
              <w:t>a</w:t>
            </w:r>
            <w:proofErr w:type="gramEnd"/>
            <w:r w:rsidRPr="009419BD">
              <w:rPr>
                <w:rFonts w:ascii="Calibri" w:hAnsi="Calibri"/>
              </w:rPr>
              <w:t xml:space="preserve"> uključivanjem građana u proces donošenja odluka nesumnjivo i nedvosmisleno znači rast njihovog povjerenja u institucije sistema. Uz to, realizacija projekata i njihovi ishodi mogu biti dobra polazna osnova za izradu novog strateškog dokumenta za reformu javne uprave nakon 2020. </w:t>
            </w:r>
            <w:proofErr w:type="gramStart"/>
            <w:r w:rsidRPr="009419BD">
              <w:rPr>
                <w:rFonts w:ascii="Calibri" w:hAnsi="Calibri"/>
              </w:rPr>
              <w:t>godine</w:t>
            </w:r>
            <w:proofErr w:type="gramEnd"/>
            <w:r w:rsidRPr="009419BD">
              <w:rPr>
                <w:rFonts w:ascii="Calibri" w:hAnsi="Calibri"/>
              </w:rPr>
              <w:t xml:space="preserve"> u dijelu koji se odnosi na unapređenje eParticipacije, kao važnog demokratskog mehanizma u našem društvu.</w:t>
            </w:r>
          </w:p>
          <w:p w:rsidR="00410C1B" w:rsidRPr="00DC7644" w:rsidRDefault="00410C1B" w:rsidP="00410C1B">
            <w:pPr>
              <w:pStyle w:val="ListParagraph"/>
              <w:spacing w:after="0"/>
              <w:rPr>
                <w:rFonts w:ascii="Calibri" w:hAnsi="Calibri"/>
              </w:rPr>
            </w:pPr>
          </w:p>
          <w:p w:rsidR="00410C1B" w:rsidRDefault="00410C1B" w:rsidP="00410C1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/>
              </w:rPr>
            </w:pPr>
            <w:r w:rsidRPr="0018361A">
              <w:rPr>
                <w:rFonts w:ascii="Calibri" w:hAnsi="Calibri"/>
                <w:b/>
              </w:rPr>
              <w:t>Organi državne uprave</w:t>
            </w:r>
            <w:r w:rsidRPr="0018361A">
              <w:rPr>
                <w:rFonts w:ascii="Calibri" w:hAnsi="Calibri"/>
              </w:rPr>
              <w:t xml:space="preserve">  </w:t>
            </w:r>
          </w:p>
          <w:p w:rsidR="00410C1B" w:rsidRPr="009419BD" w:rsidRDefault="00410C1B" w:rsidP="00F74101">
            <w:pPr>
              <w:spacing w:after="0"/>
              <w:jc w:val="both"/>
              <w:rPr>
                <w:rFonts w:ascii="Calibri" w:hAnsi="Calibri"/>
              </w:rPr>
            </w:pPr>
            <w:r w:rsidRPr="009419BD">
              <w:rPr>
                <w:rFonts w:ascii="Calibri" w:hAnsi="Calibri"/>
              </w:rPr>
              <w:t xml:space="preserve">Zahvaljujući projektima nevladinih organizacija koji će doprinijeti većem učešću građana u postupcima donošenja zakona i drugih strateških dokumenata, organi državne uprave će pripremati kvalitetnija zakonska rješenja čija implementacija će biti na znatno većem nivou. </w:t>
            </w:r>
            <w:r>
              <w:rPr>
                <w:rFonts w:ascii="Calibri" w:hAnsi="Calibri"/>
              </w:rPr>
              <w:t>Dakle, participacija građana obezbjeđuje da javne politike budu utemeljene na realnim potrebama građana. O</w:t>
            </w:r>
            <w:r w:rsidRPr="009419BD">
              <w:rPr>
                <w:rFonts w:ascii="Calibri" w:hAnsi="Calibri"/>
              </w:rPr>
              <w:t>d posebn</w:t>
            </w:r>
            <w:r>
              <w:rPr>
                <w:rFonts w:ascii="Calibri" w:hAnsi="Calibri"/>
              </w:rPr>
              <w:t>og je značaja za organe državne uprave</w:t>
            </w:r>
            <w:r w:rsidRPr="009419BD">
              <w:rPr>
                <w:rFonts w:ascii="Calibri" w:hAnsi="Calibri"/>
              </w:rPr>
              <w:t xml:space="preserve"> kada građani pružaju doprinos u zakonskom uređivanju neke društvene oblasti jer su onda njihove potrebe jasne organima i znaju</w:t>
            </w:r>
            <w:r w:rsidR="00F74101">
              <w:rPr>
                <w:rFonts w:ascii="Calibri" w:hAnsi="Calibri"/>
              </w:rPr>
              <w:t xml:space="preserve"> u kom pravcu treba da usmjere </w:t>
            </w:r>
            <w:r w:rsidRPr="009419BD">
              <w:rPr>
                <w:rFonts w:ascii="Calibri" w:hAnsi="Calibri"/>
              </w:rPr>
              <w:t>razvojni put društva.</w:t>
            </w:r>
            <w:r>
              <w:rPr>
                <w:rFonts w:ascii="Calibri" w:hAnsi="Calibri"/>
              </w:rPr>
              <w:t xml:space="preserve"> To znači da će organi državne uprave kreirati javne politike koje su bliske stvarnim potrebama građana.</w:t>
            </w:r>
            <w:r w:rsidRPr="009419B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Uz to</w:t>
            </w:r>
            <w:r w:rsidRPr="009419BD">
              <w:rPr>
                <w:rFonts w:ascii="Calibri" w:hAnsi="Calibri"/>
              </w:rPr>
              <w:t xml:space="preserve">, na ovaj način dodatno će se afirmisati principi odgovornosti, otvorenosti i transparentnosti uprave, što potvrđuje našu istrajnost u odluci da učvrstimo stabilnost institucija. </w:t>
            </w:r>
            <w:r>
              <w:rPr>
                <w:rFonts w:ascii="Calibri" w:hAnsi="Calibri"/>
              </w:rPr>
              <w:t>Takođe</w:t>
            </w:r>
            <w:r w:rsidRPr="009419BD">
              <w:rPr>
                <w:rFonts w:ascii="Calibri" w:hAnsi="Calibri"/>
              </w:rPr>
              <w:t>, zahvaljujući istraživanju potreba građana organi državne uprave dobiće jasne smjernice koje su to usluge</w:t>
            </w:r>
            <w:r w:rsidR="00F74101">
              <w:rPr>
                <w:rFonts w:ascii="Calibri" w:hAnsi="Calibri"/>
              </w:rPr>
              <w:t>,</w:t>
            </w:r>
            <w:r w:rsidRPr="009419BD">
              <w:rPr>
                <w:rFonts w:ascii="Calibri" w:hAnsi="Calibri"/>
              </w:rPr>
              <w:t xml:space="preserve"> u okviru </w:t>
            </w:r>
            <w:r w:rsidR="00F74101">
              <w:rPr>
                <w:rFonts w:ascii="Calibri" w:hAnsi="Calibri"/>
              </w:rPr>
              <w:t>njihove nadležnosti, potrebne građanima a mogu se ostvariti putem mehanizma eParticipacije.</w:t>
            </w:r>
          </w:p>
          <w:p w:rsidR="00410C1B" w:rsidRPr="0090662B" w:rsidRDefault="00410C1B" w:rsidP="00410C1B">
            <w:pPr>
              <w:pStyle w:val="ListParagraph"/>
              <w:rPr>
                <w:rFonts w:ascii="Calibri" w:hAnsi="Calibri"/>
              </w:rPr>
            </w:pPr>
          </w:p>
          <w:p w:rsidR="00410C1B" w:rsidRPr="00410C1B" w:rsidRDefault="00410C1B" w:rsidP="00410C1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/>
                <w:b/>
              </w:rPr>
            </w:pPr>
            <w:r w:rsidRPr="00410C1B">
              <w:rPr>
                <w:rFonts w:ascii="Calibri" w:hAnsi="Calibri"/>
                <w:b/>
              </w:rPr>
              <w:t>Građani</w:t>
            </w:r>
          </w:p>
          <w:p w:rsidR="00410C1B" w:rsidRDefault="00410C1B" w:rsidP="00F74101">
            <w:pPr>
              <w:spacing w:after="0"/>
              <w:jc w:val="both"/>
              <w:rPr>
                <w:rFonts w:ascii="Calibri" w:hAnsi="Calibri"/>
              </w:rPr>
            </w:pPr>
            <w:r w:rsidRPr="009419B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Kao što je već navedeno, učešće građana u društveno-političkim procesima ključni je pokazatelj stepena razvijenosti društva i demokratije u njemu. Očekivanje je da će realizacijom projekata nevladinih organizacija građani biti motivisani i osnaženi da u punom kapacitetu koriste svoja prava da aktivno učestvuju u procesu donošenja odluka i na taj način utiču da javne politike budu u skladu sa njihovim potrebama. Dakle, građani će biti informisani</w:t>
            </w:r>
            <w:proofErr w:type="gramStart"/>
            <w:r>
              <w:rPr>
                <w:rFonts w:ascii="Calibri" w:hAnsi="Calibri"/>
              </w:rPr>
              <w:t>,edukovani</w:t>
            </w:r>
            <w:proofErr w:type="gramEnd"/>
            <w:r>
              <w:rPr>
                <w:rFonts w:ascii="Calibri" w:hAnsi="Calibri"/>
              </w:rPr>
              <w:t xml:space="preserve"> i motivisani da koriste postojeće mehanizme za učešće u procesu donošenja odluka. Na taj način doprinijećemo podizanju svijesti naših građana o važnosti njihove participacije u oblikovanju društveno-političkih prilika.</w:t>
            </w:r>
          </w:p>
          <w:p w:rsidR="00410C1B" w:rsidRPr="009419BD" w:rsidRDefault="00410C1B" w:rsidP="00410C1B">
            <w:pPr>
              <w:spacing w:after="0"/>
              <w:rPr>
                <w:rFonts w:ascii="Calibri" w:hAnsi="Calibri"/>
              </w:rPr>
            </w:pPr>
          </w:p>
          <w:p w:rsidR="00410C1B" w:rsidRPr="00410C1B" w:rsidRDefault="00410C1B" w:rsidP="00410C1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/>
                <w:b/>
              </w:rPr>
            </w:pPr>
            <w:r w:rsidRPr="00410C1B">
              <w:rPr>
                <w:rFonts w:ascii="Calibri" w:hAnsi="Calibri"/>
                <w:b/>
              </w:rPr>
              <w:t>Privreda</w:t>
            </w:r>
          </w:p>
          <w:p w:rsidR="00F470AB" w:rsidRPr="00510F37" w:rsidRDefault="00410C1B" w:rsidP="00F74101">
            <w:pPr>
              <w:spacing w:after="0"/>
              <w:jc w:val="both"/>
              <w:rPr>
                <w:rFonts w:ascii="Calibri" w:hAnsi="Calibri"/>
              </w:rPr>
            </w:pPr>
            <w:r w:rsidRPr="00956A5D">
              <w:rPr>
                <w:rFonts w:ascii="Calibri" w:hAnsi="Calibri"/>
              </w:rPr>
              <w:t>Reforma javne uprave, između ostalog, prioritetno je usmjerena na poboljšanje konkurentnosti privrede. Jačanjem mehanizama učešća javnosti u donošenju odluka može imati itekako pozitivne efekte na razvoj i konkurentnost privrede. Jer, donošenjem zakona koji korespondiraju sa potrebama privrede (a to se može obezbijediti samo kroz kvalitetnu dvosmjernu komunikaciju na relacija organi državne uprave-privreda), unaprijedićemo poslovni ambijent, te imati zadovoljnu privredu što će kao krajnji rezultat imati jač</w:t>
            </w:r>
            <w:r w:rsidR="002657F5" w:rsidRPr="00956A5D">
              <w:rPr>
                <w:rFonts w:ascii="Calibri" w:hAnsi="Calibri"/>
              </w:rPr>
              <w:t>anje ekonomije i ekonomskog razv</w:t>
            </w:r>
            <w:r w:rsidRPr="00956A5D">
              <w:rPr>
                <w:rFonts w:ascii="Calibri" w:hAnsi="Calibri"/>
              </w:rPr>
              <w:t>oja države.</w:t>
            </w:r>
          </w:p>
        </w:tc>
      </w:tr>
    </w:tbl>
    <w:p w:rsidR="00F470AB" w:rsidRDefault="00F470AB" w:rsidP="00F470AB">
      <w:pPr>
        <w:ind w:left="792"/>
      </w:pPr>
    </w:p>
    <w:p w:rsidR="00D170E4" w:rsidRDefault="00D170E4" w:rsidP="00D170E4">
      <w:pPr>
        <w:pStyle w:val="ListParagraph"/>
        <w:ind w:left="792"/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>Navesti</w:t>
      </w:r>
      <w:r w:rsidR="005B46E5">
        <w:t xml:space="preserve"> </w:t>
      </w:r>
      <w:r>
        <w:t>očekivani</w:t>
      </w:r>
      <w:r w:rsidR="005B46E5">
        <w:t xml:space="preserve"> </w:t>
      </w:r>
      <w:r>
        <w:t>ukupni</w:t>
      </w:r>
      <w:r w:rsidR="005B46E5">
        <w:t xml:space="preserve"> </w:t>
      </w:r>
      <w:r>
        <w:t>broj</w:t>
      </w:r>
      <w:r w:rsidR="005B46E5">
        <w:t xml:space="preserve"> </w:t>
      </w:r>
      <w:r>
        <w:t>ugovorenih</w:t>
      </w:r>
      <w:r w:rsidR="005B46E5">
        <w:t xml:space="preserve"> </w:t>
      </w:r>
      <w:r>
        <w:t>projekata, odnosno</w:t>
      </w:r>
      <w:r w:rsidR="005B46E5">
        <w:t xml:space="preserve"> </w:t>
      </w:r>
      <w:r>
        <w:t>ugovora</w:t>
      </w:r>
      <w:r w:rsidR="005B46E5">
        <w:t xml:space="preserve"> </w:t>
      </w:r>
      <w:r>
        <w:t>koji se planira</w:t>
      </w:r>
      <w:r w:rsidR="005B46E5">
        <w:t xml:space="preserve"> </w:t>
      </w:r>
      <w:r>
        <w:t xml:space="preserve">zaključiti s nevladinim organizacijama </w:t>
      </w:r>
      <w:proofErr w:type="gramStart"/>
      <w:r>
        <w:t>na</w:t>
      </w:r>
      <w:proofErr w:type="gramEnd"/>
      <w:r w:rsidR="005B46E5">
        <w:t xml:space="preserve"> </w:t>
      </w:r>
      <w:r>
        <w:t>osnovu</w:t>
      </w:r>
      <w:r w:rsidR="005B46E5">
        <w:t xml:space="preserve"> j</w:t>
      </w:r>
      <w:r>
        <w:t>avnog</w:t>
      </w:r>
      <w:r w:rsidR="005B46E5">
        <w:t xml:space="preserve"> </w:t>
      </w:r>
      <w:r>
        <w:t>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F470AB" w:rsidTr="00F470A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</w:t>
            </w:r>
            <w:r w:rsidR="005B46E5">
              <w:rPr>
                <w:rFonts w:ascii="Calibri" w:hAnsi="Calibri"/>
              </w:rPr>
              <w:t xml:space="preserve"> </w:t>
            </w:r>
            <w:r w:rsidRPr="00F470AB">
              <w:rPr>
                <w:rFonts w:ascii="Calibri" w:hAnsi="Calibri"/>
              </w:rPr>
              <w:t>broj</w:t>
            </w:r>
            <w:r w:rsidR="005B46E5">
              <w:rPr>
                <w:rFonts w:ascii="Calibri" w:hAnsi="Calibri"/>
              </w:rPr>
              <w:t xml:space="preserve"> </w:t>
            </w:r>
            <w:r w:rsidRPr="00F470AB">
              <w:rPr>
                <w:rFonts w:ascii="Calibri" w:hAnsi="Calibri"/>
              </w:rPr>
              <w:t>projekata</w:t>
            </w:r>
            <w:r w:rsidR="005B46E5">
              <w:rPr>
                <w:rFonts w:ascii="Calibri" w:hAnsi="Calibri"/>
              </w:rPr>
              <w:t xml:space="preserve"> </w:t>
            </w:r>
            <w:r w:rsidRPr="00F470AB">
              <w:rPr>
                <w:rFonts w:ascii="Calibri" w:hAnsi="Calibri"/>
              </w:rPr>
              <w:t>koji se planira</w:t>
            </w:r>
            <w:r w:rsidR="005B46E5">
              <w:rPr>
                <w:rFonts w:ascii="Calibri" w:hAnsi="Calibri"/>
              </w:rPr>
              <w:t xml:space="preserve"> </w:t>
            </w:r>
            <w:r w:rsidRPr="00F470AB">
              <w:rPr>
                <w:rFonts w:ascii="Calibri" w:hAnsi="Calibri"/>
              </w:rPr>
              <w:t>finansirati / broj</w:t>
            </w:r>
            <w:r w:rsidR="005B46E5">
              <w:rPr>
                <w:rFonts w:ascii="Calibri" w:hAnsi="Calibri"/>
              </w:rPr>
              <w:t xml:space="preserve"> </w:t>
            </w:r>
            <w:r w:rsidRPr="00F470AB">
              <w:rPr>
                <w:rFonts w:ascii="Calibri" w:hAnsi="Calibri"/>
              </w:rPr>
              <w:t>ugovora</w:t>
            </w:r>
            <w:r w:rsidR="005B46E5">
              <w:rPr>
                <w:rFonts w:ascii="Calibri" w:hAnsi="Calibri"/>
              </w:rPr>
              <w:t xml:space="preserve"> </w:t>
            </w:r>
            <w:r w:rsidRPr="00F470AB">
              <w:rPr>
                <w:rFonts w:ascii="Calibri" w:hAnsi="Calibri"/>
              </w:rPr>
              <w:t>koje se planira</w:t>
            </w:r>
            <w:r w:rsidR="005B46E5">
              <w:rPr>
                <w:rFonts w:ascii="Calibri" w:hAnsi="Calibri"/>
              </w:rPr>
              <w:t xml:space="preserve"> </w:t>
            </w:r>
            <w:r w:rsidRPr="00F470AB">
              <w:rPr>
                <w:rFonts w:ascii="Calibri" w:hAnsi="Calibri"/>
              </w:rPr>
              <w:t>zaključiti s NVO</w:t>
            </w:r>
          </w:p>
        </w:tc>
      </w:tr>
      <w:tr w:rsidR="00F470AB" w:rsidTr="00B215A4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806934" w:rsidP="00465223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</w:t>
            </w:r>
            <w:r w:rsidR="005B46E5">
              <w:rPr>
                <w:rFonts w:ascii="Calibri" w:hAnsi="Calibri"/>
              </w:rPr>
              <w:t xml:space="preserve"> </w:t>
            </w:r>
            <w:r w:rsidRPr="00806934">
              <w:rPr>
                <w:rFonts w:ascii="Calibri" w:hAnsi="Calibri"/>
              </w:rPr>
              <w:t>javnog</w:t>
            </w:r>
            <w:r w:rsidR="005B46E5">
              <w:rPr>
                <w:rFonts w:ascii="Calibri" w:hAnsi="Calibri"/>
              </w:rPr>
              <w:t xml:space="preserve"> k</w:t>
            </w:r>
            <w:r w:rsidRPr="00806934">
              <w:rPr>
                <w:rFonts w:ascii="Calibri" w:hAnsi="Calibri"/>
              </w:rPr>
              <w:t>onkursa</w:t>
            </w:r>
            <w:r w:rsidR="00465223">
              <w:rPr>
                <w:rFonts w:ascii="Calibri" w:hAnsi="Calibri"/>
              </w:rPr>
              <w:t xml:space="preserve"> 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465223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“eParticipacija – učestvuj,</w:t>
            </w:r>
            <w:r w:rsidR="00DE0A8F">
              <w:rPr>
                <w:rFonts w:ascii="Calibri" w:hAnsi="Calibri"/>
              </w:rPr>
              <w:t xml:space="preserve"> predloži, promijeni</w:t>
            </w:r>
            <w:r>
              <w:rPr>
                <w:rFonts w:ascii="Calibri" w:hAnsi="Calibri"/>
              </w:rPr>
              <w:t xml:space="preserve">”, </w:t>
            </w:r>
            <w:r w:rsidR="00ED03DC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 xml:space="preserve"> ugovora</w:t>
            </w:r>
          </w:p>
        </w:tc>
      </w:tr>
      <w:tr w:rsidR="00F470AB" w:rsidTr="00F470AB">
        <w:tc>
          <w:tcPr>
            <w:tcW w:w="6884" w:type="dxa"/>
            <w:tcMar>
              <w:top w:w="57" w:type="dxa"/>
              <w:bottom w:w="57" w:type="dxa"/>
            </w:tcMar>
          </w:tcPr>
          <w:p w:rsidR="00F470AB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</w:t>
            </w:r>
            <w:r w:rsidR="005B46E5">
              <w:rPr>
                <w:rFonts w:ascii="Calibri" w:hAnsi="Calibri"/>
              </w:rPr>
              <w:t xml:space="preserve"> </w:t>
            </w:r>
            <w:r w:rsidRPr="00806934">
              <w:rPr>
                <w:rFonts w:ascii="Calibri" w:hAnsi="Calibri"/>
              </w:rPr>
              <w:t>javnog</w:t>
            </w:r>
            <w:r w:rsidR="005B46E5">
              <w:rPr>
                <w:rFonts w:ascii="Calibri" w:hAnsi="Calibri"/>
              </w:rPr>
              <w:t xml:space="preserve"> </w:t>
            </w:r>
            <w:r w:rsidRPr="00806934">
              <w:rPr>
                <w:rFonts w:ascii="Calibri" w:hAnsi="Calibri"/>
              </w:rPr>
              <w:t>konkursa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>Navesti</w:t>
      </w:r>
      <w:r w:rsidR="005B46E5">
        <w:t xml:space="preserve"> </w:t>
      </w:r>
      <w:r>
        <w:t>najviši i najniži</w:t>
      </w:r>
      <w:r w:rsidR="005B46E5">
        <w:t xml:space="preserve"> </w:t>
      </w:r>
      <w:r>
        <w:t>iznosi</w:t>
      </w:r>
      <w:r w:rsidR="005B46E5">
        <w:t xml:space="preserve"> </w:t>
      </w:r>
      <w:r>
        <w:t>finansijske</w:t>
      </w:r>
      <w:r w:rsidR="005B46E5">
        <w:t xml:space="preserve"> </w:t>
      </w:r>
      <w:r>
        <w:t>podrške</w:t>
      </w:r>
      <w:r w:rsidR="005B46E5">
        <w:t xml:space="preserve"> </w:t>
      </w:r>
      <w:r>
        <w:t>koju</w:t>
      </w:r>
      <w:r w:rsidR="005B46E5">
        <w:t xml:space="preserve"> </w:t>
      </w:r>
      <w:proofErr w:type="gramStart"/>
      <w:r>
        <w:t>će</w:t>
      </w:r>
      <w:proofErr w:type="gramEnd"/>
      <w:r w:rsidR="005B46E5">
        <w:t xml:space="preserve"> </w:t>
      </w:r>
      <w:r>
        <w:t>biti</w:t>
      </w:r>
      <w:r w:rsidR="005B46E5">
        <w:t xml:space="preserve"> </w:t>
      </w:r>
      <w:r>
        <w:t>moguće</w:t>
      </w:r>
      <w:r w:rsidR="005B46E5">
        <w:t xml:space="preserve"> </w:t>
      </w:r>
      <w:r>
        <w:t>ostvariti</w:t>
      </w:r>
      <w:r w:rsidR="005B46E5">
        <w:t xml:space="preserve"> </w:t>
      </w:r>
      <w:r>
        <w:t>na</w:t>
      </w:r>
      <w:r w:rsidR="005B46E5">
        <w:t xml:space="preserve"> </w:t>
      </w:r>
      <w:r>
        <w:t>osnovu</w:t>
      </w:r>
      <w:r w:rsidR="005B46E5">
        <w:t xml:space="preserve"> </w:t>
      </w:r>
      <w:r>
        <w:t>pojedinačnog</w:t>
      </w:r>
      <w:r w:rsidR="005B46E5">
        <w:t xml:space="preserve"> </w:t>
      </w:r>
      <w:r>
        <w:t>javnog</w:t>
      </w:r>
      <w:r w:rsidR="005B46E5">
        <w:t xml:space="preserve"> </w:t>
      </w:r>
      <w:r>
        <w:t>konkursa</w:t>
      </w:r>
      <w:r w:rsidR="005B46E5">
        <w:t xml:space="preserve"> </w:t>
      </w:r>
      <w:r>
        <w:t>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9A743C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</w:t>
            </w:r>
            <w:r w:rsidR="005B46E5">
              <w:rPr>
                <w:rFonts w:ascii="Calibri" w:hAnsi="Calibri"/>
              </w:rPr>
              <w:t xml:space="preserve"> </w:t>
            </w:r>
            <w:r w:rsidRPr="00806934">
              <w:rPr>
                <w:rFonts w:ascii="Calibri" w:hAnsi="Calibri"/>
              </w:rPr>
              <w:t>javnog</w:t>
            </w:r>
            <w:r w:rsidR="005B46E5">
              <w:rPr>
                <w:rFonts w:ascii="Calibri" w:hAnsi="Calibri"/>
              </w:rPr>
              <w:t xml:space="preserve"> </w:t>
            </w:r>
            <w:r w:rsidR="00A41C80">
              <w:rPr>
                <w:rFonts w:ascii="Calibri" w:hAnsi="Calibri"/>
              </w:rPr>
              <w:t xml:space="preserve"> </w:t>
            </w:r>
            <w:r w:rsidRPr="00806934">
              <w:rPr>
                <w:rFonts w:ascii="Calibri" w:hAnsi="Calibri"/>
              </w:rPr>
              <w:t>konkursa</w:t>
            </w:r>
            <w:r>
              <w:rPr>
                <w:rFonts w:ascii="Calibri" w:hAnsi="Calibri"/>
              </w:rPr>
              <w:t>:</w:t>
            </w:r>
            <w:r w:rsidR="00465223">
              <w:rPr>
                <w:rFonts w:ascii="Calibri" w:hAnsi="Calibri"/>
              </w:rPr>
              <w:t xml:space="preserve"> “eParticipacija – učestvuj,</w:t>
            </w:r>
            <w:r w:rsidR="00DE0A8F">
              <w:rPr>
                <w:rFonts w:ascii="Calibri" w:hAnsi="Calibri"/>
              </w:rPr>
              <w:t xml:space="preserve"> predloži, promijeni</w:t>
            </w:r>
            <w:r w:rsidR="00465223">
              <w:rPr>
                <w:rFonts w:ascii="Calibri" w:hAnsi="Calibri"/>
              </w:rPr>
              <w:t>”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>Najniži</w:t>
            </w:r>
            <w:r w:rsidR="00A41C80">
              <w:t xml:space="preserve"> </w:t>
            </w:r>
            <w:r>
              <w:t>iznos</w:t>
            </w:r>
            <w:r w:rsidR="00A41C80">
              <w:t xml:space="preserve"> </w:t>
            </w:r>
            <w:r>
              <w:t>finansijske</w:t>
            </w:r>
            <w:r w:rsidR="00A41C80">
              <w:t xml:space="preserve"> </w:t>
            </w:r>
            <w:r>
              <w:t>podrške</w:t>
            </w:r>
            <w:r w:rsidR="00A41C80">
              <w:t xml:space="preserve"> </w:t>
            </w:r>
            <w:r>
              <w:t>koju</w:t>
            </w:r>
            <w:r w:rsidR="00A41C80">
              <w:t xml:space="preserve"> </w:t>
            </w:r>
            <w:r>
              <w:t>će</w:t>
            </w:r>
            <w:r w:rsidR="00A41C80">
              <w:t xml:space="preserve"> </w:t>
            </w:r>
            <w:r>
              <w:t>biti</w:t>
            </w:r>
            <w:r w:rsidR="00A41C80">
              <w:t xml:space="preserve"> </w:t>
            </w:r>
            <w:r>
              <w:t>moguće</w:t>
            </w:r>
            <w:r w:rsidR="00A41C80">
              <w:t xml:space="preserve"> </w:t>
            </w:r>
            <w:r>
              <w:t>ostvariti</w:t>
            </w:r>
            <w:r w:rsidR="00A41C80">
              <w:t xml:space="preserve"> </w:t>
            </w:r>
            <w:r>
              <w:t>na</w:t>
            </w:r>
            <w:r w:rsidR="00A41C80">
              <w:t xml:space="preserve"> </w:t>
            </w:r>
            <w:r>
              <w:t>osnovu</w:t>
            </w:r>
            <w:r w:rsidR="00A41C80">
              <w:t xml:space="preserve"> </w:t>
            </w:r>
            <w:r>
              <w:t>javnog</w:t>
            </w:r>
            <w:r w:rsidR="00A41C80">
              <w:t xml:space="preserve"> </w:t>
            </w:r>
            <w:r>
              <w:t>konk</w:t>
            </w:r>
            <w:r w:rsidR="00ED03DC">
              <w:t xml:space="preserve">ursa:  14.000,00 </w:t>
            </w:r>
            <w:r>
              <w:t>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  <w:r>
              <w:t>Najviši</w:t>
            </w:r>
            <w:r w:rsidR="00A41C80">
              <w:t xml:space="preserve"> </w:t>
            </w:r>
            <w:r>
              <w:t>iznos</w:t>
            </w:r>
            <w:r w:rsidR="00A41C80">
              <w:t xml:space="preserve"> </w:t>
            </w:r>
            <w:r>
              <w:t>finansijske</w:t>
            </w:r>
            <w:r w:rsidR="00A41C80">
              <w:t xml:space="preserve"> </w:t>
            </w:r>
            <w:r>
              <w:t>podrške</w:t>
            </w:r>
            <w:r w:rsidR="00A41C80">
              <w:t xml:space="preserve"> </w:t>
            </w:r>
            <w:r>
              <w:t>koju</w:t>
            </w:r>
            <w:r w:rsidR="00A41C80">
              <w:t xml:space="preserve"> </w:t>
            </w:r>
            <w:r>
              <w:t>će</w:t>
            </w:r>
            <w:r w:rsidR="00A41C80">
              <w:t xml:space="preserve"> </w:t>
            </w:r>
            <w:r>
              <w:t>biti</w:t>
            </w:r>
            <w:r w:rsidR="00A41C80">
              <w:t xml:space="preserve"> </w:t>
            </w:r>
            <w:r>
              <w:t>moguće</w:t>
            </w:r>
            <w:r w:rsidR="00A41C80">
              <w:t xml:space="preserve"> </w:t>
            </w:r>
            <w:r>
              <w:t>ostvariti</w:t>
            </w:r>
            <w:r w:rsidR="00A41C80">
              <w:t xml:space="preserve"> </w:t>
            </w:r>
            <w:r>
              <w:t>na</w:t>
            </w:r>
            <w:r w:rsidR="00A41C80">
              <w:t xml:space="preserve"> </w:t>
            </w:r>
            <w:r>
              <w:t>osnovu</w:t>
            </w:r>
            <w:r w:rsidR="00A41C80">
              <w:t xml:space="preserve"> </w:t>
            </w:r>
            <w:r>
              <w:t>javnog</w:t>
            </w:r>
            <w:r w:rsidR="00A41C80">
              <w:t xml:space="preserve"> </w:t>
            </w:r>
            <w:r w:rsidR="00ED03DC">
              <w:t>konkursa:  20.000,00</w:t>
            </w:r>
            <w:r>
              <w:t xml:space="preserve"> 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</w:t>
      </w:r>
      <w:proofErr w:type="gramStart"/>
      <w:r w:rsidRPr="00EE3ADD">
        <w:rPr>
          <w:b/>
        </w:rPr>
        <w:t>:</w:t>
      </w:r>
      <w:r w:rsidRPr="00EE3ADD">
        <w:t>stav</w:t>
      </w:r>
      <w:r>
        <w:t>om</w:t>
      </w:r>
      <w:proofErr w:type="gramEnd"/>
      <w:r w:rsidRPr="00EE3ADD">
        <w:t xml:space="preserve"> 4</w:t>
      </w:r>
      <w:r w:rsidR="00A41C80">
        <w:t xml:space="preserve"> </w:t>
      </w:r>
      <w:r>
        <w:t>č</w:t>
      </w:r>
      <w:r w:rsidRPr="00EE3ADD">
        <w:t>lan</w:t>
      </w:r>
      <w:r>
        <w:t>a</w:t>
      </w:r>
      <w:r w:rsidR="00A41C80">
        <w:t xml:space="preserve"> 32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>Ukupan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iznos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sredstava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koja se na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osnovu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javnog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konkursa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mogu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dodijeliti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nevladinoj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organizaciji za finansiranje</w:t>
      </w:r>
      <w:r w:rsidR="00A41C80">
        <w:rPr>
          <w:b/>
          <w:i/>
        </w:rPr>
        <w:t xml:space="preserve">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programa, ne može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preći 20% od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ukupno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opredijeljenih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sredstava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koja se raspodjeljuju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na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osnovu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tog</w:t>
      </w:r>
      <w:r w:rsidR="00A41C80">
        <w:rPr>
          <w:b/>
          <w:i/>
        </w:rPr>
        <w:t xml:space="preserve"> </w:t>
      </w:r>
      <w:r w:rsidRPr="0030296C">
        <w:rPr>
          <w:b/>
          <w:i/>
        </w:rPr>
        <w:t>konkursa.</w:t>
      </w:r>
      <w:r w:rsidR="0030296C" w:rsidRPr="0030296C">
        <w:rPr>
          <w:b/>
          <w:i/>
        </w:rPr>
        <w:t>”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>Navesti</w:t>
      </w:r>
      <w:r w:rsidR="00A41C80">
        <w:t xml:space="preserve"> </w:t>
      </w:r>
      <w:proofErr w:type="gramStart"/>
      <w:r w:rsidRPr="00FF5B24">
        <w:t>na</w:t>
      </w:r>
      <w:proofErr w:type="gramEnd"/>
      <w:r w:rsidR="00A41C80">
        <w:t xml:space="preserve"> </w:t>
      </w:r>
      <w:r w:rsidRPr="00FF5B24">
        <w:t>koji</w:t>
      </w:r>
      <w:r w:rsidR="00A41C80">
        <w:t xml:space="preserve"> </w:t>
      </w:r>
      <w:r w:rsidRPr="00FF5B24">
        <w:t xml:space="preserve">način je u skladu sa </w:t>
      </w:r>
      <w:r w:rsidR="00FC7A86">
        <w:t>važećim</w:t>
      </w:r>
      <w:r w:rsidR="00A41C80">
        <w:t xml:space="preserve"> </w:t>
      </w:r>
      <w:r w:rsidR="00FC7A86">
        <w:t>propisima</w:t>
      </w:r>
      <w:r w:rsidR="00A41C80">
        <w:t xml:space="preserve"> </w:t>
      </w:r>
      <w:r w:rsidRPr="00FF5B24">
        <w:t>obavljen</w:t>
      </w:r>
      <w:r w:rsidR="00A41C80">
        <w:t xml:space="preserve"> proces </w:t>
      </w:r>
      <w:r w:rsidRPr="00FF5B24">
        <w:t>konsultovanja NVO u procesu</w:t>
      </w:r>
      <w:r w:rsidR="00A41C80">
        <w:t xml:space="preserve"> </w:t>
      </w:r>
      <w:r w:rsidRPr="00FF5B24">
        <w:t>pripreme</w:t>
      </w:r>
      <w:r w:rsidR="00A41C80">
        <w:t xml:space="preserve"> </w:t>
      </w:r>
      <w:r w:rsidRPr="00FF5B24">
        <w:t>sektorske</w:t>
      </w:r>
      <w:r w:rsidR="00A41C80">
        <w:t xml:space="preserve"> </w:t>
      </w:r>
      <w:r w:rsidRPr="00FF5B24">
        <w:t>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Metoda</w:t>
            </w:r>
            <w:r w:rsidR="00A41C80">
              <w:rPr>
                <w:rFonts w:ascii="Calibri" w:hAnsi="Calibri"/>
              </w:rPr>
              <w:t xml:space="preserve"> </w:t>
            </w:r>
            <w:r w:rsidRPr="00893D37">
              <w:rPr>
                <w:rFonts w:ascii="Calibri" w:hAnsi="Calibri"/>
              </w:rPr>
              <w:t>konsultacija (npr. web, email, konsultativnisastanak,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</w:t>
            </w:r>
            <w:r w:rsidR="00A41C80">
              <w:rPr>
                <w:rFonts w:ascii="Calibri" w:hAnsi="Calibri"/>
              </w:rPr>
              <w:t xml:space="preserve"> </w:t>
            </w:r>
            <w:r w:rsidRPr="00893D37">
              <w:rPr>
                <w:rFonts w:ascii="Calibri" w:hAnsi="Calibri"/>
              </w:rPr>
              <w:t>sprovedenih</w:t>
            </w:r>
            <w:r w:rsidR="00A41C80">
              <w:rPr>
                <w:rFonts w:ascii="Calibri" w:hAnsi="Calibri"/>
              </w:rPr>
              <w:t xml:space="preserve"> </w:t>
            </w:r>
            <w:r w:rsidRPr="00893D37">
              <w:rPr>
                <w:rFonts w:ascii="Calibri" w:hAnsi="Calibri"/>
              </w:rPr>
              <w:t>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="00A41C80">
              <w:rPr>
                <w:rFonts w:ascii="Calibri" w:hAnsi="Calibri"/>
              </w:rPr>
              <w:t xml:space="preserve"> </w:t>
            </w:r>
            <w:r w:rsidRPr="00893D37">
              <w:rPr>
                <w:rFonts w:ascii="Calibri" w:hAnsi="Calibri"/>
              </w:rPr>
              <w:t>su</w:t>
            </w:r>
            <w:r w:rsidR="00A41C80">
              <w:rPr>
                <w:rFonts w:ascii="Calibri" w:hAnsi="Calibri"/>
              </w:rPr>
              <w:t xml:space="preserve"> </w:t>
            </w:r>
            <w:r w:rsidRPr="00893D37">
              <w:rPr>
                <w:rFonts w:ascii="Calibri" w:hAnsi="Calibri"/>
              </w:rPr>
              <w:t>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F80715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Dostavljanje predloga, komentara i sugestija na Nacrt Sektorske analize, u skladu sa Javnim pozivom Ministarstva javne uprave nevladinim organizacijama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F80715" w:rsidRDefault="00F80715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Odrzavanje konsultativnog sastanka sa nevladinim organizacijama u skladu sa Javnim pozivom Ministarstva javne uprave nevladinim organizacijama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D170E4" w:rsidRDefault="00D170E4" w:rsidP="00FF5B24"/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>Navesti</w:t>
      </w:r>
      <w:r w:rsidR="00A41C80">
        <w:t xml:space="preserve"> </w:t>
      </w:r>
      <w:r>
        <w:t>broj</w:t>
      </w:r>
      <w:r w:rsidR="00A41C80">
        <w:t xml:space="preserve"> </w:t>
      </w:r>
      <w:r>
        <w:t>službenika/ica i spoljnih</w:t>
      </w:r>
      <w:r w:rsidR="00A41C80">
        <w:t xml:space="preserve"> </w:t>
      </w:r>
      <w:r>
        <w:t>saradnika</w:t>
      </w:r>
      <w:r w:rsidR="00A41C80">
        <w:t xml:space="preserve"> </w:t>
      </w:r>
      <w:r>
        <w:t>koji</w:t>
      </w:r>
      <w:r w:rsidR="00A41C80">
        <w:t xml:space="preserve"> </w:t>
      </w:r>
      <w:proofErr w:type="gramStart"/>
      <w:r>
        <w:t>će</w:t>
      </w:r>
      <w:proofErr w:type="gramEnd"/>
      <w:r w:rsidR="00A41C80">
        <w:t xml:space="preserve"> </w:t>
      </w:r>
      <w:r>
        <w:t>biti</w:t>
      </w:r>
      <w:r w:rsidR="00A41C80">
        <w:t xml:space="preserve"> </w:t>
      </w:r>
      <w:r>
        <w:t>zaduženi za sprovođenje</w:t>
      </w:r>
      <w:r w:rsidR="00A41C80">
        <w:t xml:space="preserve"> </w:t>
      </w:r>
      <w:r>
        <w:t>javnog</w:t>
      </w:r>
      <w:r w:rsidR="00A41C80">
        <w:t xml:space="preserve"> </w:t>
      </w:r>
      <w:r>
        <w:t>konkursa i praćenje</w:t>
      </w:r>
      <w:r w:rsidR="00A41C80">
        <w:t xml:space="preserve"> </w:t>
      </w:r>
      <w:r>
        <w:t>realizacije</w:t>
      </w:r>
      <w:r w:rsidR="00A41C80">
        <w:t xml:space="preserve"> </w:t>
      </w:r>
      <w:r>
        <w:t>finansiranih</w:t>
      </w:r>
      <w:r w:rsidR="00A41C80">
        <w:t xml:space="preserve"> </w:t>
      </w:r>
      <w:r>
        <w:t>projekata i programa</w:t>
      </w:r>
      <w:r w:rsidR="00A41C80">
        <w:t xml:space="preserve"> </w:t>
      </w:r>
      <w:r>
        <w:t>nevladinih</w:t>
      </w:r>
      <w:r w:rsidR="00A41C80">
        <w:t xml:space="preserve"> </w:t>
      </w:r>
      <w:r>
        <w:t>organizacija (uključujući</w:t>
      </w:r>
      <w:r w:rsidR="00A41C80">
        <w:t xml:space="preserve"> </w:t>
      </w:r>
      <w:r>
        <w:t>najmanje</w:t>
      </w:r>
      <w:r w:rsidR="00A41C80">
        <w:t xml:space="preserve"> </w:t>
      </w:r>
      <w:r>
        <w:t>jednu</w:t>
      </w:r>
      <w:r w:rsidR="00A41C80">
        <w:t xml:space="preserve"> </w:t>
      </w:r>
      <w:r>
        <w:t>terensku</w:t>
      </w:r>
      <w:r w:rsidR="00A41C80">
        <w:t xml:space="preserve"> </w:t>
      </w:r>
      <w:r>
        <w:t>posjetu, prilikom</w:t>
      </w:r>
      <w:r w:rsidR="00A41C80">
        <w:t xml:space="preserve"> </w:t>
      </w:r>
      <w:r>
        <w:t>koje</w:t>
      </w:r>
      <w:r w:rsidR="00A41C80">
        <w:t xml:space="preserve"> </w:t>
      </w:r>
      <w:r>
        <w:t>će se provjeravati</w:t>
      </w:r>
      <w:r w:rsidR="00A41C80">
        <w:t xml:space="preserve"> </w:t>
      </w:r>
      <w:r>
        <w:t>izvršavanje</w:t>
      </w:r>
      <w:r w:rsidR="00A41C80">
        <w:t xml:space="preserve"> </w:t>
      </w:r>
      <w:r>
        <w:t>ugovornih</w:t>
      </w:r>
      <w:r w:rsidR="00A41C80">
        <w:t xml:space="preserve"> </w:t>
      </w:r>
      <w:r>
        <w:t>obaveza, namjensko</w:t>
      </w:r>
      <w:r w:rsidR="00A41C80">
        <w:t xml:space="preserve"> </w:t>
      </w:r>
      <w:r>
        <w:t>trošenje</w:t>
      </w:r>
      <w:r w:rsidR="00A41C80">
        <w:t xml:space="preserve"> </w:t>
      </w:r>
      <w:r>
        <w:t>sredstava, te</w:t>
      </w:r>
      <w:r w:rsidR="00A41C80">
        <w:t xml:space="preserve"> </w:t>
      </w:r>
      <w:r>
        <w:t>postizanje</w:t>
      </w:r>
      <w:r w:rsidR="00A41C80">
        <w:t xml:space="preserve"> </w:t>
      </w:r>
      <w:r>
        <w:t>rezultata</w:t>
      </w:r>
      <w:r w:rsidR="00A41C80">
        <w:t xml:space="preserve"> </w:t>
      </w:r>
      <w:r>
        <w:t>planiranih</w:t>
      </w:r>
      <w:r w:rsidR="00A41C80">
        <w:t xml:space="preserve"> </w:t>
      </w:r>
      <w:r>
        <w:t>javnim</w:t>
      </w:r>
      <w:r w:rsidR="00A41C80">
        <w:t xml:space="preserve"> </w:t>
      </w:r>
      <w:r>
        <w:t>konkursom</w:t>
      </w:r>
      <w:r w:rsidR="00773572">
        <w:t xml:space="preserve"> i odobrenimp</w:t>
      </w:r>
      <w:r w:rsidR="00A41C80">
        <w:t xml:space="preserve"> </w:t>
      </w:r>
      <w:r w:rsidR="00773572">
        <w:t>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</w:t>
            </w:r>
            <w:r w:rsidR="00A41C80">
              <w:rPr>
                <w:rFonts w:ascii="Calibri" w:hAnsi="Calibri"/>
              </w:rPr>
              <w:t xml:space="preserve"> </w:t>
            </w:r>
            <w:r w:rsidRPr="009A2079">
              <w:rPr>
                <w:rFonts w:ascii="Calibri" w:hAnsi="Calibri"/>
              </w:rPr>
              <w:t>javnog</w:t>
            </w:r>
            <w:r w:rsidR="00A41C80">
              <w:rPr>
                <w:rFonts w:ascii="Calibri" w:hAnsi="Calibri"/>
              </w:rPr>
              <w:t xml:space="preserve"> </w:t>
            </w:r>
            <w:r w:rsidRPr="009A2079">
              <w:rPr>
                <w:rFonts w:ascii="Calibri" w:hAnsi="Calibri"/>
              </w:rPr>
              <w:t>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Broj</w:t>
            </w:r>
            <w:r w:rsidR="00A41C80">
              <w:rPr>
                <w:rFonts w:ascii="Calibri" w:hAnsi="Calibri"/>
              </w:rPr>
              <w:t xml:space="preserve"> </w:t>
            </w:r>
            <w:r w:rsidRPr="009A2079">
              <w:rPr>
                <w:rFonts w:ascii="Calibri" w:hAnsi="Calibri"/>
              </w:rPr>
              <w:t>službenika/ica</w:t>
            </w:r>
            <w:r w:rsidR="00A41C80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="00A41C80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>za sprovođenje</w:t>
            </w:r>
            <w:r w:rsidR="00A41C80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>javnog</w:t>
            </w:r>
            <w:r w:rsidR="00A41C80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>konkursa i praćenje</w:t>
            </w:r>
            <w:r w:rsidR="00A41C80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>finansiranih</w:t>
            </w:r>
            <w:r w:rsidR="00A41C80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>projekata i programa</w:t>
            </w:r>
            <w:r w:rsidR="00A41C80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>nevladinih</w:t>
            </w:r>
            <w:r w:rsidR="00A41C80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>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Imena</w:t>
            </w:r>
            <w:r w:rsidR="00A41C80">
              <w:rPr>
                <w:rFonts w:ascii="Calibri" w:hAnsi="Calibri"/>
              </w:rPr>
              <w:t xml:space="preserve"> </w:t>
            </w:r>
            <w:r w:rsidR="00E270F9" w:rsidRPr="009A2079">
              <w:rPr>
                <w:rFonts w:ascii="Calibri" w:hAnsi="Calibri"/>
              </w:rPr>
              <w:t>službenika/ica</w:t>
            </w:r>
            <w:r w:rsidR="00A41C80">
              <w:rPr>
                <w:rFonts w:ascii="Calibri" w:hAnsi="Calibri"/>
              </w:rPr>
              <w:t xml:space="preserve"> </w:t>
            </w:r>
            <w:r w:rsidRPr="009A2079">
              <w:rPr>
                <w:rFonts w:ascii="Calibri" w:hAnsi="Calibri"/>
              </w:rPr>
              <w:t>zaduženih za sprovođenje</w:t>
            </w:r>
            <w:r w:rsidR="00A41C80">
              <w:rPr>
                <w:rFonts w:ascii="Calibri" w:hAnsi="Calibri"/>
              </w:rPr>
              <w:t xml:space="preserve"> </w:t>
            </w:r>
            <w:r w:rsidRPr="009A2079">
              <w:rPr>
                <w:rFonts w:ascii="Calibri" w:hAnsi="Calibri"/>
              </w:rPr>
              <w:t>javnog</w:t>
            </w:r>
            <w:r w:rsidR="00A41C80">
              <w:rPr>
                <w:rFonts w:ascii="Calibri" w:hAnsi="Calibri"/>
              </w:rPr>
              <w:t xml:space="preserve"> </w:t>
            </w:r>
            <w:r w:rsidRPr="009A2079">
              <w:rPr>
                <w:rFonts w:ascii="Calibri" w:hAnsi="Calibri"/>
              </w:rPr>
              <w:t>konkursa i praćenje</w:t>
            </w:r>
            <w:r w:rsidR="00A41C80">
              <w:rPr>
                <w:rFonts w:ascii="Calibri" w:hAnsi="Calibri"/>
              </w:rPr>
              <w:t xml:space="preserve"> </w:t>
            </w:r>
            <w:r w:rsidRPr="009A2079">
              <w:rPr>
                <w:rFonts w:ascii="Calibri" w:hAnsi="Calibri"/>
              </w:rPr>
              <w:t>finansiranih</w:t>
            </w:r>
            <w:r w:rsidR="00A41C80">
              <w:rPr>
                <w:rFonts w:ascii="Calibri" w:hAnsi="Calibri"/>
              </w:rPr>
              <w:t xml:space="preserve"> </w:t>
            </w:r>
            <w:r w:rsidRPr="009A2079">
              <w:rPr>
                <w:rFonts w:ascii="Calibri" w:hAnsi="Calibri"/>
              </w:rPr>
              <w:t>projekata i programa</w:t>
            </w:r>
            <w:r w:rsidR="00A41C80">
              <w:rPr>
                <w:rFonts w:ascii="Calibri" w:hAnsi="Calibri"/>
              </w:rPr>
              <w:t xml:space="preserve"> </w:t>
            </w:r>
            <w:r w:rsidRPr="009A2079">
              <w:rPr>
                <w:rFonts w:ascii="Calibri" w:hAnsi="Calibri"/>
              </w:rPr>
              <w:t>nevladinih</w:t>
            </w:r>
            <w:r w:rsidR="00A41C80">
              <w:rPr>
                <w:rFonts w:ascii="Calibri" w:hAnsi="Calibri"/>
              </w:rPr>
              <w:t xml:space="preserve"> </w:t>
            </w:r>
            <w:r w:rsidRPr="009A2079">
              <w:rPr>
                <w:rFonts w:ascii="Calibri" w:hAnsi="Calibri"/>
              </w:rPr>
              <w:t>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DE0A8F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“eParticipacija – učestvuj, predloži, promijeni”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6523A2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F80715" w:rsidRDefault="00F80715" w:rsidP="00F80715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Matija Medojević </w:t>
            </w:r>
          </w:p>
          <w:p w:rsidR="00B215A4" w:rsidRPr="00510F37" w:rsidRDefault="00F80715" w:rsidP="00F80715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Nina Blažić </w:t>
            </w:r>
            <w:r w:rsidR="006523A2">
              <w:rPr>
                <w:rFonts w:ascii="Calibri" w:hAnsi="Calibri"/>
              </w:rPr>
              <w:t xml:space="preserve"> 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900AD4" w:rsidRDefault="00900AD4" w:rsidP="00997797">
      <w:pPr>
        <w:ind w:left="720"/>
        <w:jc w:val="center"/>
        <w:rPr>
          <w:rFonts w:ascii="Calibri" w:hAnsi="Calibri"/>
          <w:b/>
        </w:rPr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t>Ovjera</w:t>
      </w:r>
      <w:r w:rsidR="00A41C80">
        <w:rPr>
          <w:rFonts w:ascii="Calibri" w:hAnsi="Calibri"/>
          <w:b/>
        </w:rPr>
        <w:t xml:space="preserve"> </w:t>
      </w:r>
      <w:r w:rsidRPr="00997797">
        <w:rPr>
          <w:rFonts w:ascii="Calibri" w:hAnsi="Calibri"/>
          <w:b/>
        </w:rPr>
        <w:t>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F80715" w:rsidRDefault="00F80715" w:rsidP="009A2079">
            <w:pPr>
              <w:jc w:val="center"/>
            </w:pPr>
          </w:p>
          <w:p w:rsidR="0045059B" w:rsidRDefault="0045059B" w:rsidP="0045059B">
            <w:pPr>
              <w:tabs>
                <w:tab w:val="left" w:pos="1682"/>
                <w:tab w:val="left" w:pos="2534"/>
              </w:tabs>
            </w:pPr>
            <w:r>
              <w:t xml:space="preserve">                   </w:t>
            </w:r>
          </w:p>
          <w:p w:rsidR="009A2079" w:rsidRPr="00F80715" w:rsidRDefault="0045059B" w:rsidP="0045059B">
            <w:pPr>
              <w:tabs>
                <w:tab w:val="left" w:pos="1682"/>
                <w:tab w:val="left" w:pos="2534"/>
              </w:tabs>
              <w:jc w:val="center"/>
            </w:pPr>
            <w:r>
              <w:t>Suzana Pribilović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16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186" w:rsidRDefault="00874186" w:rsidP="00893B03">
      <w:pPr>
        <w:spacing w:after="0"/>
      </w:pPr>
      <w:r>
        <w:separator/>
      </w:r>
    </w:p>
  </w:endnote>
  <w:endnote w:type="continuationSeparator" w:id="0">
    <w:p w:rsidR="00874186" w:rsidRDefault="00874186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186" w:rsidRDefault="00874186" w:rsidP="00893B03">
      <w:pPr>
        <w:spacing w:after="0"/>
      </w:pPr>
      <w:r>
        <w:separator/>
      </w:r>
    </w:p>
  </w:footnote>
  <w:footnote w:type="continuationSeparator" w:id="0">
    <w:p w:rsidR="00874186" w:rsidRDefault="00874186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moćniobrazacsektorskeanalize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96E7BC4"/>
    <w:multiLevelType w:val="hybridMultilevel"/>
    <w:tmpl w:val="D864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70711"/>
    <w:multiLevelType w:val="hybridMultilevel"/>
    <w:tmpl w:val="ABEAC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37DBD"/>
    <w:multiLevelType w:val="hybridMultilevel"/>
    <w:tmpl w:val="D864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10331"/>
    <w:rsid w:val="00015AC0"/>
    <w:rsid w:val="00023E74"/>
    <w:rsid w:val="00031932"/>
    <w:rsid w:val="00035B3D"/>
    <w:rsid w:val="00041E5A"/>
    <w:rsid w:val="00056D8B"/>
    <w:rsid w:val="000572A1"/>
    <w:rsid w:val="000650E4"/>
    <w:rsid w:val="00085B89"/>
    <w:rsid w:val="000A1719"/>
    <w:rsid w:val="000A27E9"/>
    <w:rsid w:val="000A7A94"/>
    <w:rsid w:val="000B5516"/>
    <w:rsid w:val="000C517D"/>
    <w:rsid w:val="000E649C"/>
    <w:rsid w:val="000F4482"/>
    <w:rsid w:val="00114B5E"/>
    <w:rsid w:val="001157CF"/>
    <w:rsid w:val="00152265"/>
    <w:rsid w:val="0015454A"/>
    <w:rsid w:val="0015765E"/>
    <w:rsid w:val="001715D6"/>
    <w:rsid w:val="001742F3"/>
    <w:rsid w:val="001873AD"/>
    <w:rsid w:val="00192DDA"/>
    <w:rsid w:val="0019513A"/>
    <w:rsid w:val="0019681C"/>
    <w:rsid w:val="001B2A55"/>
    <w:rsid w:val="001C3B0F"/>
    <w:rsid w:val="001E03BD"/>
    <w:rsid w:val="001E36C7"/>
    <w:rsid w:val="001E3871"/>
    <w:rsid w:val="001E5E62"/>
    <w:rsid w:val="0020311F"/>
    <w:rsid w:val="00234A90"/>
    <w:rsid w:val="002357C4"/>
    <w:rsid w:val="00241CD7"/>
    <w:rsid w:val="002426E5"/>
    <w:rsid w:val="002450A0"/>
    <w:rsid w:val="00252F39"/>
    <w:rsid w:val="0026502A"/>
    <w:rsid w:val="002657F5"/>
    <w:rsid w:val="00266490"/>
    <w:rsid w:val="00266734"/>
    <w:rsid w:val="00281EAB"/>
    <w:rsid w:val="002A0A38"/>
    <w:rsid w:val="002A3ED0"/>
    <w:rsid w:val="002A52FE"/>
    <w:rsid w:val="002C2C9C"/>
    <w:rsid w:val="002C3FCC"/>
    <w:rsid w:val="002D10E5"/>
    <w:rsid w:val="002E0BB3"/>
    <w:rsid w:val="002E68C7"/>
    <w:rsid w:val="002F1960"/>
    <w:rsid w:val="002F679D"/>
    <w:rsid w:val="00301306"/>
    <w:rsid w:val="0030296C"/>
    <w:rsid w:val="00303E71"/>
    <w:rsid w:val="00326A9D"/>
    <w:rsid w:val="00345BD0"/>
    <w:rsid w:val="003461B0"/>
    <w:rsid w:val="00346B92"/>
    <w:rsid w:val="00366EA9"/>
    <w:rsid w:val="00367DE2"/>
    <w:rsid w:val="00367F01"/>
    <w:rsid w:val="00376C94"/>
    <w:rsid w:val="00377CA2"/>
    <w:rsid w:val="003864BC"/>
    <w:rsid w:val="00391A6A"/>
    <w:rsid w:val="00393F1E"/>
    <w:rsid w:val="003A72FC"/>
    <w:rsid w:val="003B4204"/>
    <w:rsid w:val="003C222F"/>
    <w:rsid w:val="003C24D8"/>
    <w:rsid w:val="003D496E"/>
    <w:rsid w:val="003D6752"/>
    <w:rsid w:val="003E6367"/>
    <w:rsid w:val="003E6605"/>
    <w:rsid w:val="00410C1B"/>
    <w:rsid w:val="00414CA5"/>
    <w:rsid w:val="00415753"/>
    <w:rsid w:val="00437E23"/>
    <w:rsid w:val="004500B0"/>
    <w:rsid w:val="0045059B"/>
    <w:rsid w:val="00465223"/>
    <w:rsid w:val="00465741"/>
    <w:rsid w:val="004710D9"/>
    <w:rsid w:val="004757CE"/>
    <w:rsid w:val="004775FA"/>
    <w:rsid w:val="004864F1"/>
    <w:rsid w:val="00491110"/>
    <w:rsid w:val="00496590"/>
    <w:rsid w:val="004B45C9"/>
    <w:rsid w:val="004E557F"/>
    <w:rsid w:val="004E6BAC"/>
    <w:rsid w:val="004F2421"/>
    <w:rsid w:val="004F5F80"/>
    <w:rsid w:val="004F6921"/>
    <w:rsid w:val="00502869"/>
    <w:rsid w:val="00504165"/>
    <w:rsid w:val="00504668"/>
    <w:rsid w:val="00510F37"/>
    <w:rsid w:val="00516ED3"/>
    <w:rsid w:val="0052657B"/>
    <w:rsid w:val="0053143C"/>
    <w:rsid w:val="00541704"/>
    <w:rsid w:val="00545714"/>
    <w:rsid w:val="00564218"/>
    <w:rsid w:val="005754F2"/>
    <w:rsid w:val="00596A50"/>
    <w:rsid w:val="005B0FF9"/>
    <w:rsid w:val="005B1C23"/>
    <w:rsid w:val="005B46E5"/>
    <w:rsid w:val="005C0065"/>
    <w:rsid w:val="005E04CE"/>
    <w:rsid w:val="005E31AE"/>
    <w:rsid w:val="005E37F9"/>
    <w:rsid w:val="005F0375"/>
    <w:rsid w:val="0060370C"/>
    <w:rsid w:val="006062EB"/>
    <w:rsid w:val="00622E6D"/>
    <w:rsid w:val="00631376"/>
    <w:rsid w:val="00646A92"/>
    <w:rsid w:val="00646C14"/>
    <w:rsid w:val="006523A2"/>
    <w:rsid w:val="00652635"/>
    <w:rsid w:val="006832D0"/>
    <w:rsid w:val="00683DE4"/>
    <w:rsid w:val="00685B8E"/>
    <w:rsid w:val="00686D7B"/>
    <w:rsid w:val="0069330B"/>
    <w:rsid w:val="00695A8E"/>
    <w:rsid w:val="006A498E"/>
    <w:rsid w:val="006B1AF8"/>
    <w:rsid w:val="006B441C"/>
    <w:rsid w:val="006C6504"/>
    <w:rsid w:val="006E763B"/>
    <w:rsid w:val="006F6C11"/>
    <w:rsid w:val="007077EE"/>
    <w:rsid w:val="00736968"/>
    <w:rsid w:val="00744B81"/>
    <w:rsid w:val="007508D1"/>
    <w:rsid w:val="00773572"/>
    <w:rsid w:val="0077469C"/>
    <w:rsid w:val="007833BE"/>
    <w:rsid w:val="007849C3"/>
    <w:rsid w:val="007936CC"/>
    <w:rsid w:val="007A587F"/>
    <w:rsid w:val="007D51D8"/>
    <w:rsid w:val="007E3C51"/>
    <w:rsid w:val="007E50A4"/>
    <w:rsid w:val="007E77A8"/>
    <w:rsid w:val="007F5587"/>
    <w:rsid w:val="007F6C61"/>
    <w:rsid w:val="008058E1"/>
    <w:rsid w:val="00806934"/>
    <w:rsid w:val="00810756"/>
    <w:rsid w:val="00812D34"/>
    <w:rsid w:val="0081664D"/>
    <w:rsid w:val="00836519"/>
    <w:rsid w:val="0084434F"/>
    <w:rsid w:val="0085007D"/>
    <w:rsid w:val="0085188D"/>
    <w:rsid w:val="00874186"/>
    <w:rsid w:val="0087654A"/>
    <w:rsid w:val="00893B03"/>
    <w:rsid w:val="00893D37"/>
    <w:rsid w:val="008A3CAA"/>
    <w:rsid w:val="008C51C2"/>
    <w:rsid w:val="008C78E9"/>
    <w:rsid w:val="008D7C85"/>
    <w:rsid w:val="008E4A73"/>
    <w:rsid w:val="008E58AB"/>
    <w:rsid w:val="008F7796"/>
    <w:rsid w:val="00900AD4"/>
    <w:rsid w:val="009068E4"/>
    <w:rsid w:val="00906EDE"/>
    <w:rsid w:val="00913D7C"/>
    <w:rsid w:val="00930851"/>
    <w:rsid w:val="00956A5D"/>
    <w:rsid w:val="009600C7"/>
    <w:rsid w:val="00963B9D"/>
    <w:rsid w:val="00965D4C"/>
    <w:rsid w:val="00966ED1"/>
    <w:rsid w:val="009744A9"/>
    <w:rsid w:val="0098003E"/>
    <w:rsid w:val="00985744"/>
    <w:rsid w:val="00986392"/>
    <w:rsid w:val="0098708B"/>
    <w:rsid w:val="00997797"/>
    <w:rsid w:val="009A2079"/>
    <w:rsid w:val="009A4544"/>
    <w:rsid w:val="009A6DBC"/>
    <w:rsid w:val="009A743C"/>
    <w:rsid w:val="009B1B14"/>
    <w:rsid w:val="00A0365E"/>
    <w:rsid w:val="00A31F8F"/>
    <w:rsid w:val="00A33786"/>
    <w:rsid w:val="00A37134"/>
    <w:rsid w:val="00A41C80"/>
    <w:rsid w:val="00A52D69"/>
    <w:rsid w:val="00A607B1"/>
    <w:rsid w:val="00A73B74"/>
    <w:rsid w:val="00A756BD"/>
    <w:rsid w:val="00A91F89"/>
    <w:rsid w:val="00A97800"/>
    <w:rsid w:val="00AA16B7"/>
    <w:rsid w:val="00AA358F"/>
    <w:rsid w:val="00AA607B"/>
    <w:rsid w:val="00AB6D92"/>
    <w:rsid w:val="00AC3BB3"/>
    <w:rsid w:val="00AD6294"/>
    <w:rsid w:val="00AE3BBD"/>
    <w:rsid w:val="00AE65B1"/>
    <w:rsid w:val="00AE6AA9"/>
    <w:rsid w:val="00B07486"/>
    <w:rsid w:val="00B12065"/>
    <w:rsid w:val="00B215A4"/>
    <w:rsid w:val="00B231E9"/>
    <w:rsid w:val="00B27F0A"/>
    <w:rsid w:val="00B27FE6"/>
    <w:rsid w:val="00B309AA"/>
    <w:rsid w:val="00B36C88"/>
    <w:rsid w:val="00B4123A"/>
    <w:rsid w:val="00B556FC"/>
    <w:rsid w:val="00B64E29"/>
    <w:rsid w:val="00B82707"/>
    <w:rsid w:val="00B83AE0"/>
    <w:rsid w:val="00B84AF3"/>
    <w:rsid w:val="00B95C43"/>
    <w:rsid w:val="00BA608E"/>
    <w:rsid w:val="00BB11D0"/>
    <w:rsid w:val="00BB12A2"/>
    <w:rsid w:val="00BB1EA6"/>
    <w:rsid w:val="00BB6BB4"/>
    <w:rsid w:val="00BD5A40"/>
    <w:rsid w:val="00BF7161"/>
    <w:rsid w:val="00C04A93"/>
    <w:rsid w:val="00C22F75"/>
    <w:rsid w:val="00C36A9A"/>
    <w:rsid w:val="00C51F68"/>
    <w:rsid w:val="00C54064"/>
    <w:rsid w:val="00C56D1A"/>
    <w:rsid w:val="00C63484"/>
    <w:rsid w:val="00C66C6F"/>
    <w:rsid w:val="00C90F73"/>
    <w:rsid w:val="00C91957"/>
    <w:rsid w:val="00C95284"/>
    <w:rsid w:val="00CA7B51"/>
    <w:rsid w:val="00CC6F83"/>
    <w:rsid w:val="00CD027B"/>
    <w:rsid w:val="00CD6658"/>
    <w:rsid w:val="00CD6796"/>
    <w:rsid w:val="00CE59EB"/>
    <w:rsid w:val="00D04169"/>
    <w:rsid w:val="00D1232A"/>
    <w:rsid w:val="00D1426E"/>
    <w:rsid w:val="00D14758"/>
    <w:rsid w:val="00D170E4"/>
    <w:rsid w:val="00D30B2D"/>
    <w:rsid w:val="00D34C60"/>
    <w:rsid w:val="00D45CD4"/>
    <w:rsid w:val="00D71441"/>
    <w:rsid w:val="00D84B0A"/>
    <w:rsid w:val="00DA0840"/>
    <w:rsid w:val="00DA3792"/>
    <w:rsid w:val="00DC747E"/>
    <w:rsid w:val="00DD6599"/>
    <w:rsid w:val="00DE0A8F"/>
    <w:rsid w:val="00E02740"/>
    <w:rsid w:val="00E17A29"/>
    <w:rsid w:val="00E24648"/>
    <w:rsid w:val="00E250EF"/>
    <w:rsid w:val="00E25512"/>
    <w:rsid w:val="00E270F9"/>
    <w:rsid w:val="00E33979"/>
    <w:rsid w:val="00E34F32"/>
    <w:rsid w:val="00E47DA5"/>
    <w:rsid w:val="00E77F93"/>
    <w:rsid w:val="00E9395B"/>
    <w:rsid w:val="00EA19DC"/>
    <w:rsid w:val="00EA3EBA"/>
    <w:rsid w:val="00EC2EB9"/>
    <w:rsid w:val="00EC2F43"/>
    <w:rsid w:val="00EC69BE"/>
    <w:rsid w:val="00ED03DC"/>
    <w:rsid w:val="00ED5324"/>
    <w:rsid w:val="00ED7618"/>
    <w:rsid w:val="00ED7FEE"/>
    <w:rsid w:val="00EE3ADD"/>
    <w:rsid w:val="00EF0197"/>
    <w:rsid w:val="00F008D3"/>
    <w:rsid w:val="00F019B0"/>
    <w:rsid w:val="00F02BD6"/>
    <w:rsid w:val="00F11066"/>
    <w:rsid w:val="00F14CFA"/>
    <w:rsid w:val="00F17416"/>
    <w:rsid w:val="00F22620"/>
    <w:rsid w:val="00F25BC9"/>
    <w:rsid w:val="00F27119"/>
    <w:rsid w:val="00F406E0"/>
    <w:rsid w:val="00F42D89"/>
    <w:rsid w:val="00F470AB"/>
    <w:rsid w:val="00F47631"/>
    <w:rsid w:val="00F517FE"/>
    <w:rsid w:val="00F7162D"/>
    <w:rsid w:val="00F71F33"/>
    <w:rsid w:val="00F73571"/>
    <w:rsid w:val="00F74101"/>
    <w:rsid w:val="00F80715"/>
    <w:rsid w:val="00F860E0"/>
    <w:rsid w:val="00F86F8B"/>
    <w:rsid w:val="00F935E9"/>
    <w:rsid w:val="00FB0F76"/>
    <w:rsid w:val="00FC7960"/>
    <w:rsid w:val="00FC7A86"/>
    <w:rsid w:val="00FE4012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5059B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9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5059B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amn.org/wp-content/uploads/2018/06/GA-analiza-realizacija-onlajn-alatki-za-e-participaciju-u-CG-2018-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ju.gov.me/ResourceManager/FileDownload.aspx?rid=301459&amp;rType=2&amp;file=Strategija%20unapre%C4%91enja%20podsticajnog%20okru%C5%BEenja%20%202018-2012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ju.gov.me/ResourceManager/FileDownload.aspx?rid=309936&amp;rType=2&amp;file=Informacija%20o%20kori%C5%A1%C4%87enju%20portala%20e-uprave%20za%202017.%20godinu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edia.institut-alternativa.org/2018/04/Percepcija-javne-uprave-istra%C5%BEivanje-2.pdf" TargetMode="External"/><Relationship Id="rId10" Type="http://schemas.openxmlformats.org/officeDocument/2006/relationships/hyperlink" Target="http://www.mju.gov.me/ResourceManager/FileDownload.aspx?rid=302277&amp;rType=2&amp;file=Akcioni%20plan%202018-2020,%20%202016-2020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gamn.org/images/docs/cg/gradjanska-participacija-u-crnoj-gori-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461C4F-EEB7-4AE2-9D27-96CA2CDC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3889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26008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emina.kalac</cp:lastModifiedBy>
  <cp:revision>2</cp:revision>
  <dcterms:created xsi:type="dcterms:W3CDTF">2018-07-19T05:35:00Z</dcterms:created>
  <dcterms:modified xsi:type="dcterms:W3CDTF">2018-07-19T05:35:00Z</dcterms:modified>
</cp:coreProperties>
</file>