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9D2C" w14:textId="20390058" w:rsidR="002A5400" w:rsidRPr="00487724" w:rsidRDefault="00177178" w:rsidP="00487724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b/>
          <w:color w:val="000000"/>
        </w:rPr>
      </w:pPr>
      <w:r w:rsidRPr="00487724">
        <w:rPr>
          <w:rFonts w:ascii="Arial" w:hAnsi="Arial" w:cs="Arial"/>
          <w:b/>
          <w:color w:val="000000"/>
        </w:rPr>
        <w:t>NACRT</w:t>
      </w:r>
    </w:p>
    <w:p w14:paraId="438A9593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ZAKON</w:t>
      </w:r>
    </w:p>
    <w:p w14:paraId="24DB6E83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O DIGITALNOJ RADIO-DIFUZIJI</w:t>
      </w:r>
    </w:p>
    <w:p w14:paraId="112B521D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45F9D0B1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I. OSNOVNE ODREDBE</w:t>
      </w:r>
    </w:p>
    <w:p w14:paraId="5FB36DFE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Predmet</w:t>
      </w:r>
    </w:p>
    <w:p w14:paraId="79AB80F2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</w:t>
      </w:r>
    </w:p>
    <w:p w14:paraId="437EBB6D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Ovim zakonom uređuju se način i </w:t>
      </w:r>
      <w:bookmarkStart w:id="0" w:name="_Hlk231539883"/>
      <w:r w:rsidRPr="00487724">
        <w:rPr>
          <w:rFonts w:ascii="Arial" w:hAnsi="Arial" w:cs="Arial"/>
          <w:color w:val="000000"/>
        </w:rPr>
        <w:t>uslovi za digitalnu zemaljsku radio-difuziju</w:t>
      </w:r>
      <w:bookmarkEnd w:id="0"/>
      <w:r w:rsidRPr="00487724">
        <w:rPr>
          <w:rFonts w:ascii="Arial" w:hAnsi="Arial" w:cs="Arial"/>
          <w:color w:val="000000"/>
        </w:rPr>
        <w:t>, postupak prelaska sa analogne na digitalnu radio-difuziju i druga pitanja od značaja za digitalnu radio-difuziju.</w:t>
      </w:r>
    </w:p>
    <w:p w14:paraId="03A645B9" w14:textId="10814A5F" w:rsidR="002A5400" w:rsidRPr="00487724" w:rsidRDefault="002A5400" w:rsidP="004B1B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Na pitanja koja se odnose na digitalnu radio-difuziju, a koja nijesu uređena ovim zakonom shodno se primjenjuju propisi kojima se uređuje oblast elektronskih komunikacija </w:t>
      </w:r>
      <w:r w:rsidR="007651FC" w:rsidRPr="00487724">
        <w:rPr>
          <w:rFonts w:ascii="Arial" w:hAnsi="Arial" w:cs="Arial"/>
          <w:color w:val="000000"/>
        </w:rPr>
        <w:t>audiovizuelnih medijskih usluga</w:t>
      </w:r>
      <w:r w:rsidR="00914E07" w:rsidRPr="00487724">
        <w:rPr>
          <w:rFonts w:ascii="Arial" w:hAnsi="Arial" w:cs="Arial"/>
          <w:color w:val="000000"/>
        </w:rPr>
        <w:t xml:space="preserve"> (u daljem tekstu: AVM usluga)</w:t>
      </w:r>
      <w:r w:rsidRPr="00487724">
        <w:rPr>
          <w:rFonts w:ascii="Arial" w:hAnsi="Arial" w:cs="Arial"/>
          <w:color w:val="000000"/>
        </w:rPr>
        <w:t>.</w:t>
      </w:r>
    </w:p>
    <w:p w14:paraId="3127E4DB" w14:textId="77777777" w:rsidR="00641236" w:rsidRPr="00487724" w:rsidRDefault="00641236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CCD75D1" w14:textId="5BFDC2D2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Značenje izraza</w:t>
      </w:r>
    </w:p>
    <w:p w14:paraId="1EA5FFC2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2</w:t>
      </w:r>
    </w:p>
    <w:p w14:paraId="615182BA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Pojedini izrazi upotrijebljeni u ovom zakonu imaju sljedeća značenja:</w:t>
      </w:r>
    </w:p>
    <w:p w14:paraId="0F10FDD4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1) analogna radio-difuzija je emitovanje i prijem analognog televizijskog i/ili radio signala posredstvom zemaljskih predajnika u skladu sa odgovarajućim međunarodnim standardima;</w:t>
      </w:r>
    </w:p>
    <w:p w14:paraId="19E662D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2) digitalna zemaljska radio-difuzija je emitovanje i prijem digitalnog televizijskog i/ili radio signala posredstvom zemaljskih predajnika u skladu sa odgovarajućim međunarodnim standardima;</w:t>
      </w:r>
    </w:p>
    <w:p w14:paraId="366AAE1E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3) digitalni prijemnik je uređaj za prijem, dekodiranje i pretvaranje digitalnog televizijskog signala</w:t>
      </w:r>
      <w:r w:rsidR="001F7671" w:rsidRPr="00487724">
        <w:rPr>
          <w:rFonts w:ascii="Arial" w:hAnsi="Arial" w:cs="Arial"/>
          <w:color w:val="000000"/>
        </w:rPr>
        <w:t xml:space="preserve"> i signala digitalnog radija</w:t>
      </w:r>
      <w:r w:rsidRPr="00487724">
        <w:rPr>
          <w:rFonts w:ascii="Arial" w:hAnsi="Arial" w:cs="Arial"/>
          <w:color w:val="000000"/>
        </w:rPr>
        <w:t xml:space="preserve"> u oblik pogodan za reprodukciju slike, zvuka i drugih podataka, koji može biti poseban uređaj, uređaj koji je ugrađen u televizijski prijemnik</w:t>
      </w:r>
      <w:r w:rsidR="001F7671" w:rsidRPr="00487724">
        <w:rPr>
          <w:rFonts w:ascii="Arial" w:hAnsi="Arial" w:cs="Arial"/>
          <w:color w:val="000000"/>
        </w:rPr>
        <w:t>, radio prijemnik</w:t>
      </w:r>
      <w:r w:rsidRPr="00487724">
        <w:rPr>
          <w:rFonts w:ascii="Arial" w:hAnsi="Arial" w:cs="Arial"/>
          <w:color w:val="000000"/>
        </w:rPr>
        <w:t xml:space="preserve"> ili drugi uređaj;</w:t>
      </w:r>
    </w:p>
    <w:p w14:paraId="35A690D6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4) televizija standardne definicije (Standard Definition Television - SDTV) je usluga standardnog kvaliteta slike i zvuka, prema referentnim preporukama Međunarodne unije za telekomunikacije (ITU preporuke);</w:t>
      </w:r>
    </w:p>
    <w:p w14:paraId="520F36B6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5) televizija visoke definicije (High Definition Television - HDTV) je usluga koja obezbjeđuje kvalitetniju sliku i zvuk u odnosu na standardni kvalitet, povećavanjem broja analizirajućih linija po slici, promjenom načina analiziranja slike, povećavanjem odnosa stranica slike na 16:9, kao i promjenom kolorometrijskih karakteristika slike, prema referentnim preporukama Međunarodne unije za telekomunikacije (ITU preporuke);</w:t>
      </w:r>
    </w:p>
    <w:p w14:paraId="2CB2BD35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6) multipleks je standardizovani skup ili protok digitalnih signala izraženih u MB/s koji sadrži više televizijskih i/ili radijskih programa i/ili drugih podataka koji se istovremeno prenose i emituju i čiji protoci se sabiraju;</w:t>
      </w:r>
    </w:p>
    <w:p w14:paraId="601172F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7) operator predajničke multipleksne mreže (operator mreže) je pravno ili fizičko lice koje vrši upravljanje elektronskom komunikacionom mrežom za digitalnu zemaljsku radio-difuziju;</w:t>
      </w:r>
    </w:p>
    <w:p w14:paraId="18747055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lastRenderedPageBreak/>
        <w:t>8) operator prenosne multipleksne mreže (operator multipleksa) je pravno ili fizičko lice koje pruža javne elektronske komunikacione usluge multipleksiranja i prenosa multipleksiranih signala do predajničke multipleksne mreže (mreže);</w:t>
      </w:r>
    </w:p>
    <w:p w14:paraId="4606375C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9) pristup multipleksu je usluga koju pruža operator multipleksa bilo kojom elektronskom komunikacionom mrežom, od tačke pristupa do mreže;</w:t>
      </w:r>
    </w:p>
    <w:p w14:paraId="77868D06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795" w:hanging="345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10) ukupni prenosni kapacitet multipleksa je najveća količina podataka u jedinici vremena kojom se mogu prenositi digitalni signali;</w:t>
      </w:r>
    </w:p>
    <w:p w14:paraId="7FDD1FC1" w14:textId="71814BD3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795" w:hanging="345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11) jednofrekvencijska mreža (Single Fre</w:t>
      </w:r>
      <w:r w:rsidR="006370A6" w:rsidRPr="00487724">
        <w:rPr>
          <w:rFonts w:ascii="Arial" w:hAnsi="Arial" w:cs="Arial"/>
          <w:color w:val="000000"/>
        </w:rPr>
        <w:t>q</w:t>
      </w:r>
      <w:r w:rsidRPr="00487724">
        <w:rPr>
          <w:rFonts w:ascii="Arial" w:hAnsi="Arial" w:cs="Arial"/>
          <w:color w:val="000000"/>
        </w:rPr>
        <w:t>uency Net</w:t>
      </w:r>
      <w:r w:rsidR="006370A6" w:rsidRPr="00487724">
        <w:rPr>
          <w:rFonts w:ascii="Arial" w:hAnsi="Arial" w:cs="Arial"/>
          <w:color w:val="000000"/>
        </w:rPr>
        <w:t>w</w:t>
      </w:r>
      <w:r w:rsidRPr="00487724">
        <w:rPr>
          <w:rFonts w:ascii="Arial" w:hAnsi="Arial" w:cs="Arial"/>
          <w:color w:val="000000"/>
        </w:rPr>
        <w:t>ork - SFN) je mreža sa više digitalnih zemaljskih radio-predajnika, koji su vremenski i frekvencijski sinhronizovani i emituju istovjetan signal na istoj frekvenciji;</w:t>
      </w:r>
    </w:p>
    <w:p w14:paraId="611823A0" w14:textId="1F024B9B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795" w:hanging="345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12) višefrekvencijska mreža (Multiple Fre</w:t>
      </w:r>
      <w:r w:rsidR="006370A6" w:rsidRPr="00487724">
        <w:rPr>
          <w:rFonts w:ascii="Arial" w:hAnsi="Arial" w:cs="Arial"/>
          <w:color w:val="000000"/>
        </w:rPr>
        <w:t>q</w:t>
      </w:r>
      <w:r w:rsidRPr="00487724">
        <w:rPr>
          <w:rFonts w:ascii="Arial" w:hAnsi="Arial" w:cs="Arial"/>
          <w:color w:val="000000"/>
        </w:rPr>
        <w:t>uency Net</w:t>
      </w:r>
      <w:r w:rsidR="006370A6" w:rsidRPr="00487724">
        <w:rPr>
          <w:rFonts w:ascii="Arial" w:hAnsi="Arial" w:cs="Arial"/>
          <w:color w:val="000000"/>
        </w:rPr>
        <w:t>w</w:t>
      </w:r>
      <w:r w:rsidRPr="00487724">
        <w:rPr>
          <w:rFonts w:ascii="Arial" w:hAnsi="Arial" w:cs="Arial"/>
          <w:color w:val="000000"/>
        </w:rPr>
        <w:t>ork - MFN) je mreža digitalnih zemaljskih radio-predajnika koji emituju signale na različitim frekvencijama;</w:t>
      </w:r>
    </w:p>
    <w:p w14:paraId="761B9C58" w14:textId="55934465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5825FA97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II. PLANIRANJE, IZGRADNJA I KORIŠĆENJE MREŽA I PRAVO NA PRISTUP MULTIPLEKSU ZA DIGITALNO ZEMALJSKO EMITOVANJE</w:t>
      </w:r>
    </w:p>
    <w:p w14:paraId="026A24BE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Planiranje mreža</w:t>
      </w:r>
    </w:p>
    <w:p w14:paraId="33CF1CF1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3</w:t>
      </w:r>
    </w:p>
    <w:p w14:paraId="2B961FA5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Planiranje mreža za digitalnu zemaljsku radio-difuziju vrši se u skladu sa Planom raspodjele radio-frekvencija za digitalnu zemaljsku radio-difuziju (u daljem tekstu: Plan raspodjele).</w:t>
      </w:r>
    </w:p>
    <w:p w14:paraId="38B27BDB" w14:textId="44904029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Planom raspodjele utvrđuju se tehnički uslovi način korišćenja pojedinačnih radio-frekvencija i geografskih područja.</w:t>
      </w:r>
    </w:p>
    <w:p w14:paraId="513A5EE3" w14:textId="16776E3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Plan raspodjele donosi Agencija za elektronske komunikacije i poštansku djelatnost (u daljem tekstu: Agencija</w:t>
      </w:r>
      <w:r w:rsidR="002B2187" w:rsidRPr="00487724">
        <w:rPr>
          <w:rFonts w:ascii="Arial" w:hAnsi="Arial" w:cs="Arial"/>
          <w:color w:val="000000"/>
        </w:rPr>
        <w:t>.</w:t>
      </w:r>
    </w:p>
    <w:p w14:paraId="73243549" w14:textId="5CA52DD1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Plan raspodjele mora biti u skladu sa </w:t>
      </w:r>
      <w:r w:rsidR="002B2187" w:rsidRPr="00487724">
        <w:rPr>
          <w:rFonts w:ascii="Arial" w:hAnsi="Arial" w:cs="Arial"/>
          <w:color w:val="000000"/>
        </w:rPr>
        <w:t>planom namjene radio-frekvencijskog spektra.</w:t>
      </w:r>
    </w:p>
    <w:p w14:paraId="47DB8D15" w14:textId="77777777" w:rsidR="00F5201D" w:rsidRPr="00487724" w:rsidRDefault="00F5201D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4F1D2A74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Operator mreže</w:t>
      </w:r>
    </w:p>
    <w:p w14:paraId="6ED4CC79" w14:textId="77777777" w:rsidR="002A5400" w:rsidRPr="00487724" w:rsidRDefault="002A5400" w:rsidP="00F5201D">
      <w:pPr>
        <w:tabs>
          <w:tab w:val="left" w:pos="4395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4</w:t>
      </w:r>
    </w:p>
    <w:p w14:paraId="65725B6B" w14:textId="33927D7E" w:rsidR="002A5400" w:rsidRPr="00487724" w:rsidRDefault="00235A54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Pružanje usluge operatora mreže može da vrši fizičko ili pravno lice kome je izdato </w:t>
      </w:r>
      <w:proofErr w:type="gramStart"/>
      <w:r w:rsidRPr="00487724">
        <w:rPr>
          <w:rFonts w:ascii="Arial" w:hAnsi="Arial" w:cs="Arial"/>
          <w:color w:val="000000"/>
        </w:rPr>
        <w:t xml:space="preserve">odobrenje </w:t>
      </w:r>
      <w:r w:rsidR="00070408" w:rsidRPr="00487724">
        <w:rPr>
          <w:rFonts w:ascii="Arial" w:hAnsi="Arial" w:cs="Arial"/>
          <w:color w:val="000000"/>
        </w:rPr>
        <w:t xml:space="preserve"> za</w:t>
      </w:r>
      <w:proofErr w:type="gramEnd"/>
      <w:r w:rsidR="00070408" w:rsidRPr="00487724">
        <w:rPr>
          <w:rFonts w:ascii="Arial" w:hAnsi="Arial" w:cs="Arial"/>
          <w:color w:val="000000"/>
        </w:rPr>
        <w:t xml:space="preserve"> korišćenje radio-frekvencija, u skladu sa zakonom kojim se uređuje oblast elektronskih komunikacija.”</w:t>
      </w:r>
    </w:p>
    <w:p w14:paraId="1351B787" w14:textId="77777777" w:rsidR="00F5201D" w:rsidRPr="00487724" w:rsidRDefault="00F5201D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F2A0E08" w14:textId="6E03654A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Operator multipleksa</w:t>
      </w:r>
    </w:p>
    <w:p w14:paraId="4DF90D71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5</w:t>
      </w:r>
    </w:p>
    <w:p w14:paraId="578D4F90" w14:textId="2E74656D" w:rsidR="00987C5A" w:rsidRPr="00487724" w:rsidRDefault="00987C5A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Pružanje usluge operatora multipleksa može da vrši fizičko ili pravno lice koje pruža javne elektronske komunikacione usluge upravljanja multipleksom, na osnovu registracije, u skladu sa zakonom kojim se uređuje oblast elektronskih komunikacija.</w:t>
      </w:r>
    </w:p>
    <w:p w14:paraId="2D10DFC4" w14:textId="77777777" w:rsidR="00782CF7" w:rsidRPr="00487724" w:rsidRDefault="00782CF7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B652D21" w14:textId="744DDA41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Za distribuciju radijskih i/ili televizijskih programa operator multipleksa dužan je da pribavi odobrenje za </w:t>
      </w:r>
      <w:r w:rsidR="00987C5A" w:rsidRPr="00487724">
        <w:rPr>
          <w:rFonts w:ascii="Arial" w:hAnsi="Arial" w:cs="Arial"/>
          <w:color w:val="000000"/>
        </w:rPr>
        <w:t xml:space="preserve">pružanje usluge </w:t>
      </w:r>
      <w:r w:rsidRPr="00487724">
        <w:rPr>
          <w:rFonts w:ascii="Arial" w:hAnsi="Arial" w:cs="Arial"/>
          <w:color w:val="000000"/>
        </w:rPr>
        <w:t>distribucij</w:t>
      </w:r>
      <w:r w:rsidR="00987C5A" w:rsidRPr="00487724">
        <w:rPr>
          <w:rFonts w:ascii="Arial" w:hAnsi="Arial" w:cs="Arial"/>
          <w:color w:val="000000"/>
        </w:rPr>
        <w:t>e linearnih AVM usluga</w:t>
      </w:r>
      <w:r w:rsidRPr="00487724">
        <w:rPr>
          <w:rFonts w:ascii="Arial" w:hAnsi="Arial" w:cs="Arial"/>
          <w:color w:val="000000"/>
        </w:rPr>
        <w:t xml:space="preserve"> od regulatornog organa za oblast </w:t>
      </w:r>
      <w:r w:rsidR="00987C5A" w:rsidRPr="00487724">
        <w:rPr>
          <w:rFonts w:ascii="Arial" w:hAnsi="Arial" w:cs="Arial"/>
          <w:color w:val="000000"/>
        </w:rPr>
        <w:t>AVM usluga,</w:t>
      </w:r>
      <w:r w:rsidRPr="00487724">
        <w:rPr>
          <w:rFonts w:ascii="Arial" w:hAnsi="Arial" w:cs="Arial"/>
          <w:color w:val="000000"/>
        </w:rPr>
        <w:t xml:space="preserve"> u skladu sa </w:t>
      </w:r>
      <w:r w:rsidR="00987C5A" w:rsidRPr="00487724">
        <w:rPr>
          <w:rFonts w:ascii="Arial" w:hAnsi="Arial" w:cs="Arial"/>
          <w:color w:val="000000"/>
        </w:rPr>
        <w:t xml:space="preserve">zakonom </w:t>
      </w:r>
      <w:r w:rsidRPr="00487724">
        <w:rPr>
          <w:rFonts w:ascii="Arial" w:hAnsi="Arial" w:cs="Arial"/>
          <w:color w:val="000000"/>
        </w:rPr>
        <w:t xml:space="preserve">kojim se uređuje oblast </w:t>
      </w:r>
      <w:r w:rsidR="00987C5A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>.</w:t>
      </w:r>
    </w:p>
    <w:p w14:paraId="73813D67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401D805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Prava i obaveze operatora mreže i operatora multipleksa</w:t>
      </w:r>
    </w:p>
    <w:p w14:paraId="4C019E3B" w14:textId="39183684" w:rsidR="00782CF7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6</w:t>
      </w:r>
    </w:p>
    <w:p w14:paraId="3A8E1492" w14:textId="2FAFADBB" w:rsidR="00A30078" w:rsidRPr="00487724" w:rsidRDefault="00A30078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Pružanje usluge operatora multipleksa može da vrši fizičko ili pravno lice kome je izdato odobrenje za korišćenje radio-frekvencija, u skladu sa zakonom kojim se uređuje oblast elektronskih komunikacija</w:t>
      </w:r>
    </w:p>
    <w:p w14:paraId="69200ADF" w14:textId="74210096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Operator mreže koji je istovremeno i operator multipleksa dužan je da vodi odvojeno računovodstvo za djelatnost upravljanja multipleksom i upravljanja mrežom.</w:t>
      </w:r>
    </w:p>
    <w:p w14:paraId="31207CB8" w14:textId="77777777" w:rsidR="006A552D" w:rsidRPr="00487724" w:rsidRDefault="006A552D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591B1D7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Podjela kapaciteta multipleksa</w:t>
      </w:r>
    </w:p>
    <w:p w14:paraId="2131374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7</w:t>
      </w:r>
    </w:p>
    <w:p w14:paraId="78227E66" w14:textId="06816A5A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U cilju racionalnijeg korišćenja kapaciteta multipleksa može se izvršiti podjela na kapacitet namijenjen za pružanje </w:t>
      </w:r>
      <w:r w:rsidR="00C008BB" w:rsidRPr="00487724">
        <w:rPr>
          <w:rFonts w:ascii="Arial" w:hAnsi="Arial" w:cs="Arial"/>
          <w:color w:val="000000"/>
        </w:rPr>
        <w:t>AVM</w:t>
      </w:r>
      <w:r w:rsidRPr="00487724">
        <w:rPr>
          <w:rFonts w:ascii="Arial" w:hAnsi="Arial" w:cs="Arial"/>
          <w:color w:val="000000"/>
        </w:rPr>
        <w:t xml:space="preserve"> usluga i elektronskih komunikacionih usluga.</w:t>
      </w:r>
    </w:p>
    <w:p w14:paraId="7200B7B9" w14:textId="2DD9A8E2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Podjelu multipleksa iz stava 1 ovog člana vrši Agencija, uz saglasnost regulatornog organa nadležnog za oblast </w:t>
      </w:r>
      <w:r w:rsidR="00C008BB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>.</w:t>
      </w:r>
    </w:p>
    <w:p w14:paraId="14E92A69" w14:textId="682BAFB3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Kvalitet usluga iz stava 1 ovog člana mora da ispunjava parametre kvaliteta usluga utvrđene </w:t>
      </w:r>
      <w:r w:rsidR="00C008BB" w:rsidRPr="00487724">
        <w:rPr>
          <w:rFonts w:ascii="Arial" w:hAnsi="Arial" w:cs="Arial"/>
          <w:color w:val="000000"/>
        </w:rPr>
        <w:t xml:space="preserve">u skladu sa </w:t>
      </w:r>
      <w:proofErr w:type="gramStart"/>
      <w:r w:rsidR="00C008BB" w:rsidRPr="00487724">
        <w:rPr>
          <w:rFonts w:ascii="Arial" w:hAnsi="Arial" w:cs="Arial"/>
          <w:color w:val="000000"/>
        </w:rPr>
        <w:t>zakonom  kojim</w:t>
      </w:r>
      <w:proofErr w:type="gramEnd"/>
      <w:r w:rsidR="00C008BB" w:rsidRPr="00487724">
        <w:rPr>
          <w:rFonts w:ascii="Arial" w:hAnsi="Arial" w:cs="Arial"/>
          <w:color w:val="000000"/>
        </w:rPr>
        <w:t xml:space="preserve"> se uređuje </w:t>
      </w:r>
      <w:r w:rsidRPr="00487724">
        <w:rPr>
          <w:rFonts w:ascii="Arial" w:hAnsi="Arial" w:cs="Arial"/>
          <w:color w:val="000000"/>
        </w:rPr>
        <w:t>oblast elektronskih komunikacija i</w:t>
      </w:r>
      <w:r w:rsidR="00C008BB" w:rsidRPr="00487724">
        <w:rPr>
          <w:rFonts w:ascii="Arial" w:hAnsi="Arial" w:cs="Arial"/>
          <w:color w:val="000000"/>
        </w:rPr>
        <w:t xml:space="preserve"> u skladu sa zakonom kojim se uređuje oblast AVM usluga</w:t>
      </w:r>
      <w:r w:rsidRPr="00487724">
        <w:rPr>
          <w:rFonts w:ascii="Arial" w:hAnsi="Arial" w:cs="Arial"/>
          <w:color w:val="000000"/>
        </w:rPr>
        <w:t>.</w:t>
      </w:r>
    </w:p>
    <w:p w14:paraId="15C9E71D" w14:textId="09A81B8B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Operator multipleksa koji pruža </w:t>
      </w:r>
      <w:r w:rsidR="00C008BB" w:rsidRPr="00487724">
        <w:rPr>
          <w:rFonts w:ascii="Arial" w:hAnsi="Arial" w:cs="Arial"/>
          <w:color w:val="000000"/>
        </w:rPr>
        <w:t>AVM</w:t>
      </w:r>
      <w:r w:rsidRPr="00487724">
        <w:rPr>
          <w:rFonts w:ascii="Arial" w:hAnsi="Arial" w:cs="Arial"/>
          <w:color w:val="000000"/>
        </w:rPr>
        <w:t xml:space="preserve"> usluge i elektronske komunikacione usluge dužan je da vodi odvojeno računovodstvo za djelatnost pružanja </w:t>
      </w:r>
      <w:r w:rsidR="00C008BB" w:rsidRPr="00487724">
        <w:rPr>
          <w:rFonts w:ascii="Arial" w:hAnsi="Arial" w:cs="Arial"/>
          <w:color w:val="000000"/>
        </w:rPr>
        <w:t>AVM</w:t>
      </w:r>
      <w:r w:rsidRPr="00487724">
        <w:rPr>
          <w:rFonts w:ascii="Arial" w:hAnsi="Arial" w:cs="Arial"/>
          <w:color w:val="000000"/>
        </w:rPr>
        <w:t xml:space="preserve"> usluga i djelatnost pružanja elektronskih komunikacionih usluga.</w:t>
      </w:r>
    </w:p>
    <w:p w14:paraId="7C1ADFA1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Pristup multipleksu</w:t>
      </w:r>
    </w:p>
    <w:p w14:paraId="227396CF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8</w:t>
      </w:r>
    </w:p>
    <w:p w14:paraId="476D4E47" w14:textId="465D6CFE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87724">
        <w:rPr>
          <w:rFonts w:ascii="Arial" w:hAnsi="Arial" w:cs="Arial"/>
          <w:color w:val="000000"/>
        </w:rPr>
        <w:t>Prije pristupa dodijeljenom kapacitetu multipleksa, radijski i televizijski programi moraju biti kodirani u skladu sa standardom kodiranja ITU-T H.264/AVC (MPEG-4 Part 10)</w:t>
      </w:r>
      <w:r w:rsidR="00E75A50" w:rsidRPr="00487724">
        <w:rPr>
          <w:rFonts w:ascii="Arial" w:hAnsi="Arial" w:cs="Arial"/>
          <w:color w:val="000000"/>
        </w:rPr>
        <w:t xml:space="preserve"> </w:t>
      </w:r>
      <w:r w:rsidR="00D12B85" w:rsidRPr="00487724">
        <w:rPr>
          <w:rFonts w:ascii="Arial" w:hAnsi="Arial" w:cs="Arial"/>
          <w:color w:val="000000"/>
        </w:rPr>
        <w:t xml:space="preserve">za </w:t>
      </w:r>
      <w:r w:rsidR="001F7671" w:rsidRPr="00487724">
        <w:rPr>
          <w:rFonts w:ascii="Arial" w:hAnsi="Arial" w:cs="Arial"/>
          <w:color w:val="000000"/>
        </w:rPr>
        <w:t>digitalnu televiziju</w:t>
      </w:r>
      <w:r w:rsidR="00D12B85" w:rsidRPr="00487724">
        <w:rPr>
          <w:rFonts w:ascii="Arial" w:hAnsi="Arial" w:cs="Arial"/>
          <w:color w:val="000000"/>
        </w:rPr>
        <w:t xml:space="preserve"> i </w:t>
      </w:r>
      <w:r w:rsidR="00D12B85" w:rsidRPr="00487724">
        <w:rPr>
          <w:rFonts w:ascii="Arial" w:hAnsi="Arial" w:cs="Arial"/>
        </w:rPr>
        <w:t xml:space="preserve">MPEG-4 (HE-AACv2) za </w:t>
      </w:r>
      <w:r w:rsidR="001F7671" w:rsidRPr="00487724">
        <w:rPr>
          <w:rFonts w:ascii="Arial" w:hAnsi="Arial" w:cs="Arial"/>
        </w:rPr>
        <w:t>digitalni radio</w:t>
      </w:r>
      <w:r w:rsidR="000C0BCB" w:rsidRPr="00487724">
        <w:rPr>
          <w:rFonts w:ascii="Arial" w:hAnsi="Arial" w:cs="Arial"/>
        </w:rPr>
        <w:t xml:space="preserve"> ili naprednijim standardima saglasno tehničkim mogućnostima.</w:t>
      </w:r>
    </w:p>
    <w:p w14:paraId="092B376D" w14:textId="77777777" w:rsidR="006A552D" w:rsidRPr="00487724" w:rsidRDefault="006A552D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4760D3C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Predajničke mreže</w:t>
      </w:r>
    </w:p>
    <w:p w14:paraId="498424DA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9</w:t>
      </w:r>
    </w:p>
    <w:p w14:paraId="6D868E2B" w14:textId="73B05208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Za potrebe digitalnog emitovanja signala </w:t>
      </w:r>
      <w:r w:rsidR="006621AC" w:rsidRPr="00487724">
        <w:rPr>
          <w:rFonts w:ascii="Arial" w:hAnsi="Arial" w:cs="Arial"/>
          <w:color w:val="000000"/>
        </w:rPr>
        <w:t>nacionalnog javnog emitera – Javnog medijskog servisa Crne Gore (u daljem tekstu: RTCG),</w:t>
      </w:r>
      <w:r w:rsidRPr="00487724">
        <w:rPr>
          <w:rFonts w:ascii="Arial" w:hAnsi="Arial" w:cs="Arial"/>
          <w:color w:val="000000"/>
        </w:rPr>
        <w:t xml:space="preserve"> dodjeljuje se </w:t>
      </w:r>
      <w:r w:rsidR="006621AC" w:rsidRPr="00487724">
        <w:rPr>
          <w:rFonts w:ascii="Arial" w:hAnsi="Arial" w:cs="Arial"/>
          <w:color w:val="000000"/>
        </w:rPr>
        <w:t>RTCG</w:t>
      </w:r>
      <w:r w:rsidRPr="00487724">
        <w:rPr>
          <w:rFonts w:ascii="Arial" w:hAnsi="Arial" w:cs="Arial"/>
          <w:color w:val="000000"/>
        </w:rPr>
        <w:t xml:space="preserve"> pravo pristupa multipleksu prve mreže sa pokrivanjem cjelokupne teritorije Crne Gore, bez sprovođenja postupka javnog konkursa, za prenos </w:t>
      </w:r>
      <w:r w:rsidR="00D0424C" w:rsidRPr="00487724">
        <w:rPr>
          <w:rFonts w:ascii="Arial" w:hAnsi="Arial" w:cs="Arial"/>
          <w:color w:val="000000"/>
        </w:rPr>
        <w:t xml:space="preserve">tri </w:t>
      </w:r>
      <w:r w:rsidRPr="00487724">
        <w:rPr>
          <w:rFonts w:ascii="Arial" w:hAnsi="Arial" w:cs="Arial"/>
          <w:color w:val="000000"/>
        </w:rPr>
        <w:t xml:space="preserve">televizijska programa u </w:t>
      </w:r>
      <w:r w:rsidR="00D0424C" w:rsidRPr="00487724">
        <w:rPr>
          <w:rFonts w:ascii="Arial" w:hAnsi="Arial" w:cs="Arial"/>
          <w:color w:val="000000"/>
        </w:rPr>
        <w:t>u minimalno HDTV standard</w:t>
      </w:r>
      <w:r w:rsidR="00F673E1" w:rsidRPr="00487724">
        <w:rPr>
          <w:rFonts w:ascii="Arial" w:hAnsi="Arial" w:cs="Arial"/>
          <w:color w:val="000000"/>
        </w:rPr>
        <w:t>u</w:t>
      </w:r>
      <w:r w:rsidRPr="00487724">
        <w:rPr>
          <w:rFonts w:ascii="Arial" w:hAnsi="Arial" w:cs="Arial"/>
          <w:color w:val="000000"/>
        </w:rPr>
        <w:t>.</w:t>
      </w:r>
    </w:p>
    <w:p w14:paraId="18535FDF" w14:textId="23B21B40" w:rsidR="00782CF7" w:rsidRPr="00487724" w:rsidRDefault="00782CF7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Za potrebe digitalnog emitovanja signala </w:t>
      </w:r>
      <w:r w:rsidR="006621AC" w:rsidRPr="00487724">
        <w:rPr>
          <w:rFonts w:ascii="Arial" w:hAnsi="Arial" w:cs="Arial"/>
          <w:color w:val="000000"/>
        </w:rPr>
        <w:t>RTCG</w:t>
      </w:r>
      <w:r w:rsidR="00AE0AFF" w:rsidRPr="00487724">
        <w:rPr>
          <w:rFonts w:ascii="Arial" w:hAnsi="Arial" w:cs="Arial"/>
          <w:color w:val="000000"/>
        </w:rPr>
        <w:t xml:space="preserve"> </w:t>
      </w:r>
      <w:r w:rsidRPr="00487724">
        <w:rPr>
          <w:rFonts w:ascii="Arial" w:hAnsi="Arial" w:cs="Arial"/>
          <w:color w:val="000000"/>
        </w:rPr>
        <w:t xml:space="preserve">dodjeljuje se </w:t>
      </w:r>
      <w:r w:rsidR="006621AC" w:rsidRPr="00487724">
        <w:rPr>
          <w:rFonts w:ascii="Arial" w:hAnsi="Arial" w:cs="Arial"/>
          <w:color w:val="000000"/>
        </w:rPr>
        <w:t>RTCG</w:t>
      </w:r>
      <w:r w:rsidRPr="00487724">
        <w:rPr>
          <w:rFonts w:ascii="Arial" w:hAnsi="Arial" w:cs="Arial"/>
          <w:color w:val="000000"/>
        </w:rPr>
        <w:t xml:space="preserve"> pravo pristupa multipleksu prve mreže sa pokrivanjem cjelokupne teritorije Crne Gore, bez sprovođenja postupka javnog konkursa, za prenos dva radijska programa sa istim ili boljim kvalitetom od FM stereo zvuka.</w:t>
      </w:r>
    </w:p>
    <w:p w14:paraId="5D964B6E" w14:textId="1016EE12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Za potrebe digitalnog emitovanja signala </w:t>
      </w:r>
      <w:r w:rsidR="006621AC" w:rsidRPr="00487724">
        <w:rPr>
          <w:rFonts w:ascii="Arial" w:hAnsi="Arial" w:cs="Arial"/>
          <w:color w:val="000000"/>
        </w:rPr>
        <w:t>lokaln</w:t>
      </w:r>
      <w:r w:rsidR="00066262" w:rsidRPr="00487724">
        <w:rPr>
          <w:rFonts w:ascii="Arial" w:hAnsi="Arial" w:cs="Arial"/>
          <w:color w:val="000000"/>
        </w:rPr>
        <w:t>og</w:t>
      </w:r>
      <w:r w:rsidR="006621AC" w:rsidRPr="00487724">
        <w:rPr>
          <w:rFonts w:ascii="Arial" w:hAnsi="Arial" w:cs="Arial"/>
          <w:color w:val="000000"/>
        </w:rPr>
        <w:t xml:space="preserve"> javn</w:t>
      </w:r>
      <w:r w:rsidR="00066262" w:rsidRPr="00487724">
        <w:rPr>
          <w:rFonts w:ascii="Arial" w:hAnsi="Arial" w:cs="Arial"/>
          <w:color w:val="000000"/>
        </w:rPr>
        <w:t xml:space="preserve">og </w:t>
      </w:r>
      <w:r w:rsidR="006621AC" w:rsidRPr="00487724">
        <w:rPr>
          <w:rFonts w:ascii="Arial" w:hAnsi="Arial" w:cs="Arial"/>
          <w:color w:val="000000"/>
        </w:rPr>
        <w:t>emitera</w:t>
      </w:r>
      <w:r w:rsidRPr="00487724">
        <w:rPr>
          <w:rFonts w:ascii="Arial" w:hAnsi="Arial" w:cs="Arial"/>
          <w:color w:val="000000"/>
        </w:rPr>
        <w:t xml:space="preserve"> na teritoriji jedinice lokalne samouprave, bez sprovođenja postupka javnog konkursa, dodjeljuje se pristup multipleksu mreže sa lokalnim pokrivanjem</w:t>
      </w:r>
      <w:r w:rsidR="006F1358" w:rsidRPr="00487724">
        <w:rPr>
          <w:rFonts w:ascii="Arial" w:hAnsi="Arial" w:cs="Arial"/>
          <w:color w:val="000000"/>
        </w:rPr>
        <w:t xml:space="preserve"> u skladu sa tehničkim mogućnostima</w:t>
      </w:r>
      <w:r w:rsidRPr="00487724">
        <w:rPr>
          <w:rFonts w:ascii="Arial" w:hAnsi="Arial" w:cs="Arial"/>
          <w:color w:val="000000"/>
        </w:rPr>
        <w:t>.</w:t>
      </w:r>
    </w:p>
    <w:p w14:paraId="4CA51288" w14:textId="02CC3AB3" w:rsidR="00181DDF" w:rsidRPr="00487724" w:rsidRDefault="00181DDF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lastRenderedPageBreak/>
        <w:t>Za potrebe digitalnog emitovanja signala regionalnog javnog emitera na odgovarajućoj teritoriji, bez sprovođenja postupka javnog konkursa, dodjeljuje se pristup multipleksu mreže sa regionalnim pokrivanjem u skladu sa tehničkim mogućnostima.</w:t>
      </w:r>
    </w:p>
    <w:p w14:paraId="37DC4B19" w14:textId="01F12B76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Pravno lice za prenos i emitovanje radio-difuznih i drugih telekomunikacionih signala (u daljem tekstu: Radio-difuzni centar) čiji je osnivač Vlada Crne Gore (u daljem tekstu: Vlada) dužno je da vrši prenos i emitovanje programa </w:t>
      </w:r>
      <w:r w:rsidR="00066262" w:rsidRPr="00487724">
        <w:rPr>
          <w:rFonts w:ascii="Arial" w:hAnsi="Arial" w:cs="Arial"/>
          <w:color w:val="000000"/>
        </w:rPr>
        <w:t>emitera</w:t>
      </w:r>
      <w:r w:rsidR="00AE0AFF" w:rsidRPr="00487724">
        <w:rPr>
          <w:rFonts w:ascii="Arial" w:hAnsi="Arial" w:cs="Arial"/>
          <w:color w:val="000000"/>
        </w:rPr>
        <w:t xml:space="preserve"> </w:t>
      </w:r>
      <w:r w:rsidRPr="00487724">
        <w:rPr>
          <w:rFonts w:ascii="Arial" w:hAnsi="Arial" w:cs="Arial"/>
          <w:color w:val="000000"/>
        </w:rPr>
        <w:t>iz st</w:t>
      </w:r>
      <w:r w:rsidR="00066262" w:rsidRPr="00487724">
        <w:rPr>
          <w:rFonts w:ascii="Arial" w:hAnsi="Arial" w:cs="Arial"/>
          <w:color w:val="000000"/>
        </w:rPr>
        <w:t>.</w:t>
      </w:r>
      <w:r w:rsidRPr="00487724">
        <w:rPr>
          <w:rFonts w:ascii="Arial" w:hAnsi="Arial" w:cs="Arial"/>
          <w:color w:val="000000"/>
        </w:rPr>
        <w:t xml:space="preserve"> 1</w:t>
      </w:r>
      <w:r w:rsidR="00435826" w:rsidRPr="00487724">
        <w:rPr>
          <w:rFonts w:ascii="Arial" w:hAnsi="Arial" w:cs="Arial"/>
          <w:color w:val="000000"/>
        </w:rPr>
        <w:t xml:space="preserve"> </w:t>
      </w:r>
      <w:r w:rsidR="00066262" w:rsidRPr="00487724">
        <w:rPr>
          <w:rFonts w:ascii="Arial" w:hAnsi="Arial" w:cs="Arial"/>
          <w:color w:val="000000"/>
        </w:rPr>
        <w:t>i</w:t>
      </w:r>
      <w:r w:rsidR="00435826" w:rsidRPr="00487724">
        <w:rPr>
          <w:rFonts w:ascii="Arial" w:hAnsi="Arial" w:cs="Arial"/>
          <w:color w:val="000000"/>
        </w:rPr>
        <w:t xml:space="preserve"> 2</w:t>
      </w:r>
      <w:r w:rsidRPr="00487724">
        <w:rPr>
          <w:rFonts w:ascii="Arial" w:hAnsi="Arial" w:cs="Arial"/>
          <w:color w:val="000000"/>
        </w:rPr>
        <w:t xml:space="preserve"> ovog člana.</w:t>
      </w:r>
    </w:p>
    <w:p w14:paraId="5A68328D" w14:textId="2E4FF310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Pravo na pristup multipleksu za prvu mrežu sa pokrivanjem cjelokupne teritorije Crne Gore za </w:t>
      </w:r>
      <w:proofErr w:type="gramStart"/>
      <w:r w:rsidRPr="00487724">
        <w:rPr>
          <w:rFonts w:ascii="Arial" w:hAnsi="Arial" w:cs="Arial"/>
          <w:color w:val="000000"/>
        </w:rPr>
        <w:t xml:space="preserve">pružaoce </w:t>
      </w:r>
      <w:r w:rsidR="00066262" w:rsidRPr="00487724">
        <w:rPr>
          <w:rFonts w:ascii="Arial" w:hAnsi="Arial" w:cs="Arial"/>
          <w:color w:val="000000"/>
        </w:rPr>
        <w:t xml:space="preserve"> linearnih</w:t>
      </w:r>
      <w:proofErr w:type="gramEnd"/>
      <w:r w:rsidR="002D76E0" w:rsidRPr="00487724">
        <w:rPr>
          <w:rFonts w:ascii="Arial" w:hAnsi="Arial" w:cs="Arial"/>
          <w:color w:val="000000"/>
        </w:rPr>
        <w:t xml:space="preserve"> </w:t>
      </w:r>
      <w:r w:rsidR="00066262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 xml:space="preserve">, kao i za ostale mreže, ostvaruje se na osnovu javnog konkursa, u skladu sa zakonom kojim se uređuje oblast </w:t>
      </w:r>
      <w:r w:rsidR="00066262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>.</w:t>
      </w:r>
    </w:p>
    <w:p w14:paraId="3CBB1670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70588A1F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III. OBEZBJEĐENJE FINANSIJSKIH SREDSTAVA ZA DIGITALNU ZEMALJSKU RADIO-DIFUZIJU</w:t>
      </w:r>
    </w:p>
    <w:p w14:paraId="156994A4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1" w:name="_Hlk231542009"/>
      <w:r w:rsidRPr="00487724">
        <w:rPr>
          <w:rFonts w:ascii="Arial" w:hAnsi="Arial" w:cs="Arial"/>
          <w:b/>
          <w:bCs/>
          <w:color w:val="000000"/>
        </w:rPr>
        <w:t>Finansijska sredstva za digitalnu zemaljsku radio-difuziju</w:t>
      </w:r>
    </w:p>
    <w:p w14:paraId="2E108C7A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10</w:t>
      </w:r>
    </w:p>
    <w:p w14:paraId="4BE9E129" w14:textId="2661C975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U cilju obezbjeđenja uslova za digitalno emitovanje </w:t>
      </w:r>
      <w:r w:rsidR="00F85B94" w:rsidRPr="00487724">
        <w:rPr>
          <w:rFonts w:ascii="Arial" w:hAnsi="Arial" w:cs="Arial"/>
          <w:color w:val="000000"/>
        </w:rPr>
        <w:t xml:space="preserve">televizijskog i radio </w:t>
      </w:r>
      <w:r w:rsidRPr="00487724">
        <w:rPr>
          <w:rFonts w:ascii="Arial" w:hAnsi="Arial" w:cs="Arial"/>
          <w:color w:val="000000"/>
        </w:rPr>
        <w:t xml:space="preserve">signala </w:t>
      </w:r>
      <w:r w:rsidR="00066262" w:rsidRPr="00487724">
        <w:rPr>
          <w:rFonts w:ascii="Arial" w:hAnsi="Arial" w:cs="Arial"/>
          <w:color w:val="000000"/>
        </w:rPr>
        <w:t>RTCG</w:t>
      </w:r>
      <w:r w:rsidRPr="00487724">
        <w:rPr>
          <w:rFonts w:ascii="Arial" w:hAnsi="Arial" w:cs="Arial"/>
          <w:color w:val="000000"/>
        </w:rPr>
        <w:t>:</w:t>
      </w:r>
    </w:p>
    <w:p w14:paraId="666FCE9D" w14:textId="107A42EE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1) izvršiće se izgradnja prve mreže za pokrivanje cjelokupne teritorije Crne Gore, odnosno najmanje </w:t>
      </w:r>
      <w:r w:rsidR="00F85B94" w:rsidRPr="00487724">
        <w:rPr>
          <w:rFonts w:ascii="Arial" w:hAnsi="Arial" w:cs="Arial"/>
          <w:color w:val="000000"/>
        </w:rPr>
        <w:t>98</w:t>
      </w:r>
      <w:r w:rsidRPr="00487724">
        <w:rPr>
          <w:rFonts w:ascii="Arial" w:hAnsi="Arial" w:cs="Arial"/>
          <w:color w:val="000000"/>
        </w:rPr>
        <w:t>% stanovništva Crne Gore i</w:t>
      </w:r>
    </w:p>
    <w:p w14:paraId="6A564C60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ind w:left="690" w:hanging="240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2) obezbijediti sredstva za pokriće povećanih troškova za električnu energiju u prelaznom periodu (istovremeni rad analognih i digitalnih zemaljskih sistema) operatoru prve mreže.</w:t>
      </w:r>
    </w:p>
    <w:p w14:paraId="0BBCFBEF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Finansijska sredstva iz stava 1 ovog člana obezbjeđuju se iz budžeta Crne Gore i drugih izvora finansiranja (donacije Evropske komisije, krediti i dr).</w:t>
      </w:r>
    </w:p>
    <w:bookmarkEnd w:id="1"/>
    <w:p w14:paraId="6C19B95E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31E9382C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IV. PRELAZNI PERIOD</w:t>
      </w:r>
    </w:p>
    <w:p w14:paraId="76612465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Istovremeno emitovanje</w:t>
      </w:r>
    </w:p>
    <w:p w14:paraId="27D0FAFE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2" w:name="_Hlk231542961"/>
      <w:r w:rsidRPr="00487724">
        <w:rPr>
          <w:rFonts w:ascii="Arial" w:hAnsi="Arial" w:cs="Arial"/>
          <w:b/>
          <w:bCs/>
          <w:color w:val="000000"/>
        </w:rPr>
        <w:t>Član 11</w:t>
      </w:r>
    </w:p>
    <w:p w14:paraId="17399E85" w14:textId="1D36A21C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Prelazni period, u smislu ovog zakona, je vremenski period u kojem se istovremeno sa emitovanjem radijskih programa u analognoj tehnologiji započinje i vrši emitovanje radijskih programa u digitalnoj tehnologiji.</w:t>
      </w:r>
    </w:p>
    <w:bookmarkEnd w:id="2"/>
    <w:p w14:paraId="1883094B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760845D4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3" w:name="_Hlk231543025"/>
      <w:r w:rsidRPr="00487724">
        <w:rPr>
          <w:rFonts w:ascii="Arial" w:hAnsi="Arial" w:cs="Arial"/>
          <w:b/>
          <w:bCs/>
          <w:color w:val="000000"/>
        </w:rPr>
        <w:t>Finansiranje troškova imalaca prava na pristup multipleksu u prelaznom periodu</w:t>
      </w:r>
    </w:p>
    <w:p w14:paraId="611A3EB2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12</w:t>
      </w:r>
    </w:p>
    <w:p w14:paraId="46E40BAE" w14:textId="53F5BDC6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U periodu istovremenog analognog i digitalnog emitovanja programa, emiteri na određenoj emisionoj lokaciji, koji su stekli pravo na pristup multipleksu, </w:t>
      </w:r>
      <w:r w:rsidR="00112BAD" w:rsidRPr="00487724">
        <w:rPr>
          <w:rFonts w:ascii="Arial" w:hAnsi="Arial" w:cs="Arial"/>
          <w:color w:val="000000"/>
        </w:rPr>
        <w:t xml:space="preserve">prvih šest mjeseci se </w:t>
      </w:r>
      <w:r w:rsidRPr="00487724">
        <w:rPr>
          <w:rFonts w:ascii="Arial" w:hAnsi="Arial" w:cs="Arial"/>
          <w:color w:val="000000"/>
        </w:rPr>
        <w:t xml:space="preserve">oslobađaju plaćanja usluge prava na pristup multipleksu, operatoru multipleksa prve </w:t>
      </w:r>
      <w:proofErr w:type="gramStart"/>
      <w:r w:rsidRPr="00487724">
        <w:rPr>
          <w:rFonts w:ascii="Arial" w:hAnsi="Arial" w:cs="Arial"/>
          <w:color w:val="000000"/>
        </w:rPr>
        <w:t>mreže</w:t>
      </w:r>
      <w:r w:rsidR="00112BAD" w:rsidRPr="00487724">
        <w:rPr>
          <w:rFonts w:ascii="Arial" w:hAnsi="Arial" w:cs="Arial"/>
          <w:color w:val="000000"/>
        </w:rPr>
        <w:t xml:space="preserve"> </w:t>
      </w:r>
      <w:r w:rsidRPr="00487724">
        <w:rPr>
          <w:rFonts w:ascii="Arial" w:hAnsi="Arial" w:cs="Arial"/>
          <w:color w:val="000000"/>
        </w:rPr>
        <w:t>.</w:t>
      </w:r>
      <w:proofErr w:type="gramEnd"/>
    </w:p>
    <w:bookmarkEnd w:id="3"/>
    <w:p w14:paraId="78560E5C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1871CFE4" w14:textId="263F3CF2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4" w:name="_Hlk231543175"/>
      <w:r w:rsidRPr="00487724">
        <w:rPr>
          <w:rFonts w:ascii="Arial" w:hAnsi="Arial" w:cs="Arial"/>
          <w:b/>
          <w:bCs/>
          <w:color w:val="000000"/>
        </w:rPr>
        <w:t>Obaveze pružalaca</w:t>
      </w:r>
      <w:r w:rsidR="00BC46DC" w:rsidRPr="00487724">
        <w:rPr>
          <w:rFonts w:ascii="Arial" w:hAnsi="Arial" w:cs="Arial"/>
          <w:b/>
          <w:bCs/>
          <w:color w:val="000000"/>
        </w:rPr>
        <w:t xml:space="preserve"> linearnih</w:t>
      </w:r>
      <w:r w:rsidRPr="00487724">
        <w:rPr>
          <w:rFonts w:ascii="Arial" w:hAnsi="Arial" w:cs="Arial"/>
          <w:b/>
          <w:bCs/>
          <w:color w:val="000000"/>
        </w:rPr>
        <w:t xml:space="preserve"> </w:t>
      </w:r>
      <w:r w:rsidR="00BC46DC" w:rsidRPr="00487724">
        <w:rPr>
          <w:rFonts w:ascii="Arial" w:hAnsi="Arial" w:cs="Arial"/>
          <w:b/>
          <w:bCs/>
          <w:color w:val="000000"/>
        </w:rPr>
        <w:t>AVM</w:t>
      </w:r>
      <w:r w:rsidRPr="00487724">
        <w:rPr>
          <w:rFonts w:ascii="Arial" w:hAnsi="Arial" w:cs="Arial"/>
          <w:b/>
          <w:bCs/>
          <w:color w:val="000000"/>
        </w:rPr>
        <w:t xml:space="preserve"> usluga u prelaznom periodu</w:t>
      </w:r>
    </w:p>
    <w:p w14:paraId="1BF64455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13</w:t>
      </w:r>
    </w:p>
    <w:bookmarkEnd w:id="4"/>
    <w:p w14:paraId="51A83909" w14:textId="3E1C86FF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Period istovremenog analognog i digitalnog emitovanja programa za </w:t>
      </w:r>
      <w:r w:rsidR="00BC46DC" w:rsidRPr="00487724">
        <w:rPr>
          <w:rFonts w:ascii="Arial" w:hAnsi="Arial" w:cs="Arial"/>
          <w:color w:val="000000"/>
        </w:rPr>
        <w:t>javne emitere</w:t>
      </w:r>
      <w:r w:rsidRPr="00487724">
        <w:rPr>
          <w:rFonts w:ascii="Arial" w:hAnsi="Arial" w:cs="Arial"/>
          <w:color w:val="000000"/>
        </w:rPr>
        <w:t xml:space="preserve"> i pružaoce audiovizuelnih medijskih usluga na određenoj emisionoj lokaciji, koji su stekli pravo na pristup </w:t>
      </w:r>
      <w:r w:rsidRPr="00487724">
        <w:rPr>
          <w:rFonts w:ascii="Arial" w:hAnsi="Arial" w:cs="Arial"/>
          <w:color w:val="000000"/>
        </w:rPr>
        <w:lastRenderedPageBreak/>
        <w:t xml:space="preserve">multipleksu, počinje obezbjeđenjem tehničkih uslova za digitalno emitovanje programa </w:t>
      </w:r>
      <w:r w:rsidR="00782CF7" w:rsidRPr="00487724">
        <w:rPr>
          <w:rFonts w:ascii="Arial" w:hAnsi="Arial" w:cs="Arial"/>
          <w:color w:val="000000"/>
        </w:rPr>
        <w:t>u okviru multipleksa.</w:t>
      </w:r>
    </w:p>
    <w:p w14:paraId="103304E4" w14:textId="3661FF69" w:rsidR="00BC46DC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Pružaoci </w:t>
      </w:r>
      <w:r w:rsidR="00BC46DC" w:rsidRPr="00487724">
        <w:rPr>
          <w:rFonts w:ascii="Arial" w:hAnsi="Arial" w:cs="Arial"/>
          <w:color w:val="000000"/>
        </w:rPr>
        <w:t>linearnih AVM</w:t>
      </w:r>
      <w:r w:rsidRPr="00487724">
        <w:rPr>
          <w:rFonts w:ascii="Arial" w:hAnsi="Arial" w:cs="Arial"/>
          <w:color w:val="000000"/>
        </w:rPr>
        <w:t xml:space="preserve"> usluga dužni su da informišu javnost o prelaznom periodu kao i o </w:t>
      </w:r>
      <w:r w:rsidR="00782CF7" w:rsidRPr="00487724">
        <w:rPr>
          <w:rFonts w:ascii="Arial" w:hAnsi="Arial" w:cs="Arial"/>
          <w:color w:val="000000"/>
        </w:rPr>
        <w:t xml:space="preserve">eventualnom </w:t>
      </w:r>
      <w:r w:rsidRPr="00487724">
        <w:rPr>
          <w:rFonts w:ascii="Arial" w:hAnsi="Arial" w:cs="Arial"/>
          <w:color w:val="000000"/>
        </w:rPr>
        <w:t>prestanku analognog emitovanja programa.</w:t>
      </w:r>
    </w:p>
    <w:p w14:paraId="1D59ACA6" w14:textId="34304D80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Način informisanja javnosti iz stava </w:t>
      </w:r>
      <w:r w:rsidR="00BC46DC" w:rsidRPr="00487724">
        <w:rPr>
          <w:rFonts w:ascii="Arial" w:hAnsi="Arial" w:cs="Arial"/>
          <w:color w:val="000000"/>
        </w:rPr>
        <w:t>2</w:t>
      </w:r>
      <w:r w:rsidRPr="00487724">
        <w:rPr>
          <w:rFonts w:ascii="Arial" w:hAnsi="Arial" w:cs="Arial"/>
          <w:color w:val="000000"/>
        </w:rPr>
        <w:t xml:space="preserve"> ovog člana i uputstvo o postupanju krajnjih korisnika u prelaznom periodu propisuje, u saradnji sa organom državne uprave nadležnim za elektronske komunikacije</w:t>
      </w:r>
      <w:r w:rsidR="00AE0AFF" w:rsidRPr="00487724">
        <w:rPr>
          <w:rFonts w:ascii="Arial" w:hAnsi="Arial" w:cs="Arial"/>
          <w:color w:val="000000"/>
        </w:rPr>
        <w:t xml:space="preserve">, </w:t>
      </w:r>
      <w:r w:rsidR="007E0A01" w:rsidRPr="00487724">
        <w:rPr>
          <w:rFonts w:ascii="Arial" w:hAnsi="Arial" w:cs="Arial"/>
          <w:color w:val="000000"/>
        </w:rPr>
        <w:t>regulatorni organ za oblast AVM usluga</w:t>
      </w:r>
    </w:p>
    <w:p w14:paraId="3C19F08E" w14:textId="4A2E553F" w:rsidR="005C5077" w:rsidRPr="00487724" w:rsidRDefault="005C5077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6E892DAC" w14:textId="77777777" w:rsidR="005C5077" w:rsidRPr="00487724" w:rsidRDefault="005C5077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22EF9053" w14:textId="6BA1EFD3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V. NADZOR</w:t>
      </w:r>
    </w:p>
    <w:p w14:paraId="6D5BD111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5" w:name="_Hlk231543247"/>
      <w:r w:rsidRPr="00487724">
        <w:rPr>
          <w:rFonts w:ascii="Arial" w:hAnsi="Arial" w:cs="Arial"/>
          <w:b/>
          <w:bCs/>
          <w:color w:val="000000"/>
        </w:rPr>
        <w:t>Nadzor nad sprovođenjem zakona</w:t>
      </w:r>
    </w:p>
    <w:p w14:paraId="522164AD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14</w:t>
      </w:r>
    </w:p>
    <w:p w14:paraId="66202879" w14:textId="1A688209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Nadzor nad sprovođenjem ovog zakona vrše regulatorni organi nadležni za oblast elektronskih komunikacija i oblast </w:t>
      </w:r>
      <w:r w:rsidR="00892E09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 xml:space="preserve">, u skladu sa ovim zakonom i propisima kojima se uređuje oblast elektronskih komunikacija i oblast </w:t>
      </w:r>
      <w:r w:rsidR="00892E09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>.</w:t>
      </w:r>
    </w:p>
    <w:bookmarkEnd w:id="5"/>
    <w:p w14:paraId="7ABD8BCF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54A98CF1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6" w:name="_Hlk231543352"/>
      <w:r w:rsidRPr="00487724">
        <w:rPr>
          <w:rFonts w:ascii="Arial" w:hAnsi="Arial" w:cs="Arial"/>
          <w:b/>
          <w:bCs/>
          <w:color w:val="000000"/>
        </w:rPr>
        <w:t>VI. PRELAZNE I ZAVRŠNE ODREDBE</w:t>
      </w:r>
    </w:p>
    <w:p w14:paraId="11BEBEBA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Prva mreža</w:t>
      </w:r>
    </w:p>
    <w:p w14:paraId="029B880B" w14:textId="2F26EC5D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</w:t>
      </w:r>
      <w:r w:rsidR="007E0A01" w:rsidRPr="00487724">
        <w:rPr>
          <w:rFonts w:ascii="Arial" w:hAnsi="Arial" w:cs="Arial"/>
          <w:b/>
          <w:bCs/>
          <w:color w:val="000000"/>
        </w:rPr>
        <w:t>5</w:t>
      </w:r>
    </w:p>
    <w:p w14:paraId="23BEBC01" w14:textId="626F79B3" w:rsidR="002A5400" w:rsidRPr="00487724" w:rsidRDefault="00782CF7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Ovim zakonom</w:t>
      </w:r>
      <w:r w:rsidR="002A5400" w:rsidRPr="00487724">
        <w:rPr>
          <w:rFonts w:ascii="Arial" w:hAnsi="Arial" w:cs="Arial"/>
          <w:color w:val="000000"/>
        </w:rPr>
        <w:t xml:space="preserve"> Radio-difuzni centar stiče status operatora prvog multipleksa i operatora prve mreže, bez sprovođenja postupka </w:t>
      </w:r>
      <w:r w:rsidR="00892E09" w:rsidRPr="00487724">
        <w:rPr>
          <w:rFonts w:ascii="Arial" w:hAnsi="Arial" w:cs="Arial"/>
          <w:color w:val="000000"/>
        </w:rPr>
        <w:t xml:space="preserve">javnog konkursa </w:t>
      </w:r>
      <w:r w:rsidR="002A5400" w:rsidRPr="00487724">
        <w:rPr>
          <w:rFonts w:ascii="Arial" w:hAnsi="Arial" w:cs="Arial"/>
          <w:color w:val="000000"/>
        </w:rPr>
        <w:t>za dodjelu radio frekvencija.</w:t>
      </w:r>
    </w:p>
    <w:p w14:paraId="7FA3AEDC" w14:textId="61E6D1B1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Radio-difuzni centar dužan je da Agenciji podnese zahtjev za izdavanje odobrenja za korišćenje </w:t>
      </w:r>
      <w:r w:rsidR="002D56A2" w:rsidRPr="00487724">
        <w:rPr>
          <w:rFonts w:ascii="Arial" w:hAnsi="Arial" w:cs="Arial"/>
          <w:color w:val="000000"/>
        </w:rPr>
        <w:t>radio-</w:t>
      </w:r>
      <w:r w:rsidRPr="00487724">
        <w:rPr>
          <w:rFonts w:ascii="Arial" w:hAnsi="Arial" w:cs="Arial"/>
          <w:color w:val="000000"/>
        </w:rPr>
        <w:t>frekvencija koje su namijenjene za potrebe digitalne televizije</w:t>
      </w:r>
      <w:r w:rsidR="00112BAD" w:rsidRPr="00487724">
        <w:rPr>
          <w:rFonts w:ascii="Arial" w:hAnsi="Arial" w:cs="Arial"/>
          <w:color w:val="000000"/>
        </w:rPr>
        <w:t xml:space="preserve"> i digitalnog radija</w:t>
      </w:r>
      <w:r w:rsidRPr="00487724">
        <w:rPr>
          <w:rFonts w:ascii="Arial" w:hAnsi="Arial" w:cs="Arial"/>
          <w:color w:val="000000"/>
        </w:rPr>
        <w:t xml:space="preserve"> i registruje se kao operator multipleksa, u roku od </w:t>
      </w:r>
      <w:r w:rsidR="00D01FC1" w:rsidRPr="00487724">
        <w:rPr>
          <w:rFonts w:ascii="Arial" w:hAnsi="Arial" w:cs="Arial"/>
          <w:color w:val="000000"/>
        </w:rPr>
        <w:t>9</w:t>
      </w:r>
      <w:r w:rsidRPr="00487724">
        <w:rPr>
          <w:rFonts w:ascii="Arial" w:hAnsi="Arial" w:cs="Arial"/>
          <w:color w:val="000000"/>
        </w:rPr>
        <w:t>0 dana od dana stupanja na snagu ovog zakona.</w:t>
      </w:r>
    </w:p>
    <w:p w14:paraId="45782475" w14:textId="3AAF5D13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Radio-difuzni centar dužan je da regulatornom organu nadležnom za oblast </w:t>
      </w:r>
      <w:r w:rsidR="00892E09" w:rsidRPr="00487724">
        <w:rPr>
          <w:rFonts w:ascii="Arial" w:hAnsi="Arial" w:cs="Arial"/>
          <w:color w:val="000000"/>
        </w:rPr>
        <w:t>AVM usluga</w:t>
      </w:r>
      <w:r w:rsidRPr="00487724">
        <w:rPr>
          <w:rFonts w:ascii="Arial" w:hAnsi="Arial" w:cs="Arial"/>
          <w:color w:val="000000"/>
        </w:rPr>
        <w:t xml:space="preserve"> podnese zahtjev za izdavanje odobrenja za </w:t>
      </w:r>
      <w:r w:rsidR="00892E09" w:rsidRPr="00487724">
        <w:rPr>
          <w:rFonts w:ascii="Arial" w:hAnsi="Arial" w:cs="Arial"/>
          <w:color w:val="000000"/>
        </w:rPr>
        <w:t xml:space="preserve">pružanje usluge </w:t>
      </w:r>
      <w:r w:rsidRPr="00487724">
        <w:rPr>
          <w:rFonts w:ascii="Arial" w:hAnsi="Arial" w:cs="Arial"/>
          <w:color w:val="000000"/>
        </w:rPr>
        <w:t>distribucij</w:t>
      </w:r>
      <w:r w:rsidR="00892E09" w:rsidRPr="00487724">
        <w:rPr>
          <w:rFonts w:ascii="Arial" w:hAnsi="Arial" w:cs="Arial"/>
          <w:color w:val="000000"/>
        </w:rPr>
        <w:t>e linearnih</w:t>
      </w:r>
      <w:r w:rsidRPr="00487724">
        <w:rPr>
          <w:rFonts w:ascii="Arial" w:hAnsi="Arial" w:cs="Arial"/>
          <w:color w:val="000000"/>
        </w:rPr>
        <w:t xml:space="preserve"> </w:t>
      </w:r>
      <w:r w:rsidR="00892E09" w:rsidRPr="00487724">
        <w:rPr>
          <w:rFonts w:ascii="Arial" w:hAnsi="Arial" w:cs="Arial"/>
          <w:color w:val="000000"/>
        </w:rPr>
        <w:t>AVM</w:t>
      </w:r>
      <w:r w:rsidRPr="00487724">
        <w:rPr>
          <w:rFonts w:ascii="Arial" w:hAnsi="Arial" w:cs="Arial"/>
          <w:color w:val="000000"/>
        </w:rPr>
        <w:t xml:space="preserve"> usluga.</w:t>
      </w:r>
    </w:p>
    <w:p w14:paraId="0827F3E6" w14:textId="77777777" w:rsidR="008D7AB7" w:rsidRPr="00487724" w:rsidRDefault="008D7AB7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D078BD9" w14:textId="7CDBA271" w:rsidR="002A5400" w:rsidRPr="00487724" w:rsidRDefault="000A5C77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Plan raspodjele radio-frekvencija za digitalnu zemaljsku radio-difuziju</w:t>
      </w:r>
    </w:p>
    <w:p w14:paraId="358CF0A1" w14:textId="03466EC6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</w:t>
      </w:r>
      <w:r w:rsidR="007E0A01" w:rsidRPr="00487724">
        <w:rPr>
          <w:rFonts w:ascii="Arial" w:hAnsi="Arial" w:cs="Arial"/>
          <w:b/>
          <w:bCs/>
          <w:color w:val="000000"/>
        </w:rPr>
        <w:t>6</w:t>
      </w:r>
    </w:p>
    <w:p w14:paraId="7AF8206F" w14:textId="02FCA214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 xml:space="preserve">Plan raspodjele radio-frekvencija za digitalnu zemaljsku radio-difuziju Agencija će donijeti u roku od </w:t>
      </w:r>
      <w:r w:rsidR="00782CF7" w:rsidRPr="00487724">
        <w:rPr>
          <w:rFonts w:ascii="Arial" w:hAnsi="Arial" w:cs="Arial"/>
          <w:color w:val="000000"/>
        </w:rPr>
        <w:t>šest</w:t>
      </w:r>
      <w:r w:rsidRPr="00487724">
        <w:rPr>
          <w:rFonts w:ascii="Arial" w:hAnsi="Arial" w:cs="Arial"/>
          <w:color w:val="000000"/>
        </w:rPr>
        <w:t xml:space="preserve"> mjesec</w:t>
      </w:r>
      <w:r w:rsidR="00782CF7" w:rsidRPr="00487724">
        <w:rPr>
          <w:rFonts w:ascii="Arial" w:hAnsi="Arial" w:cs="Arial"/>
          <w:color w:val="000000"/>
        </w:rPr>
        <w:t>i</w:t>
      </w:r>
      <w:r w:rsidRPr="00487724">
        <w:rPr>
          <w:rFonts w:ascii="Arial" w:hAnsi="Arial" w:cs="Arial"/>
          <w:color w:val="000000"/>
        </w:rPr>
        <w:t xml:space="preserve"> od dana stupanja na snagu ovog zakona.</w:t>
      </w:r>
    </w:p>
    <w:p w14:paraId="764B336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3E00143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Donošenje propisa</w:t>
      </w:r>
    </w:p>
    <w:p w14:paraId="3F2CB544" w14:textId="4014643E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>Član 1</w:t>
      </w:r>
      <w:r w:rsidR="007E0A01" w:rsidRPr="00487724">
        <w:rPr>
          <w:rFonts w:ascii="Arial" w:hAnsi="Arial" w:cs="Arial"/>
          <w:b/>
          <w:bCs/>
          <w:color w:val="000000"/>
        </w:rPr>
        <w:t>7</w:t>
      </w:r>
    </w:p>
    <w:p w14:paraId="06AB8EAB" w14:textId="16324B06" w:rsidR="002A5400" w:rsidRPr="00487724" w:rsidRDefault="002A5400" w:rsidP="0017717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Podzakonski akti za sprovođenje ovog zakona donijeće se u roku od šest mjeseci od dana stupanja na snagu ovog zakona.</w:t>
      </w:r>
    </w:p>
    <w:p w14:paraId="2274E791" w14:textId="77777777" w:rsidR="00177178" w:rsidRPr="00487724" w:rsidRDefault="00177178" w:rsidP="0017717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590A040" w14:textId="77777777" w:rsidR="00B1251E" w:rsidRDefault="00B1251E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E8CF4FC" w14:textId="38007B8D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bookmarkStart w:id="7" w:name="_GoBack"/>
      <w:bookmarkEnd w:id="7"/>
      <w:r w:rsidRPr="00487724">
        <w:rPr>
          <w:rFonts w:ascii="Arial" w:hAnsi="Arial" w:cs="Arial"/>
          <w:b/>
          <w:bCs/>
          <w:color w:val="000000"/>
        </w:rPr>
        <w:lastRenderedPageBreak/>
        <w:t>Stupanje na snagu</w:t>
      </w:r>
    </w:p>
    <w:p w14:paraId="7AE3CA88" w14:textId="69566ED9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b/>
          <w:bCs/>
          <w:color w:val="000000"/>
        </w:rPr>
        <w:t xml:space="preserve">Član </w:t>
      </w:r>
      <w:r w:rsidR="007E0A01" w:rsidRPr="00487724">
        <w:rPr>
          <w:rFonts w:ascii="Arial" w:hAnsi="Arial" w:cs="Arial"/>
          <w:b/>
          <w:bCs/>
          <w:color w:val="000000"/>
        </w:rPr>
        <w:t>18</w:t>
      </w:r>
    </w:p>
    <w:p w14:paraId="0FDDB228" w14:textId="77777777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87724">
        <w:rPr>
          <w:rFonts w:ascii="Arial" w:hAnsi="Arial" w:cs="Arial"/>
          <w:color w:val="000000"/>
        </w:rPr>
        <w:t>Ovaj zakon stupa na snagu osmog dana od dana objavljivanja u "Službenom listu Crne Gore".</w:t>
      </w:r>
    </w:p>
    <w:p w14:paraId="65AB48CC" w14:textId="6890389B" w:rsidR="002A5400" w:rsidRPr="00487724" w:rsidRDefault="002A5400" w:rsidP="00F5201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bookmarkEnd w:id="6"/>
    <w:p w14:paraId="771499F1" w14:textId="77777777" w:rsidR="003F6440" w:rsidRPr="00487724" w:rsidRDefault="003F6440" w:rsidP="00F5201D">
      <w:pPr>
        <w:spacing w:after="120"/>
        <w:rPr>
          <w:rFonts w:ascii="Arial" w:hAnsi="Arial" w:cs="Arial"/>
        </w:rPr>
      </w:pPr>
    </w:p>
    <w:sectPr w:rsidR="003F6440" w:rsidRPr="00487724" w:rsidSect="00F5201D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B59229" w16cex:dateUtc="2025-04-23T06:15:00Z"/>
  <w16cex:commentExtensible w16cex:durableId="2BA8DCC0" w16cex:dateUtc="2025-04-15T11:25:00Z"/>
  <w16cex:commentExtensible w16cex:durableId="7009D070" w16cex:dateUtc="2025-04-23T06:15:00Z"/>
  <w16cex:commentExtensible w16cex:durableId="3CF93DB4" w16cex:dateUtc="2025-04-23T06:24:00Z"/>
  <w16cex:commentExtensible w16cex:durableId="6EDA7A34" w16cex:dateUtc="2025-04-23T06:53:00Z"/>
  <w16cex:commentExtensible w16cex:durableId="2BA8DD84" w16cex:dateUtc="2025-04-15T11:28:00Z"/>
  <w16cex:commentExtensible w16cex:durableId="2BA8DDB2" w16cex:dateUtc="2025-04-15T11:29:00Z"/>
  <w16cex:commentExtensible w16cex:durableId="69EE9D64" w16cex:dateUtc="2025-04-23T07:00:00Z"/>
  <w16cex:commentExtensible w16cex:durableId="2FF527CA" w16cex:dateUtc="2025-04-23T07:15:00Z"/>
  <w16cex:commentExtensible w16cex:durableId="6C22BCA7" w16cex:dateUtc="2025-04-23T07:20:00Z"/>
  <w16cex:commentExtensible w16cex:durableId="74FF4C2F" w16cex:dateUtc="2025-04-23T07:56:00Z"/>
  <w16cex:commentExtensible w16cex:durableId="3528EAE9" w16cex:dateUtc="2025-04-23T07:53:00Z"/>
  <w16cex:commentExtensible w16cex:durableId="4D14017A" w16cex:dateUtc="2025-04-23T07:54:00Z"/>
  <w16cex:commentExtensible w16cex:durableId="3A662C92" w16cex:dateUtc="2025-04-23T08:0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00"/>
    <w:rsid w:val="00017296"/>
    <w:rsid w:val="00066262"/>
    <w:rsid w:val="000672BB"/>
    <w:rsid w:val="00070408"/>
    <w:rsid w:val="000737D0"/>
    <w:rsid w:val="000A5C77"/>
    <w:rsid w:val="000C0BCB"/>
    <w:rsid w:val="000F49EC"/>
    <w:rsid w:val="001048F8"/>
    <w:rsid w:val="00112BAD"/>
    <w:rsid w:val="00113B53"/>
    <w:rsid w:val="00127F7D"/>
    <w:rsid w:val="00162DAF"/>
    <w:rsid w:val="00177178"/>
    <w:rsid w:val="00181DDF"/>
    <w:rsid w:val="0018390D"/>
    <w:rsid w:val="001C60B2"/>
    <w:rsid w:val="001F7671"/>
    <w:rsid w:val="00200718"/>
    <w:rsid w:val="00235A54"/>
    <w:rsid w:val="0027160A"/>
    <w:rsid w:val="002A3DD2"/>
    <w:rsid w:val="002A5400"/>
    <w:rsid w:val="002B2187"/>
    <w:rsid w:val="002D56A2"/>
    <w:rsid w:val="002D76E0"/>
    <w:rsid w:val="0039492D"/>
    <w:rsid w:val="00397F2C"/>
    <w:rsid w:val="003F1A6E"/>
    <w:rsid w:val="003F6440"/>
    <w:rsid w:val="00435826"/>
    <w:rsid w:val="00487724"/>
    <w:rsid w:val="004B1BC2"/>
    <w:rsid w:val="004F2586"/>
    <w:rsid w:val="004F7242"/>
    <w:rsid w:val="00542882"/>
    <w:rsid w:val="005C5077"/>
    <w:rsid w:val="005F6C7A"/>
    <w:rsid w:val="006130EF"/>
    <w:rsid w:val="00620A9B"/>
    <w:rsid w:val="006370A6"/>
    <w:rsid w:val="00641236"/>
    <w:rsid w:val="006621AC"/>
    <w:rsid w:val="006A552D"/>
    <w:rsid w:val="006E78EF"/>
    <w:rsid w:val="006F1358"/>
    <w:rsid w:val="00704E26"/>
    <w:rsid w:val="00711702"/>
    <w:rsid w:val="007224E8"/>
    <w:rsid w:val="007651FC"/>
    <w:rsid w:val="00782CF7"/>
    <w:rsid w:val="00790014"/>
    <w:rsid w:val="007A3856"/>
    <w:rsid w:val="007E0A01"/>
    <w:rsid w:val="00885183"/>
    <w:rsid w:val="00892E09"/>
    <w:rsid w:val="008979D9"/>
    <w:rsid w:val="008D7AB7"/>
    <w:rsid w:val="008D7B5A"/>
    <w:rsid w:val="00914E07"/>
    <w:rsid w:val="00936F6D"/>
    <w:rsid w:val="00974D24"/>
    <w:rsid w:val="0098297B"/>
    <w:rsid w:val="00987C5A"/>
    <w:rsid w:val="00A30078"/>
    <w:rsid w:val="00A32854"/>
    <w:rsid w:val="00A41D98"/>
    <w:rsid w:val="00AD7C54"/>
    <w:rsid w:val="00AE0AFF"/>
    <w:rsid w:val="00B1251E"/>
    <w:rsid w:val="00B52DC3"/>
    <w:rsid w:val="00BC46DC"/>
    <w:rsid w:val="00C008BB"/>
    <w:rsid w:val="00C34C04"/>
    <w:rsid w:val="00CC5789"/>
    <w:rsid w:val="00CD0CEE"/>
    <w:rsid w:val="00D01FC1"/>
    <w:rsid w:val="00D0424C"/>
    <w:rsid w:val="00D12B85"/>
    <w:rsid w:val="00D21C1D"/>
    <w:rsid w:val="00D45D10"/>
    <w:rsid w:val="00D830DD"/>
    <w:rsid w:val="00DA4A02"/>
    <w:rsid w:val="00DF34D2"/>
    <w:rsid w:val="00E4330D"/>
    <w:rsid w:val="00E75A50"/>
    <w:rsid w:val="00EF259D"/>
    <w:rsid w:val="00F5201D"/>
    <w:rsid w:val="00F673E1"/>
    <w:rsid w:val="00F808DA"/>
    <w:rsid w:val="00F85B94"/>
    <w:rsid w:val="00F86318"/>
    <w:rsid w:val="00FC0648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3334"/>
  <w15:docId w15:val="{8AE615E8-3DB5-4346-9FC0-1541E5DD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92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2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D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25B-F719-4C47-A86F-724BF698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zarko.marjanovic</dc:creator>
  <cp:keywords/>
  <cp:lastModifiedBy>Hajriz Adrovic</cp:lastModifiedBy>
  <cp:revision>11</cp:revision>
  <cp:lastPrinted>2026-07-01T10:00:00Z</cp:lastPrinted>
  <dcterms:created xsi:type="dcterms:W3CDTF">2026-06-04T06:37:00Z</dcterms:created>
  <dcterms:modified xsi:type="dcterms:W3CDTF">2026-07-01T10:01:00Z</dcterms:modified>
</cp:coreProperties>
</file>