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487" w:rsidRDefault="00AF1A32">
      <w:pPr>
        <w:jc w:val="both"/>
      </w:pPr>
      <w:r>
        <w:t xml:space="preserve">IZVRŠENJE BUDŽETA ZA JANUAR - APRIL OVE GODINE </w:t>
      </w:r>
    </w:p>
    <w:p w:rsidR="00333487" w:rsidRDefault="00333487">
      <w:pPr>
        <w:jc w:val="both"/>
      </w:pPr>
    </w:p>
    <w:p w:rsidR="00333487" w:rsidRDefault="00AF1A32">
      <w:pPr>
        <w:jc w:val="both"/>
        <w:rPr>
          <w:b/>
        </w:rPr>
      </w:pPr>
      <w:r>
        <w:rPr>
          <w:b/>
        </w:rPr>
        <w:t>Suficit od 54,6 mil.€ za četiri mjeseca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Prihodi budžeta od početka januara do kraja aprila ove godine iznosili su 896,1 miliona eura ili 12,7% procijenjenog BDP-a (7.034,0 mil.€), što je više za 98,7 miliona ili 12,4% u odnosu na isti period prethodne godine. 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Premašen je i plan prihoda za 86,6 mil. € ili 10,7% u poređenju sa planiranim za ovaj period od četiri mjeseca. 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Najznačajniji rast se bilježi kod poreza na dobit pravnih lica, poreza na dohodak fizičkih lica, doprinosa, poreza na dodatu vrijednost (PDV).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Porez na dobit pravnih lica je ostvaren u iznosu od 179,2 mil. €, što je 50,7 mil. € ili 39,4% više u odnosu na plan i 59,3 mil. € ili za 49,4% nego u istom prošlogodišnjem periodu.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Porez na dohodak fizičkih lica je iznosio 24,1 mil. €, što je 5,8 mil. € ili 32,1% iznad plana i  9,1 mil. € ili 60,7% više nego u periodu januar - april 2023. </w:t>
      </w:r>
    </w:p>
    <w:p w:rsidR="00333487" w:rsidRDefault="00AF1A32">
      <w:pPr>
        <w:jc w:val="both"/>
      </w:pPr>
      <w:r>
        <w:t xml:space="preserve">Doprinosi su ostvareni u iznosu od 173,2 mil.€ i plan je premašen za 18,2 mil. € ili 11,8%, a ovi prihodi su veći za 25,8 mil. € ili 17,5% u odnosu na isti period prethodne godine.  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Zaključno sa aprilom, naplaćeno je ukupno 346,9 mil. € prihoda od PDV-a, odnosno ostvareno je uvećanje od 45,6 mil. € ili 15,1% u odnosu na isti period prošle godine, kao i premašen četvoromjesečni plan za 3,7 mil. € ili 1,1%.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Prihodi od akciza u periodu januar - april iznosili su 93,9 mil. €, što je više za 11,4 mil. € ili 13,8% nego u istom periodu lani, a niže za 1,5 mil. € ili 1,6% od planiranog.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Pored navedenog, ostali prihodi bilježe rast u odnosu na plan za 5 mil. € ili 21,6%, a dominantno kao rezultat: izvršenih uplata CBCG za dobit iz 2022. i 2023. godine u iznosu od ukupno 9,1 mil. €, povraćaja sredstava po osnovu projekta podrške za kovid 19 u iznosu od 3 mil. €, kao i po osnovu Programa ekonomskog državljanstva, u iznosu od 3,1 mil. €. Navedena kategorija prihoda budžeta manja je u odnosu na isti period prethodne godine za 19,7 mil. € ili 41,2%, prvenstveno usljed značajnog iznosa jednokratnih prihoda u prva četiri mjeseca 2023. godine. </w:t>
      </w:r>
    </w:p>
    <w:p w:rsidR="00333487" w:rsidRDefault="00333487">
      <w:pPr>
        <w:jc w:val="both"/>
      </w:pPr>
    </w:p>
    <w:p w:rsidR="001157D6" w:rsidRDefault="001157D6" w:rsidP="001157D6">
      <w:pPr>
        <w:jc w:val="both"/>
        <w:rPr>
          <w:rFonts w:cstheme="minorHAnsi"/>
          <w:b/>
          <w:lang w:val="sr-Latn-ME"/>
        </w:rPr>
      </w:pPr>
      <w:r w:rsidRPr="00702B5F">
        <w:rPr>
          <w:rFonts w:cstheme="minorHAnsi"/>
          <w:b/>
          <w:lang w:val="sr-Latn-ME"/>
        </w:rPr>
        <w:t>Pregled jednokratnih prihoda: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980"/>
        <w:gridCol w:w="1911"/>
      </w:tblGrid>
      <w:tr w:rsidR="001157D6" w:rsidRPr="00C74BE9" w:rsidTr="00E00F3B">
        <w:tc>
          <w:tcPr>
            <w:tcW w:w="5125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 w:rsidRPr="00D464BA">
              <w:rPr>
                <w:rFonts w:cstheme="minorHAnsi"/>
                <w:b/>
                <w:lang w:val="sr-Latn-ME"/>
              </w:rPr>
              <w:t xml:space="preserve">Jednokratni prihodi 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 w:rsidRPr="00D464BA">
              <w:rPr>
                <w:rFonts w:cstheme="minorHAnsi"/>
                <w:b/>
                <w:lang w:val="sr-Latn-ME"/>
              </w:rPr>
              <w:t>Januar – april 2023</w:t>
            </w:r>
          </w:p>
        </w:tc>
        <w:tc>
          <w:tcPr>
            <w:tcW w:w="1911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 w:rsidRPr="00D464BA">
              <w:rPr>
                <w:rFonts w:cstheme="minorHAnsi"/>
                <w:b/>
                <w:lang w:val="sr-Latn-ME"/>
              </w:rPr>
              <w:t>Januar – april 2024</w:t>
            </w:r>
          </w:p>
        </w:tc>
      </w:tr>
      <w:tr w:rsidR="001157D6" w:rsidRPr="00C74BE9" w:rsidTr="00E00F3B">
        <w:tc>
          <w:tcPr>
            <w:tcW w:w="5125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 xml:space="preserve">Ekonomsko državljanstvo </w:t>
            </w:r>
          </w:p>
        </w:tc>
        <w:tc>
          <w:tcPr>
            <w:tcW w:w="1980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34,099,692.80</w:t>
            </w:r>
          </w:p>
        </w:tc>
        <w:tc>
          <w:tcPr>
            <w:tcW w:w="1911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3,099,862.00</w:t>
            </w:r>
          </w:p>
        </w:tc>
      </w:tr>
      <w:tr w:rsidR="001157D6" w:rsidRPr="00C74BE9" w:rsidTr="00E00F3B">
        <w:tc>
          <w:tcPr>
            <w:tcW w:w="5125" w:type="dxa"/>
          </w:tcPr>
          <w:p w:rsidR="001157D6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</w:t>
            </w:r>
            <w:r w:rsidRPr="00C74BE9">
              <w:rPr>
                <w:rFonts w:cstheme="minorHAnsi"/>
                <w:lang w:val="sr-Latn-ME"/>
              </w:rPr>
              <w:t>odje</w:t>
            </w:r>
            <w:r>
              <w:rPr>
                <w:rFonts w:cstheme="minorHAnsi"/>
                <w:lang w:val="sr-Latn-ME"/>
              </w:rPr>
              <w:t>la</w:t>
            </w:r>
            <w:r w:rsidRPr="00C74BE9">
              <w:rPr>
                <w:rFonts w:cstheme="minorHAnsi"/>
                <w:lang w:val="sr-Latn-ME"/>
              </w:rPr>
              <w:t xml:space="preserve"> radio – </w:t>
            </w:r>
            <w:r>
              <w:rPr>
                <w:rFonts w:cstheme="minorHAnsi"/>
                <w:lang w:val="sr-Latn-ME"/>
              </w:rPr>
              <w:t xml:space="preserve">5G </w:t>
            </w:r>
            <w:r w:rsidRPr="00C74BE9">
              <w:rPr>
                <w:rFonts w:cstheme="minorHAnsi"/>
                <w:lang w:val="sr-Latn-ME"/>
              </w:rPr>
              <w:t xml:space="preserve">frekvencije </w:t>
            </w:r>
          </w:p>
        </w:tc>
        <w:tc>
          <w:tcPr>
            <w:tcW w:w="1980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 w:rsidRPr="00E03C07">
              <w:rPr>
                <w:rFonts w:cstheme="minorHAnsi"/>
                <w:lang w:val="sr-Latn-ME"/>
              </w:rPr>
              <w:t>8</w:t>
            </w:r>
            <w:r>
              <w:rPr>
                <w:rFonts w:cstheme="minorHAnsi"/>
                <w:lang w:val="sr-Latn-ME"/>
              </w:rPr>
              <w:t>,</w:t>
            </w:r>
            <w:r w:rsidRPr="00E03C07">
              <w:rPr>
                <w:rFonts w:cstheme="minorHAnsi"/>
                <w:lang w:val="sr-Latn-ME"/>
              </w:rPr>
              <w:t>836</w:t>
            </w:r>
            <w:r>
              <w:rPr>
                <w:rFonts w:cstheme="minorHAnsi"/>
                <w:lang w:val="sr-Latn-ME"/>
              </w:rPr>
              <w:t>,</w:t>
            </w:r>
            <w:r w:rsidRPr="00E03C07">
              <w:rPr>
                <w:rFonts w:cstheme="minorHAnsi"/>
                <w:lang w:val="sr-Latn-ME"/>
              </w:rPr>
              <w:t>146,00</w:t>
            </w:r>
          </w:p>
        </w:tc>
        <w:tc>
          <w:tcPr>
            <w:tcW w:w="1911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/</w:t>
            </w:r>
          </w:p>
        </w:tc>
      </w:tr>
      <w:tr w:rsidR="001157D6" w:rsidRPr="00C74BE9" w:rsidTr="00E00F3B">
        <w:tc>
          <w:tcPr>
            <w:tcW w:w="5125" w:type="dxa"/>
          </w:tcPr>
          <w:p w:rsidR="001157D6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</w:t>
            </w:r>
            <w:r w:rsidRPr="00C74BE9">
              <w:rPr>
                <w:rFonts w:cstheme="minorHAnsi"/>
                <w:lang w:val="sr-Latn-ME"/>
              </w:rPr>
              <w:t>irektn</w:t>
            </w:r>
            <w:r>
              <w:rPr>
                <w:rFonts w:cstheme="minorHAnsi"/>
                <w:lang w:val="sr-Latn-ME"/>
              </w:rPr>
              <w:t xml:space="preserve">a </w:t>
            </w:r>
            <w:r w:rsidRPr="00C74BE9">
              <w:rPr>
                <w:rFonts w:cstheme="minorHAnsi"/>
                <w:lang w:val="sr-Latn-ME"/>
              </w:rPr>
              <w:t>budžetsk</w:t>
            </w:r>
            <w:r>
              <w:rPr>
                <w:rFonts w:cstheme="minorHAnsi"/>
                <w:lang w:val="sr-Latn-ME"/>
              </w:rPr>
              <w:t>a</w:t>
            </w:r>
            <w:r w:rsidRPr="00C74BE9">
              <w:rPr>
                <w:rFonts w:cstheme="minorHAnsi"/>
                <w:lang w:val="sr-Latn-ME"/>
              </w:rPr>
              <w:t xml:space="preserve"> podršk</w:t>
            </w:r>
            <w:r>
              <w:rPr>
                <w:rFonts w:cstheme="minorHAnsi"/>
                <w:lang w:val="sr-Latn-ME"/>
              </w:rPr>
              <w:t>a</w:t>
            </w:r>
            <w:r w:rsidRPr="00C74BE9">
              <w:rPr>
                <w:rFonts w:cstheme="minorHAnsi"/>
                <w:lang w:val="sr-Latn-ME"/>
              </w:rPr>
              <w:t xml:space="preserve"> za energetsku efikasnost  </w:t>
            </w:r>
          </w:p>
        </w:tc>
        <w:tc>
          <w:tcPr>
            <w:tcW w:w="1980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27,000,000.00</w:t>
            </w:r>
          </w:p>
        </w:tc>
        <w:tc>
          <w:tcPr>
            <w:tcW w:w="1911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/</w:t>
            </w:r>
          </w:p>
        </w:tc>
      </w:tr>
      <w:tr w:rsidR="001157D6" w:rsidRPr="00C74BE9" w:rsidTr="00E00F3B">
        <w:tc>
          <w:tcPr>
            <w:tcW w:w="5125" w:type="dxa"/>
          </w:tcPr>
          <w:p w:rsidR="001157D6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Prihod po osnovu z</w:t>
            </w:r>
            <w:r w:rsidRPr="00DA72DE">
              <w:rPr>
                <w:rFonts w:cstheme="minorHAnsi"/>
                <w:lang w:val="sr-Latn-ME"/>
              </w:rPr>
              <w:t>akupa zemljista Lustica bay</w:t>
            </w:r>
          </w:p>
        </w:tc>
        <w:tc>
          <w:tcPr>
            <w:tcW w:w="1980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 w:rsidRPr="00E03C07">
              <w:rPr>
                <w:rFonts w:cstheme="minorHAnsi"/>
                <w:lang w:val="sr-Latn-ME"/>
              </w:rPr>
              <w:t>5</w:t>
            </w:r>
            <w:r>
              <w:rPr>
                <w:rFonts w:cstheme="minorHAnsi"/>
                <w:lang w:val="sr-Latn-ME"/>
              </w:rPr>
              <w:t>,</w:t>
            </w:r>
            <w:r w:rsidRPr="00E03C07">
              <w:rPr>
                <w:rFonts w:cstheme="minorHAnsi"/>
                <w:lang w:val="sr-Latn-ME"/>
              </w:rPr>
              <w:t>283 671</w:t>
            </w:r>
            <w:r>
              <w:rPr>
                <w:rFonts w:cstheme="minorHAnsi"/>
                <w:lang w:val="sr-Latn-ME"/>
              </w:rPr>
              <w:t>.</w:t>
            </w:r>
            <w:r w:rsidRPr="00E03C07">
              <w:rPr>
                <w:rFonts w:cstheme="minorHAnsi"/>
                <w:lang w:val="sr-Latn-ME"/>
              </w:rPr>
              <w:t>84</w:t>
            </w:r>
          </w:p>
        </w:tc>
        <w:tc>
          <w:tcPr>
            <w:tcW w:w="1911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/</w:t>
            </w:r>
          </w:p>
        </w:tc>
      </w:tr>
      <w:tr w:rsidR="001157D6" w:rsidRPr="00C74BE9" w:rsidTr="00E00F3B">
        <w:trPr>
          <w:trHeight w:val="440"/>
        </w:trPr>
        <w:tc>
          <w:tcPr>
            <w:tcW w:w="5125" w:type="dxa"/>
          </w:tcPr>
          <w:p w:rsidR="001157D6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Povraćaj sredstava po osnovu projekta podrške za COVID 19</w:t>
            </w:r>
          </w:p>
        </w:tc>
        <w:tc>
          <w:tcPr>
            <w:tcW w:w="1980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/</w:t>
            </w:r>
          </w:p>
        </w:tc>
        <w:tc>
          <w:tcPr>
            <w:tcW w:w="1911" w:type="dxa"/>
          </w:tcPr>
          <w:p w:rsidR="001157D6" w:rsidRPr="00C74BE9" w:rsidRDefault="001157D6" w:rsidP="00E00F3B">
            <w:pPr>
              <w:spacing w:line="259" w:lineRule="auto"/>
              <w:jc w:val="both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3,018,316.11</w:t>
            </w:r>
          </w:p>
        </w:tc>
      </w:tr>
      <w:tr w:rsidR="001157D6" w:rsidRPr="00C74BE9" w:rsidTr="00E00F3B">
        <w:tc>
          <w:tcPr>
            <w:tcW w:w="5125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 w:rsidRPr="00D464BA">
              <w:rPr>
                <w:rFonts w:cstheme="minorHAnsi"/>
                <w:b/>
                <w:lang w:val="sr-Latn-ME"/>
              </w:rPr>
              <w:t xml:space="preserve">Ukupno 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>
              <w:rPr>
                <w:rFonts w:cstheme="minorHAnsi"/>
                <w:b/>
                <w:lang w:val="sr-Latn-ME"/>
              </w:rPr>
              <w:t>75,219,510.64</w:t>
            </w:r>
          </w:p>
        </w:tc>
        <w:tc>
          <w:tcPr>
            <w:tcW w:w="1911" w:type="dxa"/>
            <w:shd w:val="clear" w:color="auto" w:fill="DBE5F1" w:themeFill="accent1" w:themeFillTint="33"/>
          </w:tcPr>
          <w:p w:rsidR="001157D6" w:rsidRPr="00D464BA" w:rsidRDefault="001157D6" w:rsidP="00E00F3B">
            <w:pPr>
              <w:spacing w:line="259" w:lineRule="auto"/>
              <w:jc w:val="both"/>
              <w:rPr>
                <w:rFonts w:cstheme="minorHAnsi"/>
                <w:b/>
                <w:lang w:val="sr-Latn-ME"/>
              </w:rPr>
            </w:pPr>
            <w:r>
              <w:rPr>
                <w:rFonts w:cstheme="minorHAnsi"/>
                <w:b/>
                <w:lang w:val="sr-Latn-ME"/>
              </w:rPr>
              <w:t>6,118,178.11</w:t>
            </w:r>
          </w:p>
        </w:tc>
      </w:tr>
    </w:tbl>
    <w:p w:rsidR="001157D6" w:rsidRPr="00DA267D" w:rsidRDefault="001157D6" w:rsidP="001157D6">
      <w:pPr>
        <w:jc w:val="both"/>
        <w:rPr>
          <w:rFonts w:cstheme="minorHAnsi"/>
          <w:sz w:val="8"/>
          <w:szCs w:val="8"/>
          <w:lang w:val="sr-Latn-ME"/>
        </w:rPr>
      </w:pPr>
    </w:p>
    <w:p w:rsidR="001157D6" w:rsidRDefault="00CF669A" w:rsidP="001157D6">
      <w:pPr>
        <w:jc w:val="both"/>
        <w:rPr>
          <w:rFonts w:cstheme="minorHAnsi"/>
          <w:lang w:val="sr-Latn-ME"/>
        </w:rPr>
      </w:pPr>
      <w:r>
        <w:rPr>
          <w:rFonts w:cstheme="minorHAnsi"/>
          <w:noProof/>
          <w:lang w:val="sr-Latn-ME"/>
        </w:rPr>
        <w:drawing>
          <wp:inline distT="0" distB="0" distL="0" distR="0" wp14:anchorId="32147CCB" wp14:editId="3310581E">
            <wp:extent cx="5715635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487" w:rsidRDefault="00333487">
      <w:pPr>
        <w:jc w:val="both"/>
      </w:pPr>
    </w:p>
    <w:p w:rsidR="001157D6" w:rsidRDefault="00AF1A32">
      <w:pPr>
        <w:jc w:val="both"/>
      </w:pPr>
      <w:r>
        <w:t xml:space="preserve">Prihodi budžeta u aprilu 2024. godine iznosili su 317,5 miliona eura i veći su za 62,6 mil. € ili </w:t>
      </w:r>
    </w:p>
    <w:p w:rsidR="001157D6" w:rsidRDefault="001157D6">
      <w:pPr>
        <w:jc w:val="both"/>
      </w:pPr>
    </w:p>
    <w:p w:rsidR="00333487" w:rsidRDefault="00AF1A32">
      <w:pPr>
        <w:jc w:val="both"/>
      </w:pPr>
      <w:r>
        <w:t xml:space="preserve">24,6% nego u istom mjesecu prošle godine. 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Aprilski prihodi su i iznad plana za 40,9 mil. € ili 14,8%. 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Izdaci budžeta za period januar - april ove godine iznosili su 841,5 mil. € ili 12 % procijenjenog BDP-a i manji su za 69,7 mil. € ili 7,6% u odnosu na planirane. U odnosu na isti period prethodne godine, veći su za 156,4 mil. € ili 22,8%, a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Tekući izdaci ostvareni su u iznosu od 341,2 mil. €, što je za 9,5% manje od plana, usljed sporije dinamike plaćanja u odnosu na plan u prethodnim mjesecima ove godine, a značajnije u okviru pozicije Ostali izdaci.  Pored navedenog, niže ostvarenje od plana bilježi se kod Transfera institucijama, pojedincima, nevladinom i javnom sektoru to za 10,6 mil. € ili 8,2%.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 xml:space="preserve">Kapitalni budžet, koji uključuje budžetske pozicije kapitalnih izdataka, kao i pojedine pozicije u okviru rashoda za usluge i druge pozicije, realizovan je u iznosu od 42,89 mil. € od januara do kraja aprila, što je za cca 23 mil. € </w:t>
      </w:r>
      <w:r w:rsidR="004F1495">
        <w:t xml:space="preserve">il i 113% više </w:t>
      </w:r>
      <w:r>
        <w:t>nego za četiri mjeseca 20</w:t>
      </w:r>
      <w:r w:rsidR="004F1495">
        <w:t>2</w:t>
      </w:r>
      <w:r>
        <w:t xml:space="preserve">3. godine. Ostvareno je i veće izvršenje od plana za 2,26 mil. € za januar - april. </w:t>
      </w:r>
    </w:p>
    <w:p w:rsidR="00333487" w:rsidRDefault="00AF1A32">
      <w:pPr>
        <w:jc w:val="both"/>
      </w:pPr>
      <w:r>
        <w:t xml:space="preserve"> </w:t>
      </w:r>
    </w:p>
    <w:p w:rsidR="00333487" w:rsidRDefault="00AF1A32">
      <w:pPr>
        <w:jc w:val="both"/>
      </w:pPr>
      <w:r>
        <w:t>Izvršenje budžeta u aprilu je realizovano neznatno iznad plana, odnosno za 1% više od planiranog.</w:t>
      </w:r>
    </w:p>
    <w:p w:rsidR="00CF669A" w:rsidRDefault="00CF669A">
      <w:pPr>
        <w:jc w:val="both"/>
      </w:pPr>
    </w:p>
    <w:p w:rsidR="00333487" w:rsidRDefault="00AF1A32">
      <w:pPr>
        <w:jc w:val="both"/>
      </w:pPr>
      <w:r>
        <w:t xml:space="preserve">Kapitalni budžet </w:t>
      </w:r>
      <w:r w:rsidR="004F1495">
        <w:t xml:space="preserve">u aprilu je </w:t>
      </w:r>
      <w:r>
        <w:t xml:space="preserve">realizovan </w:t>
      </w:r>
      <w:bookmarkStart w:id="0" w:name="_GoBack"/>
      <w:bookmarkEnd w:id="0"/>
      <w:r>
        <w:t>u iznosu od 17,86 mil. €, što je za 3,27 mil € ili 22.4% više od plana.</w:t>
      </w:r>
    </w:p>
    <w:p w:rsidR="00333487" w:rsidRDefault="00333487">
      <w:pPr>
        <w:jc w:val="both"/>
      </w:pPr>
    </w:p>
    <w:p w:rsidR="00333487" w:rsidRDefault="00AF1A32">
      <w:pPr>
        <w:jc w:val="both"/>
      </w:pPr>
      <w:r>
        <w:t>U periodu januar - april ostvaren je suficit budžeta u iznosu od 54,6 mil. €, odnosno na nivou od 0,8% procijenjenog BDP-a. Samo u aprilu ove godine zabilježen je suficit od 59,4 mil. €.</w:t>
      </w:r>
    </w:p>
    <w:p w:rsidR="00333487" w:rsidRDefault="00333487">
      <w:pPr>
        <w:jc w:val="both"/>
      </w:pPr>
    </w:p>
    <w:p w:rsidR="00333487" w:rsidRDefault="00333487">
      <w:pPr>
        <w:jc w:val="both"/>
      </w:pPr>
    </w:p>
    <w:p w:rsidR="00333487" w:rsidRDefault="00333487">
      <w:pPr>
        <w:jc w:val="both"/>
      </w:pPr>
    </w:p>
    <w:p w:rsidR="00333487" w:rsidRDefault="00333487">
      <w:pPr>
        <w:jc w:val="both"/>
      </w:pPr>
    </w:p>
    <w:sectPr w:rsidR="003334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87"/>
    <w:rsid w:val="001157D6"/>
    <w:rsid w:val="00333487"/>
    <w:rsid w:val="004F1495"/>
    <w:rsid w:val="00AF1A32"/>
    <w:rsid w:val="00CB5C1D"/>
    <w:rsid w:val="00C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9634"/>
  <w15:docId w15:val="{F08270E4-6A8B-4818-8062-AD5EB92B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1157D6"/>
    <w:pPr>
      <w:spacing w:line="240" w:lineRule="auto"/>
    </w:pPr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8BF3D-5BFC-4C5C-8B06-71A99417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Novica Vukovic</dc:creator>
  <cp:lastModifiedBy>Bojan Paunovic</cp:lastModifiedBy>
  <cp:revision>2</cp:revision>
  <dcterms:created xsi:type="dcterms:W3CDTF">2024-05-31T14:04:00Z</dcterms:created>
  <dcterms:modified xsi:type="dcterms:W3CDTF">2024-05-31T14:04:00Z</dcterms:modified>
</cp:coreProperties>
</file>