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333719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April</w:t>
      </w:r>
      <w:r w:rsidR="00C45B95">
        <w:rPr>
          <w:rFonts w:cs="Calibri"/>
          <w:b/>
          <w:bCs/>
          <w:noProof/>
          <w:sz w:val="32"/>
          <w:szCs w:val="32"/>
        </w:rPr>
        <w:t xml:space="preserve"> 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A34CEB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A34CEB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AF7929" w:rsidRDefault="00AF7929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AF7929" w:rsidRDefault="00AF7929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AF7929" w:rsidRDefault="00AF7929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AF7929" w:rsidRDefault="00AF7929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AF7929" w:rsidRDefault="00AF7929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AF7929" w:rsidRPr="006C5919" w:rsidRDefault="00AF792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6C5919">
                    <w:rPr>
                      <w:rFonts w:asciiTheme="minorHAnsi" w:hAnsiTheme="minorHAnsi" w:cstheme="minorHAnsi"/>
                      <w:b/>
                      <w:sz w:val="24"/>
                    </w:rPr>
                    <w:t>Rast aktivnosti realnog sektora nastavlja se i martu 2015</w:t>
                  </w:r>
                </w:p>
                <w:p w:rsidR="00AF7929" w:rsidRPr="006C5919" w:rsidRDefault="00AF792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6C5919">
                    <w:rPr>
                      <w:rFonts w:asciiTheme="minorHAnsi" w:hAnsiTheme="minorHAnsi" w:cstheme="minorHAnsi"/>
                      <w:b/>
                      <w:sz w:val="24"/>
                    </w:rPr>
                    <w:t>Potrošačke cijene u martu bilježe rast, treći mjesec zaredom</w:t>
                  </w:r>
                </w:p>
                <w:p w:rsidR="00AF7929" w:rsidRPr="006C5919" w:rsidRDefault="00AF792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6C5919">
                    <w:rPr>
                      <w:rFonts w:asciiTheme="minorHAnsi" w:hAnsiTheme="minorHAnsi" w:cstheme="minorHAnsi"/>
                      <w:b/>
                      <w:noProof/>
                      <w:sz w:val="24"/>
                    </w:rPr>
                    <w:t>Banke su</w:t>
                  </w:r>
                  <w:r>
                    <w:rPr>
                      <w:rFonts w:asciiTheme="minorHAnsi" w:hAnsiTheme="minorHAnsi" w:cstheme="minorHAnsi"/>
                      <w:b/>
                      <w:noProof/>
                      <w:sz w:val="24"/>
                    </w:rPr>
                    <w:t xml:space="preserve"> </w:t>
                  </w:r>
                  <w:r w:rsidRPr="006C5919">
                    <w:rPr>
                      <w:rFonts w:asciiTheme="minorHAnsi" w:hAnsiTheme="minorHAnsi" w:cstheme="minorHAnsi"/>
                      <w:b/>
                      <w:noProof/>
                      <w:sz w:val="24"/>
                    </w:rPr>
                    <w:t xml:space="preserve">u prvom kvartalu ostvarile pozitivan finansijski rezultat </w:t>
                  </w:r>
                </w:p>
                <w:p w:rsidR="00AF7929" w:rsidRPr="006C5919" w:rsidRDefault="00AF792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6C5919">
                    <w:rPr>
                      <w:rFonts w:asciiTheme="minorHAnsi" w:hAnsiTheme="minorHAnsi" w:cstheme="minorHAnsi"/>
                      <w:b/>
                      <w:noProof/>
                      <w:sz w:val="24"/>
                    </w:rPr>
                    <w:t>U prvom kvartalu povećan i uvoz i izvoz roba</w:t>
                  </w:r>
                </w:p>
                <w:p w:rsidR="00AF7929" w:rsidRDefault="00AF7929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val="sr-Latn-CS" w:eastAsia="sr-Latn-C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horzAnchor="margin" w:tblpY="420"/>
        <w:tblW w:w="4985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6962"/>
        <w:gridCol w:w="3936"/>
      </w:tblGrid>
      <w:tr w:rsidR="00C45B95" w:rsidRPr="00D05BDB" w:rsidTr="005C7786">
        <w:trPr>
          <w:trHeight w:hRule="exact" w:val="3599"/>
        </w:trPr>
        <w:tc>
          <w:tcPr>
            <w:tcW w:w="3236" w:type="pct"/>
          </w:tcPr>
          <w:p w:rsidR="001B7C2A" w:rsidRPr="00D05BDB" w:rsidRDefault="001B7C2A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lastRenderedPageBreak/>
              <w:t>Međunarodno okruženje</w:t>
            </w:r>
          </w:p>
          <w:p w:rsidR="00FC1FCF" w:rsidRPr="00D05BDB" w:rsidRDefault="00FC1FCF" w:rsidP="00F8261B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05BDB">
              <w:rPr>
                <w:rFonts w:asciiTheme="minorHAnsi" w:hAnsiTheme="minorHAnsi" w:cstheme="minorHAnsi"/>
                <w:sz w:val="20"/>
              </w:rPr>
              <w:t>Cijena aluminijuma je pala na 1</w:t>
            </w:r>
            <w:r w:rsidR="00F656E0">
              <w:rPr>
                <w:rFonts w:asciiTheme="minorHAnsi" w:hAnsiTheme="minorHAnsi" w:cstheme="minorHAnsi"/>
                <w:sz w:val="20"/>
              </w:rPr>
              <w:t>.</w:t>
            </w:r>
            <w:r w:rsidRPr="00D05BDB">
              <w:rPr>
                <w:rFonts w:asciiTheme="minorHAnsi" w:hAnsiTheme="minorHAnsi" w:cstheme="minorHAnsi"/>
                <w:sz w:val="20"/>
              </w:rPr>
              <w:t>773</w:t>
            </w:r>
            <w:r w:rsidR="00F656E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sz w:val="20"/>
              </w:rPr>
              <w:t>USD/T (osnovna cijena metala izuzimajući premiju za promptne isporuke), što je blizu minimuma za posljednje 4 godine. Najveći svjetski proizvođač aluminijuma (RUSAL)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E4165">
              <w:rPr>
                <w:rFonts w:asciiTheme="minorHAnsi" w:hAnsiTheme="minorHAnsi" w:cstheme="minorHAnsi"/>
                <w:sz w:val="20"/>
              </w:rPr>
              <w:t>procjenjuje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 da berzanska cijena aluminijuma </w:t>
            </w:r>
            <w:r w:rsidR="00AF7929" w:rsidRPr="00D05BDB">
              <w:rPr>
                <w:rFonts w:asciiTheme="minorHAnsi" w:hAnsiTheme="minorHAnsi" w:cstheme="minorHAnsi"/>
                <w:sz w:val="20"/>
              </w:rPr>
              <w:t xml:space="preserve"> ne odražava fundamentalne odnose ponude i tražnje 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 i da je u ovom trenutku ona niža od realne za </w:t>
            </w:r>
            <w:r w:rsidR="00AF7929" w:rsidRPr="00D05BDB">
              <w:rPr>
                <w:rFonts w:asciiTheme="minorHAnsi" w:hAnsiTheme="minorHAnsi" w:cstheme="minorHAnsi"/>
                <w:sz w:val="20"/>
              </w:rPr>
              <w:t>30%</w:t>
            </w:r>
            <w:r w:rsidR="00AF7929">
              <w:rPr>
                <w:rFonts w:asciiTheme="minorHAnsi" w:hAnsiTheme="minorHAnsi" w:cstheme="minorHAnsi"/>
                <w:sz w:val="20"/>
              </w:rPr>
              <w:t>.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 Razlog ovakvih kretanja vidi se u regulativi londonske berze metala </w:t>
            </w:r>
            <w:r w:rsidR="00CE4165">
              <w:rPr>
                <w:rFonts w:asciiTheme="minorHAnsi" w:hAnsiTheme="minorHAnsi" w:cstheme="minorHAnsi"/>
                <w:sz w:val="20"/>
              </w:rPr>
              <w:t xml:space="preserve">koja omogućava velikim investitorima 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E4165">
              <w:rPr>
                <w:rFonts w:asciiTheme="minorHAnsi" w:hAnsiTheme="minorHAnsi" w:cstheme="minorHAnsi"/>
                <w:sz w:val="20"/>
              </w:rPr>
              <w:t>da špekulišu cijenama</w:t>
            </w:r>
            <w:r w:rsidR="00AF7929"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D05BDB">
              <w:rPr>
                <w:rFonts w:asciiTheme="minorHAnsi" w:hAnsiTheme="minorHAnsi" w:cstheme="minorHAnsi"/>
                <w:sz w:val="20"/>
              </w:rPr>
              <w:t>Međutim kretanja kursa eura prema dolaru idu na ruku  crnogorskom proizvođaču, KAP-u. Poređenje cijena u dolarima pokazuje pad cijen</w:t>
            </w:r>
            <w:r w:rsidR="005C7786" w:rsidRPr="00D05BDB">
              <w:rPr>
                <w:rFonts w:asciiTheme="minorHAnsi" w:hAnsiTheme="minorHAnsi" w:cstheme="minorHAnsi"/>
                <w:sz w:val="20"/>
              </w:rPr>
              <w:t>a od 2,4%  g-n-g</w:t>
            </w:r>
            <w:r w:rsidRPr="00D05BDB">
              <w:rPr>
                <w:rFonts w:asciiTheme="minorHAnsi" w:hAnsiTheme="minorHAnsi" w:cstheme="minorHAnsi"/>
                <w:sz w:val="20"/>
              </w:rPr>
              <w:t>, ali je zbog jakog pada eura u posljednjih godinu dana (21%) cijena u eurima porasla s</w:t>
            </w:r>
            <w:r w:rsidR="00F656E0">
              <w:rPr>
                <w:rFonts w:asciiTheme="minorHAnsi" w:hAnsiTheme="minorHAnsi" w:cstheme="minorHAnsi"/>
                <w:sz w:val="20"/>
              </w:rPr>
              <w:t>a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1.233 €/T na 1637 €/T (20%), iako finansijski rezultat zavisi i od kretanja uvozne komponente proizvodnje. Cijena nafte ima blagi uzlazni trend pa je  krajem aprila dostigla 66 USD/ barel</w:t>
            </w:r>
            <w:r w:rsidR="00F656E0">
              <w:rPr>
                <w:rFonts w:asciiTheme="minorHAnsi" w:hAnsiTheme="minorHAnsi" w:cstheme="minorHAnsi"/>
                <w:sz w:val="20"/>
              </w:rPr>
              <w:t>,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što je najviši nivo od početka 2015. godine.</w:t>
            </w:r>
          </w:p>
          <w:p w:rsidR="002A5A8C" w:rsidRPr="00D05BDB" w:rsidRDefault="002A5A8C" w:rsidP="00A90070">
            <w:pPr>
              <w:rPr>
                <w:rFonts w:asciiTheme="minorHAnsi" w:hAnsiTheme="minorHAnsi" w:cstheme="minorHAnsi"/>
                <w:sz w:val="20"/>
              </w:rPr>
            </w:pPr>
          </w:p>
          <w:p w:rsidR="002A5A8C" w:rsidRPr="00D05BDB" w:rsidRDefault="002A5A8C" w:rsidP="00A90070">
            <w:pPr>
              <w:rPr>
                <w:rFonts w:asciiTheme="minorHAnsi" w:hAnsiTheme="minorHAnsi" w:cstheme="minorHAnsi"/>
                <w:sz w:val="20"/>
              </w:rPr>
            </w:pPr>
          </w:p>
          <w:p w:rsidR="00C45B95" w:rsidRPr="00D05BDB" w:rsidRDefault="00C45B95" w:rsidP="00A9007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C45B95" w:rsidRPr="00D05BDB" w:rsidRDefault="00FC1FCF" w:rsidP="00F07EA0">
            <w:pPr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2000" cy="21240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RPr="00D05BDB" w:rsidTr="00F8261B">
        <w:trPr>
          <w:trHeight w:hRule="exact" w:val="3819"/>
        </w:trPr>
        <w:tc>
          <w:tcPr>
            <w:tcW w:w="3236" w:type="pct"/>
          </w:tcPr>
          <w:p w:rsidR="00000106" w:rsidRPr="00D05BDB" w:rsidRDefault="003D49BD" w:rsidP="00E00F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Realni sek</w:t>
            </w:r>
            <w:r w:rsidR="00000106" w:rsidRPr="00D05BDB">
              <w:rPr>
                <w:rFonts w:asciiTheme="minorHAnsi" w:hAnsiTheme="minorHAnsi" w:cstheme="minorHAnsi"/>
                <w:b/>
                <w:sz w:val="20"/>
              </w:rPr>
              <w:t>tor</w:t>
            </w:r>
          </w:p>
          <w:p w:rsidR="00B1225C" w:rsidRPr="00D05BDB" w:rsidRDefault="00B1225C" w:rsidP="00F8261B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 xml:space="preserve">Rast aktivnosti realnog sektora nastavlja se i martu 2015. </w:t>
            </w:r>
            <w:r w:rsidRPr="00D05BDB">
              <w:rPr>
                <w:rFonts w:asciiTheme="minorHAnsi" w:hAnsiTheme="minorHAnsi" w:cstheme="minorHAnsi"/>
                <w:sz w:val="20"/>
              </w:rPr>
              <w:t>Industrijska proizvodnja u martu 2</w:t>
            </w:r>
            <w:r w:rsidR="00991AE1">
              <w:rPr>
                <w:rFonts w:asciiTheme="minorHAnsi" w:hAnsiTheme="minorHAnsi" w:cstheme="minorHAnsi"/>
                <w:sz w:val="20"/>
              </w:rPr>
              <w:t>015. bilježi godišnji rast od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19,3%, mjesečni rast od 5,3%, dok je za prva tri mjeseca rast iznosio 7,0% g-n-g. Godišnji rast u martu dominantno je opredijeljen rastom u sektoru „snabdijevanje el.energijom,</w:t>
            </w:r>
            <w:r w:rsidR="00991AE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sz w:val="20"/>
              </w:rPr>
              <w:t>gasom i parom“ (31,7%).</w:t>
            </w:r>
            <w:r w:rsidR="004B0B47" w:rsidRPr="00D05BD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sz w:val="20"/>
              </w:rPr>
              <w:t>Rast je ostvaren i u sektorima „vađenje rude i kamena“ (38,9%) prvenstveno usljed rasta u oblasti ostalo rudarstvo (29,4%) i sektoru „prerađivačka industrija“ (9,2%), usljed rasta proizvodnje duvanskih proizvoda</w:t>
            </w:r>
            <w:r w:rsidR="00991AE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sz w:val="20"/>
              </w:rPr>
              <w:t>(69,2%), farmaceutskih proizvoda (11,5%) i osnovnih metala (2,3%). Trend rasta turističkog prometa nastavlja se i u martu 2015. Crnu Goru je za tri mjeseca posjetilo 54,7 hilj.turista i ostvareno 206,3 hilj.noćenja, što je rast od 19,3 i 16,6% g-n-g, respektivno. Na rast prometa u prvom kvartalu uticao je rast dolazaka i noćenja i stranih (16,7 i 14,9%) i domaćih turista (28,1 i 22,2%). Promet u trgovini na malo u martu 2015, u tekućim cijenama, veći je za 2,0% g-n-g, dok je za period januar-mart rast iznosio 2,5%.</w:t>
            </w:r>
          </w:p>
          <w:p w:rsidR="00C45B95" w:rsidRPr="00D05BDB" w:rsidRDefault="00C45B95" w:rsidP="00561716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000106" w:rsidRPr="00D05BDB" w:rsidRDefault="00B1225C" w:rsidP="00963732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2000" cy="22320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D05BDB" w:rsidTr="00F8261B">
        <w:trPr>
          <w:trHeight w:hRule="exact" w:val="3548"/>
        </w:trPr>
        <w:tc>
          <w:tcPr>
            <w:tcW w:w="3236" w:type="pct"/>
          </w:tcPr>
          <w:p w:rsidR="00561716" w:rsidRPr="00D05BDB" w:rsidRDefault="00000106" w:rsidP="00363A53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Inflacija</w:t>
            </w:r>
          </w:p>
          <w:p w:rsidR="00133348" w:rsidRPr="00D05BDB" w:rsidRDefault="007457A9" w:rsidP="00F8261B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 xml:space="preserve">Potrošačke cijene </w:t>
            </w:r>
            <w:r w:rsidR="00552F77" w:rsidRPr="00D05BDB">
              <w:rPr>
                <w:rFonts w:asciiTheme="minorHAnsi" w:hAnsiTheme="minorHAnsi" w:cstheme="minorHAnsi"/>
                <w:b/>
                <w:sz w:val="20"/>
              </w:rPr>
              <w:t xml:space="preserve">i </w:t>
            </w:r>
            <w:r w:rsidRPr="00D05BDB">
              <w:rPr>
                <w:rFonts w:asciiTheme="minorHAnsi" w:hAnsiTheme="minorHAnsi" w:cstheme="minorHAnsi"/>
                <w:b/>
                <w:sz w:val="20"/>
              </w:rPr>
              <w:t>u martu bilježe rast, treći mjesec zaredom.</w:t>
            </w:r>
            <w:r w:rsidR="00133348" w:rsidRPr="00D05BDB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33348" w:rsidRPr="00D05BDB">
              <w:rPr>
                <w:rFonts w:asciiTheme="minorHAnsi" w:hAnsiTheme="minorHAnsi" w:cstheme="minorHAnsi"/>
                <w:sz w:val="20"/>
              </w:rPr>
              <w:t>Godišnja stopa inflacije u martu (CPI) iznosila je 1,6%, mjesečna 1,1%, dok je u periodu januar-mart zabilježen rast od 0,8% g-n-g. Najveći uticaj na inflaciju imale su cijene iz oblasti „hrana i bezalkoholna pića“ koje su na mjesečnom nivou zabilježile rast od 1,3%, na godišnjem nivou 3,3%, dok su za period januar-mart porasle za 0,8% g-n-g. Značajniji rast ostvarile su cijene iz oblasti „odjeća i obuća“ (3,2% mjesečni, 5,8% godišnji i 3,8% za period januar-mart), dok cijene iz oblasti „ prevoz“ i dalje bilježe pad (5,2% na godišnjem nivou i 7,3% za period januar-mart). Inflacija mjerena HICP-om u martu bilježi mjesečni rast od 1,0,%, godišnji rast od 0,9% i rast od 1,1% za period januar-mart g-n-g. Cijene proizvođača industrijskih proizvoda u martu bilježe rast od 0,5% g-n-g, i rast od 0,6% u periodu januar-</w:t>
            </w:r>
            <w:r w:rsidR="000F1010">
              <w:rPr>
                <w:rFonts w:asciiTheme="minorHAnsi" w:hAnsiTheme="minorHAnsi" w:cstheme="minorHAnsi"/>
                <w:sz w:val="20"/>
              </w:rPr>
              <w:t>mart</w:t>
            </w:r>
            <w:r w:rsidR="00133348" w:rsidRPr="00D05BDB">
              <w:rPr>
                <w:rFonts w:asciiTheme="minorHAnsi" w:hAnsiTheme="minorHAnsi" w:cstheme="minorHAnsi"/>
                <w:sz w:val="20"/>
              </w:rPr>
              <w:t xml:space="preserve"> g-n-g. Cijene industrijskih proizvoda iz uvoza u martu bilježe godišnji pad od 1,7% g-n-g, dok su cijene industrijskih proizvoda za izvoz u martu bile veće za 16,4% g-n-g</w:t>
            </w:r>
            <w:r w:rsidR="001F181F" w:rsidRPr="00D05BDB">
              <w:rPr>
                <w:rFonts w:asciiTheme="minorHAnsi" w:hAnsiTheme="minorHAnsi" w:cstheme="minorHAnsi"/>
                <w:sz w:val="20"/>
              </w:rPr>
              <w:t>.</w:t>
            </w:r>
          </w:p>
          <w:p w:rsidR="00133348" w:rsidRPr="00D05BDB" w:rsidRDefault="00133348" w:rsidP="00133348">
            <w:pPr>
              <w:rPr>
                <w:rFonts w:asciiTheme="minorHAnsi" w:hAnsiTheme="minorHAnsi" w:cstheme="minorHAnsi"/>
                <w:sz w:val="20"/>
              </w:rPr>
            </w:pPr>
          </w:p>
          <w:p w:rsidR="00C45B95" w:rsidRPr="00D05BDB" w:rsidRDefault="00C45B95" w:rsidP="00C55D2F">
            <w:pPr>
              <w:pBdr>
                <w:top w:val="single" w:sz="4" w:space="1" w:color="auto"/>
              </w:pBdr>
              <w:spacing w:after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C45B95" w:rsidRPr="00D05BDB" w:rsidRDefault="007457A9" w:rsidP="00963732">
            <w:pPr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28850" cy="2162175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D05BDB" w:rsidTr="00F8261B">
        <w:trPr>
          <w:trHeight w:hRule="exact" w:val="3684"/>
        </w:trPr>
        <w:tc>
          <w:tcPr>
            <w:tcW w:w="3236" w:type="pct"/>
          </w:tcPr>
          <w:p w:rsidR="00000106" w:rsidRPr="00D05BDB" w:rsidRDefault="00000106" w:rsidP="00F8261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Zaposlenost i zarade</w:t>
            </w:r>
          </w:p>
          <w:p w:rsidR="00F55DC8" w:rsidRPr="00D05BDB" w:rsidRDefault="00F55DC8" w:rsidP="00F8261B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16"/>
                <w:lang w:val="sr-Latn-CS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  <w:szCs w:val="16"/>
                <w:lang w:val="sr-Latn-CS"/>
              </w:rPr>
              <w:t>Kretanja na tržištu rada u martu 2015. ukazuju na povećanje zaposlenosti, ali i smanjenje nezaposlenosti.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Broj zaposlenih u martu 2015. je </w:t>
            </w:r>
            <w:r w:rsidR="00C43EA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iznosio 171.855, a povećan je 0,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8% 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m-n-m i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1,1% kvartalno. Broj nezaposlenih je iznosio 34.903, a u odnosu na prethodni mjesec ove godine smanjen je 0,8%, dok </w:t>
            </w:r>
            <w:r w:rsidR="00C43EA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je za period januar-mart 2015. 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povećan 1,0%</w:t>
            </w:r>
            <w:r w:rsidR="00991AE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</w:t>
            </w:r>
            <w:r w:rsidR="00991AE1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g-n-</w:t>
            </w:r>
            <w:r w:rsidR="00991AE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g</w:t>
            </w:r>
            <w:r w:rsidR="00C43EA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. U martu 2015,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u odnosu na prethodni mjesec, je smanjen broj lica 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koja prvi put traže zaposlenje 0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,5%, 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ili</w:t>
            </w:r>
            <w:r w:rsidR="00E901F6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povećan 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6,3%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g-n-g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. Broj oglašenih slobodnih radnih mjesta u prvom kvartalu 2015. je iznosio 11.024 (dva puta veći nego u prvom kvartalu 2014.), a broj izdatih radnih dozvola je iznosio 8.382 ili 51,8% više </w:t>
            </w:r>
            <w:r w:rsidR="00991AE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g-n-g. 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Prosječna zarada je u martu 2015. iznosila 721€ i manja je u od</w:t>
            </w:r>
            <w:r w:rsidR="0003620F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nosu na prethodni mjesec za 1,5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%, dok je veća za 0,3%</w:t>
            </w:r>
            <w:r w:rsidR="00C43EA1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g-n-g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. Neto zarada je u martu 2015. iznosila 476€, a smanjena je </w:t>
            </w:r>
            <w:r w:rsidR="0003620F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u odnosu na februar 2015. za 1,4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%, dok je za čitav period povećana 0,6%. U martu 2015. u odnosu na februar 2015. neto zarade su realno smanjene 2,5%, dok su smanjene 0,5%</w:t>
            </w:r>
            <w:r w:rsidR="00F8261B"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 xml:space="preserve"> g-n-g</w:t>
            </w:r>
            <w:r w:rsidRPr="00D05BDB">
              <w:rPr>
                <w:rFonts w:asciiTheme="minorHAnsi" w:hAnsiTheme="minorHAnsi" w:cstheme="minorHAnsi"/>
                <w:sz w:val="20"/>
                <w:szCs w:val="16"/>
                <w:lang w:val="sr-Latn-CS"/>
              </w:rPr>
              <w:t>.</w:t>
            </w:r>
          </w:p>
          <w:p w:rsidR="007F5F68" w:rsidRPr="00D05BDB" w:rsidRDefault="007F5F68" w:rsidP="00F8261B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C45B95" w:rsidRPr="00D05BDB" w:rsidRDefault="00A34CEB" w:rsidP="00A900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val="sr-Latn-CS" w:eastAsia="sr-Latn-C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7.8pt;margin-top:8.6pt;width:73.85pt;height:13.65pt;z-index:251659264;mso-position-horizontal-relative:text;mso-position-vertical-relative:text;v-text-anchor:middle" strokecolor="white [3212]">
                  <v:textbox inset="1mm,.3mm,1mm,.3mm">
                    <w:txbxContent>
                      <w:p w:rsidR="00AF7929" w:rsidRPr="00544E2A" w:rsidRDefault="00AF7929">
                        <w:pPr>
                          <w:rPr>
                            <w:b/>
                            <w:sz w:val="20"/>
                          </w:rPr>
                        </w:pPr>
                        <w:r w:rsidRPr="00544E2A">
                          <w:rPr>
                            <w:b/>
                            <w:sz w:val="20"/>
                          </w:rPr>
                          <w:t>Tržište rada</w:t>
                        </w:r>
                      </w:p>
                    </w:txbxContent>
                  </v:textbox>
                </v:shape>
              </w:pict>
            </w:r>
            <w:r w:rsidR="00175115"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68748" cy="1984075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RPr="00D05BDB" w:rsidTr="00544E2A">
        <w:trPr>
          <w:trHeight w:hRule="exact" w:val="3321"/>
        </w:trPr>
        <w:tc>
          <w:tcPr>
            <w:tcW w:w="3236" w:type="pct"/>
          </w:tcPr>
          <w:p w:rsidR="00FF2790" w:rsidRPr="00D05BDB" w:rsidRDefault="00FF2790" w:rsidP="00000106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asciiTheme="minorHAnsi" w:eastAsia="Times New Roman" w:hAnsiTheme="minorHAnsi" w:cstheme="minorHAnsi"/>
                <w:b/>
                <w:noProof/>
                <w:color w:val="000000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lastRenderedPageBreak/>
              <w:t>Javne finansije</w:t>
            </w:r>
          </w:p>
          <w:p w:rsidR="007D7888" w:rsidRPr="00D05BDB" w:rsidRDefault="007D7888" w:rsidP="00544E2A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 w:hanging="11"/>
              <w:jc w:val="both"/>
              <w:rPr>
                <w:rFonts w:asciiTheme="minorHAnsi" w:hAnsiTheme="minorHAnsi" w:cstheme="minorHAnsi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bCs/>
                <w:sz w:val="20"/>
                <w:lang w:val="sr-Latn-CS"/>
              </w:rPr>
              <w:t xml:space="preserve">Izvorni prihodi budžeta Crne Gore u martu 2015. godine </w:t>
            </w:r>
            <w:r w:rsidR="00991AE1">
              <w:rPr>
                <w:rFonts w:asciiTheme="minorHAnsi" w:hAnsiTheme="minorHAnsi" w:cstheme="minorHAnsi"/>
                <w:b/>
                <w:bCs/>
                <w:sz w:val="20"/>
                <w:lang w:val="sr-Latn-CS"/>
              </w:rPr>
              <w:t>iznosili su 100,3 mil.</w:t>
            </w:r>
            <w:r w:rsidRPr="00D05BDB">
              <w:rPr>
                <w:rFonts w:asciiTheme="minorHAnsi" w:hAnsiTheme="minorHAnsi" w:cstheme="minorHAnsi"/>
                <w:b/>
                <w:bCs/>
                <w:sz w:val="20"/>
                <w:lang w:val="sr-Latn-CS"/>
              </w:rPr>
              <w:t>€ i  niži su za 0,4 % u odnosu na mart 2014. godine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. 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>Kao rezultat borbe protiv sive eko</w:t>
            </w:r>
            <w:r w:rsidR="00991AE1">
              <w:rPr>
                <w:rFonts w:asciiTheme="minorHAnsi" w:hAnsiTheme="minorHAnsi" w:cstheme="minorHAnsi"/>
                <w:sz w:val="20"/>
              </w:rPr>
              <w:t>nomije posebno na tržištu rada i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 xml:space="preserve"> akciznih proizvoda, a samim tim i porasta poreske discipline, imamo b</w:t>
            </w:r>
            <w:r w:rsidRPr="00D05BDB">
              <w:rPr>
                <w:rFonts w:asciiTheme="minorHAnsi" w:hAnsiTheme="minorHAnsi" w:cstheme="minorHAnsi"/>
                <w:sz w:val="20"/>
              </w:rPr>
              <w:t>olju naplatu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>:</w:t>
            </w:r>
            <w:r w:rsidR="00991AE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>carina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26,6%, p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>ri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hoda po osnovu akciza 14,1%, i 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>poreza i doprinosa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na zarade 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 xml:space="preserve"> od </w:t>
            </w:r>
            <w:r w:rsidRPr="00D05BDB">
              <w:rPr>
                <w:rFonts w:asciiTheme="minorHAnsi" w:hAnsiTheme="minorHAnsi" w:cstheme="minorHAnsi"/>
                <w:sz w:val="20"/>
              </w:rPr>
              <w:t>11,0%</w:t>
            </w:r>
            <w:r w:rsidR="004647F3" w:rsidRPr="00D05BDB">
              <w:rPr>
                <w:rFonts w:asciiTheme="minorHAnsi" w:hAnsiTheme="minorHAnsi" w:cstheme="minorHAnsi"/>
                <w:sz w:val="20"/>
              </w:rPr>
              <w:t xml:space="preserve"> u odnosu na isti mjesec prošle godine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D05BDB">
              <w:rPr>
                <w:rFonts w:asciiTheme="minorHAnsi" w:hAnsiTheme="minorHAnsi" w:cstheme="minorHAnsi"/>
                <w:b/>
                <w:sz w:val="20"/>
              </w:rPr>
              <w:t>Izdaci budžeta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 u martu 2015 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iznosili su 108,7 mil.€ i niži su u odnosu na plan za 16,7% što je rezultat preduzetih mjera štednje. </w:t>
            </w:r>
            <w:r w:rsidRPr="00D05BDB">
              <w:rPr>
                <w:rFonts w:asciiTheme="minorHAnsi" w:hAnsiTheme="minorHAnsi" w:cstheme="minorHAnsi"/>
                <w:b/>
                <w:sz w:val="20"/>
              </w:rPr>
              <w:t>Deficit budžeta</w:t>
            </w:r>
            <w:r w:rsidRPr="00D05BDB">
              <w:rPr>
                <w:rFonts w:asciiTheme="minorHAnsi" w:hAnsiTheme="minorHAnsi" w:cstheme="minorHAnsi"/>
                <w:sz w:val="20"/>
              </w:rPr>
              <w:t xml:space="preserve"> u martu 2015. iznosio je 8,4 mil</w:t>
            </w:r>
            <w:r w:rsidR="00991AE1">
              <w:rPr>
                <w:rFonts w:asciiTheme="minorHAnsi" w:hAnsiTheme="minorHAnsi" w:cstheme="minorHAnsi"/>
                <w:sz w:val="20"/>
              </w:rPr>
              <w:t>.</w:t>
            </w:r>
            <w:r w:rsidRPr="00D05BDB">
              <w:rPr>
                <w:rFonts w:asciiTheme="minorHAnsi" w:hAnsiTheme="minorHAnsi" w:cstheme="minorHAnsi"/>
                <w:sz w:val="20"/>
              </w:rPr>
              <w:t>€.</w:t>
            </w:r>
            <w:r w:rsidR="009E386A" w:rsidRPr="00D05BDB">
              <w:rPr>
                <w:rFonts w:asciiTheme="minorHAnsi" w:hAnsiTheme="minorHAnsi" w:cstheme="minorHAnsi"/>
                <w:b/>
                <w:sz w:val="20"/>
              </w:rPr>
              <w:t xml:space="preserve"> Državni dug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 xml:space="preserve"> na kraju marta 2015. </w:t>
            </w:r>
            <w:r w:rsidR="005F7FD7">
              <w:rPr>
                <w:rFonts w:asciiTheme="minorHAnsi" w:hAnsiTheme="minorHAnsi" w:cstheme="minorHAnsi"/>
                <w:sz w:val="20"/>
              </w:rPr>
              <w:t>g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>odine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>(uključujući depozite) iznosio je 1.938,0 mil.€, što predstavlja 54,6% procijenjenog BDP-a, od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 čega se na spoljni dug odnosi 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>2.047,7mil</w:t>
            </w:r>
            <w:r w:rsidR="00991AE1">
              <w:rPr>
                <w:rFonts w:asciiTheme="minorHAnsi" w:hAnsiTheme="minorHAnsi" w:cstheme="minorHAnsi"/>
                <w:sz w:val="20"/>
              </w:rPr>
              <w:t>.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>€, unutrašnji 395,9mil</w:t>
            </w:r>
            <w:r w:rsidR="00991AE1">
              <w:rPr>
                <w:rFonts w:asciiTheme="minorHAnsi" w:hAnsiTheme="minorHAnsi" w:cstheme="minorHAnsi"/>
                <w:sz w:val="20"/>
              </w:rPr>
              <w:t>.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>€ i depozite 505,6mil</w:t>
            </w:r>
            <w:r w:rsidR="00991AE1">
              <w:rPr>
                <w:rFonts w:asciiTheme="minorHAnsi" w:hAnsiTheme="minorHAnsi" w:cstheme="minorHAnsi"/>
                <w:sz w:val="20"/>
              </w:rPr>
              <w:t>.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 xml:space="preserve">€ </w:t>
            </w:r>
            <w:r w:rsidR="005F7FD7">
              <w:rPr>
                <w:rFonts w:asciiTheme="minorHAnsi" w:hAnsiTheme="minorHAnsi" w:cstheme="minorHAnsi"/>
                <w:sz w:val="20"/>
              </w:rPr>
              <w:t>(u skladu sa Zakonom o budžetu i</w:t>
            </w:r>
            <w:r w:rsidR="009E386A" w:rsidRPr="00D05BDB">
              <w:rPr>
                <w:rFonts w:asciiTheme="minorHAnsi" w:hAnsiTheme="minorHAnsi" w:cstheme="minorHAnsi"/>
                <w:sz w:val="20"/>
              </w:rPr>
              <w:t xml:space="preserve"> fiskalnoj odgovornosti).</w:t>
            </w:r>
          </w:p>
          <w:p w:rsidR="00C45B95" w:rsidRPr="00D05BDB" w:rsidRDefault="00C45B95" w:rsidP="00561716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 w:hanging="11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C45B95" w:rsidRPr="00D05BDB" w:rsidRDefault="00462BC8" w:rsidP="001E53D5">
            <w:pPr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170253" cy="1851950"/>
                  <wp:effectExtent l="0" t="0" r="0" b="0"/>
                  <wp:docPr id="4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RPr="00D05BDB" w:rsidTr="00C13F76">
        <w:trPr>
          <w:trHeight w:hRule="exact" w:val="4540"/>
        </w:trPr>
        <w:tc>
          <w:tcPr>
            <w:tcW w:w="3236" w:type="pct"/>
          </w:tcPr>
          <w:p w:rsidR="006E7A12" w:rsidRPr="00D05BDB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Monetarni sektor</w:t>
            </w:r>
          </w:p>
          <w:p w:rsidR="00C45B95" w:rsidRPr="00D05BDB" w:rsidRDefault="00807AE7" w:rsidP="00991AE1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Rastući trend ukupnih depozita, povoljna likvidnost banaka i smanjena kreditna aktivnost su osnovne karakteristike monetarnih kretanja.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Banke su ostvarile pozitivan finansijski rezultat na agregatnom nivou od 2,3 mil.€, a uskoro će početi sa radom i turska “Ziraat” banka, kojoj je CBCG, u martu, izdala dozvolu za rad. Ukupni </w:t>
            </w: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depoziti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su povećani za 8,4% na mjesečnom i 10,0% na godišnjem nivou. Ukupno odobreni </w:t>
            </w: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krediti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i ostala potraživanja su krajem marta smanjeni za 1,5% u odnosu na prethodni mjesec i 2,7% na godišnjem nivou.</w:t>
            </w:r>
            <w:r w:rsidR="00991AE1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>Uprkos padu ukupnih kredita, bankarski sektor je tokom prva tri mjeseca odobrio 190,3 mil.€ novih plasmana, što je za 6,8% više u odnosu na isti period prethodne godine. Centralna banka Crne Gore i Evropska centralna banka su završile projekat “Program tehničke saradnje sa CBCG na putu ka članstvu u Evropski sistem centralnih banaka (ESCB)”.</w:t>
            </w:r>
            <w:r w:rsidR="00991AE1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>Program, koji je pokrenut u s</w:t>
            </w:r>
            <w:r w:rsidR="00991AE1">
              <w:rPr>
                <w:rFonts w:asciiTheme="minorHAnsi" w:hAnsiTheme="minorHAnsi" w:cstheme="minorHAnsi"/>
                <w:noProof/>
                <w:sz w:val="20"/>
              </w:rPr>
              <w:t>eptembru 2014,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je okupio deset banaka Eurosistema, a finansiran je od strane EU sa oko 300.000 € iz sredstava IPA. Poslovni ambijent značajno otežava visok stepen </w:t>
            </w: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 xml:space="preserve">nelikvidnosti privrede, 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>tako da su</w:t>
            </w: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 xml:space="preserve"> 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u martu bila u blokadi 14.381 izvršna dužnika, što na mjesečnom nivou predstavlja povećanje od 0,08%. Pri tome, ukupan iznos duga, po osnovu koga je izvršeno blokiranje računa, je iznosio 501,2 mil.€ i smanjen je za 2,26% </w:t>
            </w:r>
            <w:r w:rsidR="00991AE1">
              <w:rPr>
                <w:rFonts w:asciiTheme="minorHAnsi" w:hAnsiTheme="minorHAnsi" w:cstheme="minorHAnsi"/>
                <w:noProof/>
                <w:sz w:val="20"/>
              </w:rPr>
              <w:t>m-n-m.</w:t>
            </w:r>
          </w:p>
        </w:tc>
        <w:tc>
          <w:tcPr>
            <w:tcW w:w="1764" w:type="pct"/>
            <w:vAlign w:val="center"/>
          </w:tcPr>
          <w:p w:rsidR="00C45B95" w:rsidRPr="00D05BDB" w:rsidRDefault="00306B1D" w:rsidP="001E53D5">
            <w:pPr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362200" cy="1819275"/>
                  <wp:effectExtent l="0" t="0" r="0" b="0"/>
                  <wp:docPr id="5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RPr="00D05BDB" w:rsidTr="007249F7">
        <w:trPr>
          <w:trHeight w:hRule="exact" w:val="7143"/>
        </w:trPr>
        <w:tc>
          <w:tcPr>
            <w:tcW w:w="3236" w:type="pct"/>
          </w:tcPr>
          <w:p w:rsidR="006E7A12" w:rsidRPr="00D05BDB" w:rsidRDefault="006E7A12" w:rsidP="00930D1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color w:val="000000"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color w:val="000000"/>
                <w:sz w:val="20"/>
              </w:rPr>
              <w:t>Spoljnotrgovinska razmjena</w:t>
            </w:r>
          </w:p>
          <w:p w:rsidR="00E740C2" w:rsidRPr="00D05BDB" w:rsidRDefault="00991AE1" w:rsidP="007249F7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sr-Latn-CS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Spoljnotrgovinsku</w:t>
            </w:r>
            <w:r w:rsidR="00930D10" w:rsidRPr="00D05BDB">
              <w:rPr>
                <w:rFonts w:asciiTheme="minorHAnsi" w:hAnsiTheme="minorHAnsi" w:cstheme="minorHAnsi"/>
                <w:b/>
                <w:sz w:val="20"/>
              </w:rPr>
              <w:t xml:space="preserve"> razmjen</w:t>
            </w:r>
            <w:r>
              <w:rPr>
                <w:rFonts w:asciiTheme="minorHAnsi" w:hAnsiTheme="minorHAnsi" w:cstheme="minorHAnsi"/>
                <w:b/>
                <w:sz w:val="20"/>
              </w:rPr>
              <w:t>u</w:t>
            </w:r>
            <w:r w:rsidR="00930D10" w:rsidRPr="00D05BDB">
              <w:rPr>
                <w:rFonts w:asciiTheme="minorHAnsi" w:hAnsiTheme="minorHAnsi" w:cstheme="minorHAnsi"/>
                <w:b/>
                <w:sz w:val="20"/>
              </w:rPr>
              <w:t xml:space="preserve"> Crne Gore u prvom kvartalu 2015. karakteriše povećanja izvoza i uvoza, usljed povećanja izvozne proizvodnje metalske  industrije i  uvoza robe široke potrošnje i opreme.</w:t>
            </w:r>
            <w:r w:rsidR="007249F7" w:rsidRPr="00D05BDB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>Obim spoljnotrgov</w:t>
            </w:r>
            <w:r w:rsidR="005F7FD7">
              <w:rPr>
                <w:rFonts w:asciiTheme="minorHAnsi" w:hAnsiTheme="minorHAnsi" w:cstheme="minorHAnsi"/>
                <w:sz w:val="20"/>
                <w:lang w:val="sr-Latn-CS"/>
              </w:rPr>
              <w:t>inske razmjene u periodu januar-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>mart  2015. povećan je za 4,9% i iznosi</w:t>
            </w:r>
            <w:r w:rsidR="00930D10" w:rsidRPr="00D05BDB">
              <w:rPr>
                <w:rFonts w:asciiTheme="minorHAnsi" w:hAnsiTheme="minorHAnsi" w:cstheme="minorHAnsi"/>
                <w:b/>
                <w:sz w:val="20"/>
                <w:lang w:val="sr-Latn-CS"/>
              </w:rPr>
              <w:t xml:space="preserve">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 431,2 mil.€. g-n-g. Spoljnotrgovinski deficit je iznosio 282,3 mil.€, </w:t>
            </w:r>
            <w:r w:rsidR="00930D10" w:rsidRPr="00D05BDB">
              <w:rPr>
                <w:rFonts w:asciiTheme="minorHAnsi" w:hAnsiTheme="minorHAnsi" w:cstheme="minorHAnsi"/>
                <w:sz w:val="20"/>
              </w:rPr>
              <w:t>3,7% više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, kao posljedica </w:t>
            </w:r>
            <w:r w:rsidR="007249F7" w:rsidRPr="00D05BDB">
              <w:rPr>
                <w:rFonts w:asciiTheme="minorHAnsi" w:hAnsiTheme="minorHAnsi" w:cstheme="minorHAnsi"/>
                <w:sz w:val="20"/>
              </w:rPr>
              <w:t>veće</w:t>
            </w:r>
            <w:r w:rsidR="00930D10" w:rsidRPr="00D05BD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249F7" w:rsidRPr="00D05BDB">
              <w:rPr>
                <w:rFonts w:asciiTheme="minorHAnsi" w:hAnsiTheme="minorHAnsi" w:cstheme="minorHAnsi"/>
                <w:sz w:val="20"/>
              </w:rPr>
              <w:t>vrijednosti</w:t>
            </w:r>
            <w:r w:rsidR="00930D10" w:rsidRPr="00D05BDB">
              <w:rPr>
                <w:rFonts w:asciiTheme="minorHAnsi" w:hAnsiTheme="minorHAnsi" w:cstheme="minorHAnsi"/>
                <w:sz w:val="20"/>
              </w:rPr>
              <w:t xml:space="preserve"> uvoza roba, iako je izvoz zabilježio veći procentualni rast.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Stepen pokrivenosti uvoza izvozom je ostao na nivou iz prethodne godine i iznosi 20,9%.  Ukupan izvoz roba vrijedio je 74,5 mil.€, što je za 7,2% više g-n-g. Rast </w:t>
            </w:r>
            <w:r w:rsidR="00930D10" w:rsidRPr="00D05BDB">
              <w:rPr>
                <w:rFonts w:asciiTheme="minorHAnsi" w:hAnsiTheme="minorHAnsi" w:cstheme="minorHAnsi"/>
                <w:b/>
                <w:sz w:val="20"/>
                <w:lang w:val="sr-Latn-CS"/>
              </w:rPr>
              <w:t>izvoza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 generisan je povećanjem izvoza aluminijuma i gvožđa i čelika, koji čine 35,</w:t>
            </w:r>
            <w:r w:rsidR="005F7FD7">
              <w:rPr>
                <w:rFonts w:asciiTheme="minorHAnsi" w:hAnsiTheme="minorHAnsi" w:cstheme="minorHAnsi"/>
                <w:sz w:val="20"/>
                <w:lang w:val="sr-Latn-CS"/>
              </w:rPr>
              <w:t xml:space="preserve">7% ukupnog crnogorskog izvoza.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Izvoz </w:t>
            </w:r>
            <w:r w:rsidR="005F7FD7">
              <w:rPr>
                <w:rFonts w:asciiTheme="minorHAnsi" w:hAnsiTheme="minorHAnsi" w:cstheme="minorHAnsi"/>
                <w:sz w:val="20"/>
              </w:rPr>
              <w:t xml:space="preserve"> navedenih kategorija </w:t>
            </w:r>
            <w:r w:rsidR="00930D10" w:rsidRPr="00D05BDB">
              <w:rPr>
                <w:rFonts w:asciiTheme="minorHAnsi" w:hAnsiTheme="minorHAnsi" w:cstheme="minorHAnsi"/>
                <w:sz w:val="20"/>
              </w:rPr>
              <w:t>povećan je za 21,0%, odnosno četiri ipo puta, pod uticajem rasta fizičkog obima proizvodnje osnovnih metala za 6,0% i izvoznih cijena osnovnih metala 21,4%. Ukupan uvoz roba vrijedio je 356,8 mil.€, što je za 4,4% više g-n-g.</w:t>
            </w:r>
            <w:r w:rsidR="005F7FD7">
              <w:rPr>
                <w:rFonts w:asciiTheme="minorHAnsi" w:hAnsiTheme="minorHAnsi" w:cstheme="minorHAnsi"/>
                <w:sz w:val="20"/>
                <w:lang w:val="sr-Latn-CS"/>
              </w:rPr>
              <w:t xml:space="preserve"> Rast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uvoza je u najvećoj mjeri opredijeljen povećanjem uvoza hrane 13,0% i mašina i transportnih uređaja 10,0%, </w:t>
            </w:r>
            <w:r w:rsidR="00865DAA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pri čemu se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na </w:t>
            </w:r>
            <w:r w:rsidR="00865DAA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njihov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 xml:space="preserve">uvoz odnosi 42,4% ukupnog uvoza. Na drugoj strani, bilježi se opadajući trend izvoza i uvoza električne energije, </w:t>
            </w:r>
            <w:r w:rsidR="00865DAA" w:rsidRPr="00D05BDB">
              <w:rPr>
                <w:rFonts w:asciiTheme="minorHAnsi" w:hAnsiTheme="minorHAnsi" w:cstheme="minorHAnsi"/>
                <w:sz w:val="20"/>
                <w:lang w:val="sr-Latn-CS"/>
              </w:rPr>
              <w:t>i evidentno je da su</w:t>
            </w:r>
            <w:r w:rsidR="005F7FD7">
              <w:rPr>
                <w:rFonts w:asciiTheme="minorHAnsi" w:hAnsiTheme="minorHAnsi" w:cstheme="minorHAnsi"/>
                <w:sz w:val="20"/>
                <w:lang w:val="sr-Latn-CS"/>
              </w:rPr>
              <w:t xml:space="preserve"> 30,0 i </w:t>
            </w:r>
            <w:r w:rsidR="00930D10" w:rsidRPr="00D05BDB">
              <w:rPr>
                <w:rFonts w:asciiTheme="minorHAnsi" w:hAnsiTheme="minorHAnsi" w:cstheme="minorHAnsi"/>
                <w:sz w:val="20"/>
                <w:lang w:val="sr-Latn-CS"/>
              </w:rPr>
              <w:t>32,0% manji, respektivno.</w:t>
            </w:r>
          </w:p>
          <w:p w:rsidR="00E740C2" w:rsidRPr="00D05BDB" w:rsidRDefault="00E740C2" w:rsidP="007249F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sr-Latn-CS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Neto priliv SDI u periodu januar-februar 2015. iznosio je 51,8 mil.€, što je za 11,9% više nego u istom periodu 2014. (46,3 mil.€).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Ukupan priliv SDI iznosio je 60,6 mil.€, </w:t>
            </w:r>
            <w:r w:rsidRPr="00D05BDB">
              <w:rPr>
                <w:rFonts w:asciiTheme="minorHAnsi" w:hAnsiTheme="minorHAnsi" w:cstheme="minorHAnsi"/>
                <w:noProof/>
                <w:sz w:val="20"/>
                <w:lang w:val="sr-Latn-CS"/>
              </w:rPr>
              <w:t xml:space="preserve">što je za 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>8,2% manje nego u uporednom periodu 2014.</w:t>
            </w:r>
            <w:r w:rsidRPr="00D05BDB">
              <w:rPr>
                <w:rFonts w:asciiTheme="minorHAnsi" w:hAnsiTheme="minorHAnsi" w:cstheme="minorHAnsi"/>
                <w:noProof/>
                <w:sz w:val="20"/>
                <w:lang w:val="sr-Latn-CS"/>
              </w:rPr>
              <w:t>(66,0 mil.€).</w:t>
            </w:r>
            <w:r w:rsidRPr="00D05BDB">
              <w:rPr>
                <w:rFonts w:asciiTheme="minorHAnsi" w:hAnsiTheme="minorHAnsi" w:cstheme="minorHAnsi"/>
                <w:noProof/>
                <w:sz w:val="20"/>
              </w:rPr>
              <w:t xml:space="preserve"> Priliv po osnovu vlasničkih ulaganja u periodu januar-februar 2015. ostvaren je u iznosu od 33,0 mil.€, (5,8% više nego u 2015) što čini 54,4% ukupnog priliva. Struktura ukupnog priliva SDI: investicije u preduzeća i banke 15,5%, (40,4% više) i investicije u nekretnine 39,0% (3,7% manje). Ostvareni priliv po osnovu interkompanijskog duga, sa učešćem od 44,4%, ukazuje na pad od 20,9% u odnosu na uporedni period januar-februar 2014, dok je kategorija ostale investicije učestvovala sa 1,1% (oko 15,3% manje). Ukupan odliv SDI iznosio je 8,8 mil.€, što je za 55,5% manje nego u 2014.godini.</w:t>
            </w:r>
          </w:p>
          <w:p w:rsidR="00E740C2" w:rsidRPr="00D05BDB" w:rsidRDefault="00E740C2" w:rsidP="00930D10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:rsidR="00930D10" w:rsidRPr="00D05BDB" w:rsidRDefault="00930D10" w:rsidP="00930D10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64" w:type="pct"/>
            <w:vAlign w:val="center"/>
          </w:tcPr>
          <w:p w:rsidR="00C45B95" w:rsidRPr="00D05BDB" w:rsidRDefault="005A2CA1" w:rsidP="00930D1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D05BDB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79600" cy="2104993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C45B95" w:rsidRDefault="00C45B95" w:rsidP="001E53D5">
      <w:pPr>
        <w:framePr w:w="10770" w:wrap="auto" w:hAnchor="text"/>
        <w:sectPr w:rsidR="00C45B95" w:rsidSect="00A90070">
          <w:pgSz w:w="11906" w:h="16838"/>
          <w:pgMar w:top="567" w:right="624" w:bottom="624" w:left="567" w:header="708" w:footer="708" w:gutter="0"/>
          <w:cols w:space="708"/>
          <w:docGrid w:linePitch="360"/>
        </w:sect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lastRenderedPageBreak/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561716">
        <w:rPr>
          <w:noProof/>
          <w:sz w:val="17"/>
          <w:szCs w:val="16"/>
        </w:rPr>
        <w:t xml:space="preserve"> mart</w:t>
      </w:r>
      <w:r w:rsidR="00BC1B61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60" w:type="pct"/>
        <w:tblCellMar>
          <w:left w:w="0" w:type="dxa"/>
          <w:right w:w="0" w:type="dxa"/>
        </w:tblCellMar>
        <w:tblLook w:val="04A0"/>
      </w:tblPr>
      <w:tblGrid>
        <w:gridCol w:w="3691"/>
        <w:gridCol w:w="792"/>
        <w:gridCol w:w="792"/>
        <w:gridCol w:w="792"/>
        <w:gridCol w:w="795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89"/>
      </w:tblGrid>
      <w:tr w:rsidR="00F061DD" w:rsidRPr="00F061DD" w:rsidTr="00F061DD">
        <w:trPr>
          <w:divId w:val="1158420704"/>
          <w:trHeight w:val="288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mart 2015/2014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jan-mart 2015/jan-mart 2014</w:t>
            </w:r>
          </w:p>
        </w:tc>
      </w:tr>
      <w:tr w:rsidR="00F061DD" w:rsidRPr="00F061DD" w:rsidTr="00F061DD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81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3,5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16,6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2,5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Vrijednost radova u gradjevinarstvu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Harmonizovani indeks potrošačkih cijena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171.855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34.903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3.504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49,6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85,8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2.340,8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556,7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494,1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562,6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512,2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533,1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524,8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469,1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492,2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-11,6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Udio kredita u kašnjenju u ukupnim kreditima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21,6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21,0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-11,6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417,2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369,4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-6,2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</w:t>
            </w:r>
            <w:r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ima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2.314,6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90,4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938,3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904,6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635,1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1.352,7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1,66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-29,1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23,1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28,2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27,1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7,2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172,0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86,0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121,5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149,3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22,9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4,4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-135,3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-143,8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-152,8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-137,3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-120,4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-60,0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-124,0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26,3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3,7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32,6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29,7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-9,9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11,9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56,7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-47,3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-47,4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1.773,9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-2,4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4,0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5,2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</w:tr>
      <w:tr w:rsidR="00F061DD" w:rsidRPr="00F061DD" w:rsidTr="00766605">
        <w:trPr>
          <w:divId w:val="1158420704"/>
          <w:trHeight w:val="170"/>
        </w:trPr>
        <w:tc>
          <w:tcPr>
            <w:tcW w:w="1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14" w:type="dxa"/>
              <w:bottom w:w="0" w:type="dxa"/>
              <w:right w:w="0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F061D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061DD" w:rsidRPr="00F061DD" w:rsidRDefault="00F061DD" w:rsidP="00F061DD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F061DD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</w:tr>
    </w:tbl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A34CEB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A34CEB" w:rsidRPr="00355F01">
        <w:rPr>
          <w:noProof/>
          <w:sz w:val="17"/>
          <w:szCs w:val="16"/>
        </w:rPr>
        <w:fldChar w:fldCharType="separate"/>
      </w:r>
      <w:r w:rsidR="00F061DD">
        <w:rPr>
          <w:noProof/>
          <w:sz w:val="17"/>
          <w:szCs w:val="16"/>
        </w:rPr>
        <w:t>2</w:t>
      </w:r>
      <w:r w:rsidR="00A34CEB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6D6A98" w:rsidRPr="00355F01">
        <w:rPr>
          <w:noProof/>
          <w:sz w:val="17"/>
          <w:szCs w:val="16"/>
        </w:rPr>
        <w:t>–</w:t>
      </w:r>
      <w:r w:rsidR="00561716">
        <w:rPr>
          <w:noProof/>
          <w:sz w:val="17"/>
          <w:szCs w:val="16"/>
        </w:rPr>
        <w:t>mart</w:t>
      </w:r>
      <w:r w:rsidR="009C1DC4">
        <w:rPr>
          <w:noProof/>
          <w:sz w:val="17"/>
          <w:szCs w:val="16"/>
        </w:rPr>
        <w:t xml:space="preserve">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tbl>
      <w:tblPr>
        <w:tblW w:w="5000" w:type="pct"/>
        <w:tblLook w:val="04A0"/>
      </w:tblPr>
      <w:tblGrid>
        <w:gridCol w:w="3173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674"/>
        <w:gridCol w:w="730"/>
        <w:gridCol w:w="744"/>
        <w:gridCol w:w="779"/>
        <w:gridCol w:w="664"/>
        <w:gridCol w:w="779"/>
        <w:gridCol w:w="962"/>
      </w:tblGrid>
      <w:tr w:rsidR="00F726F4" w:rsidRPr="00F726F4" w:rsidTr="007249F7">
        <w:trPr>
          <w:trHeight w:val="315"/>
        </w:trPr>
        <w:tc>
          <w:tcPr>
            <w:tcW w:w="974" w:type="pct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370" w:type="pct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2014</w:t>
            </w:r>
          </w:p>
        </w:tc>
        <w:tc>
          <w:tcPr>
            <w:tcW w:w="439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2015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</w:rPr>
            </w:pPr>
            <w:r w:rsidRPr="00F726F4">
              <w:rPr>
                <w:color w:val="000000"/>
              </w:rPr>
              <w:t> </w:t>
            </w:r>
          </w:p>
        </w:tc>
        <w:tc>
          <w:tcPr>
            <w:tcW w:w="24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plan 2015</w:t>
            </w:r>
          </w:p>
        </w:tc>
        <w:tc>
          <w:tcPr>
            <w:tcW w:w="750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Analitika-Mart</w:t>
            </w:r>
          </w:p>
        </w:tc>
      </w:tr>
      <w:tr w:rsidR="00F726F4" w:rsidRPr="00F726F4" w:rsidTr="007249F7">
        <w:trPr>
          <w:trHeight w:val="735"/>
        </w:trPr>
        <w:tc>
          <w:tcPr>
            <w:tcW w:w="974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III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IV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V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VI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VII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VIII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IX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X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XI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XII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II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III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III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mart 2015/ mart 2014 (%)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jan-mart 2015 / jan-mart 2014(%)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F726F4">
              <w:rPr>
                <w:sz w:val="14"/>
                <w:szCs w:val="14"/>
              </w:rPr>
              <w:t>mart 2015/mart 2015plan (%)</w:t>
            </w:r>
          </w:p>
        </w:tc>
      </w:tr>
      <w:tr w:rsidR="00F726F4" w:rsidRPr="00F726F4" w:rsidTr="00830A88">
        <w:trPr>
          <w:trHeight w:val="330"/>
        </w:trPr>
        <w:tc>
          <w:tcPr>
            <w:tcW w:w="97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102,08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237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21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101,07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-0,43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-0,79</w:t>
            </w:r>
          </w:p>
        </w:tc>
      </w:tr>
      <w:tr w:rsidR="00F726F4" w:rsidRPr="00F726F4" w:rsidTr="00830A88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42,09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36,71</w:t>
            </w:r>
          </w:p>
        </w:tc>
        <w:tc>
          <w:tcPr>
            <w:tcW w:w="20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11,04</w:t>
            </w:r>
          </w:p>
        </w:tc>
        <w:tc>
          <w:tcPr>
            <w:tcW w:w="24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8,77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14,65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224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9,85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11,94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-18,66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-23,82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-17,52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224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29,67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35,63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-15,05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-4,97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-16,72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Akcize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224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10,88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10,14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14,15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16,08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7,28</w:t>
            </w:r>
          </w:p>
        </w:tc>
      </w:tr>
      <w:tr w:rsidR="00F726F4" w:rsidRPr="00F726F4" w:rsidTr="007249F7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2,07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1,73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26,58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17,80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19,73</w:t>
            </w:r>
          </w:p>
        </w:tc>
      </w:tr>
      <w:tr w:rsidR="00F726F4" w:rsidRPr="00F726F4" w:rsidTr="00830A88">
        <w:trPr>
          <w:trHeight w:val="330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117,73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124,04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107,60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108,67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-7,69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-16,67</w:t>
            </w:r>
          </w:p>
        </w:tc>
      </w:tr>
      <w:tr w:rsidR="00F726F4" w:rsidRPr="00F726F4" w:rsidTr="00830A88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224" w:type="pc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28,42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31,61</w:t>
            </w:r>
          </w:p>
        </w:tc>
        <w:tc>
          <w:tcPr>
            <w:tcW w:w="20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-1,82</w:t>
            </w:r>
          </w:p>
        </w:tc>
        <w:tc>
          <w:tcPr>
            <w:tcW w:w="24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-1,22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-10,09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6,28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224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5,91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5,91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-7,74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-0,01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Kamate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4,72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224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6,31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10,22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-19,26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224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40,86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42,07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-2,50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-2,87</w:t>
            </w:r>
          </w:p>
        </w:tc>
      </w:tr>
      <w:tr w:rsidR="00F726F4" w:rsidRPr="00F726F4" w:rsidTr="00830A88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24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11,42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10,69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-4,38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45,67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6,82</w:t>
            </w:r>
          </w:p>
        </w:tc>
      </w:tr>
      <w:tr w:rsidR="00F726F4" w:rsidRPr="00F726F4" w:rsidTr="00830A88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Kapitalni izdaci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3,85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224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5,04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24,88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-23,87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99,19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-79,73</w:t>
            </w:r>
          </w:p>
        </w:tc>
      </w:tr>
      <w:tr w:rsidR="00F726F4" w:rsidRPr="00F726F4" w:rsidTr="00830A88">
        <w:trPr>
          <w:trHeight w:val="330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-17,02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-14,96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-8,39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-29,34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-50,72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-71,41</w:t>
            </w:r>
          </w:p>
        </w:tc>
      </w:tr>
      <w:tr w:rsidR="00F726F4" w:rsidRPr="00F726F4" w:rsidTr="00830A88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Primarni bilans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-12,40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9,70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-19,73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-18,42</w:t>
            </w:r>
          </w:p>
        </w:tc>
        <w:tc>
          <w:tcPr>
            <w:tcW w:w="224" w:type="pc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-3,29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-23,03</w:t>
            </w:r>
          </w:p>
        </w:tc>
        <w:tc>
          <w:tcPr>
            <w:tcW w:w="20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-73,46</w:t>
            </w:r>
          </w:p>
        </w:tc>
        <w:tc>
          <w:tcPr>
            <w:tcW w:w="24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-6,84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-85,71</w:t>
            </w:r>
          </w:p>
        </w:tc>
      </w:tr>
      <w:tr w:rsidR="00F726F4" w:rsidRPr="00F726F4" w:rsidTr="007249F7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Otplata dugova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7,98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37,33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9,65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30,82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33,19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285,95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247,81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-7,16</w:t>
            </w:r>
          </w:p>
        </w:tc>
      </w:tr>
      <w:tr w:rsidR="00F726F4" w:rsidRPr="00F726F4" w:rsidTr="007249F7">
        <w:trPr>
          <w:trHeight w:val="330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726F4" w:rsidRPr="00830A88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A88">
              <w:rPr>
                <w:b/>
                <w:bCs/>
                <w:sz w:val="16"/>
                <w:szCs w:val="16"/>
              </w:rPr>
              <w:t>1938,00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726F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F726F4" w:rsidRPr="00F726F4" w:rsidTr="007249F7">
        <w:trPr>
          <w:trHeight w:val="315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Domaći dug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</w:tr>
      <w:tr w:rsidR="00F726F4" w:rsidRPr="00F726F4" w:rsidTr="007249F7">
        <w:trPr>
          <w:trHeight w:val="300"/>
        </w:trPr>
        <w:tc>
          <w:tcPr>
            <w:tcW w:w="974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Inostrani dug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726F4">
              <w:rPr>
                <w:sz w:val="16"/>
                <w:szCs w:val="16"/>
              </w:rPr>
              <w:t>-</w:t>
            </w:r>
          </w:p>
        </w:tc>
      </w:tr>
      <w:tr w:rsidR="00F726F4" w:rsidRPr="00F726F4" w:rsidTr="007249F7">
        <w:trPr>
          <w:trHeight w:val="480"/>
        </w:trPr>
        <w:tc>
          <w:tcPr>
            <w:tcW w:w="974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F726F4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2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726F4" w:rsidRPr="00F726F4" w:rsidRDefault="00F726F4" w:rsidP="00F726F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726F4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26F4" w:rsidRPr="00F726F4" w:rsidRDefault="00F726F4" w:rsidP="00F726F4">
            <w:pPr>
              <w:spacing w:after="0" w:line="240" w:lineRule="auto"/>
              <w:rPr>
                <w:color w:val="000000"/>
              </w:rPr>
            </w:pPr>
            <w:r w:rsidRPr="00F726F4">
              <w:rPr>
                <w:color w:val="000000"/>
              </w:rPr>
              <w:t>-</w:t>
            </w:r>
          </w:p>
        </w:tc>
      </w:tr>
    </w:tbl>
    <w:p w:rsidR="00F37361" w:rsidRDefault="00F3736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F37361" w:rsidRDefault="00F3736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F37361" w:rsidRDefault="00F3736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F37361" w:rsidRDefault="00F3736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F37361" w:rsidRPr="00355F01" w:rsidRDefault="00F37361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6A50FA" w:rsidRPr="006A50FA" w:rsidRDefault="006A50FA" w:rsidP="006A50FA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sectPr w:rsidR="006A50FA" w:rsidRPr="006A50FA" w:rsidSect="00A9007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C53" w:rsidRDefault="006B3C53" w:rsidP="00965FCD">
      <w:pPr>
        <w:spacing w:after="0" w:line="240" w:lineRule="auto"/>
      </w:pPr>
      <w:r>
        <w:separator/>
      </w:r>
    </w:p>
  </w:endnote>
  <w:endnote w:type="continuationSeparator" w:id="0">
    <w:p w:rsidR="006B3C53" w:rsidRDefault="006B3C53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C53" w:rsidRDefault="006B3C53" w:rsidP="00965FCD">
      <w:pPr>
        <w:spacing w:after="0" w:line="240" w:lineRule="auto"/>
      </w:pPr>
      <w:r>
        <w:separator/>
      </w:r>
    </w:p>
  </w:footnote>
  <w:footnote w:type="continuationSeparator" w:id="0">
    <w:p w:rsidR="006B3C53" w:rsidRDefault="006B3C53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0F0C99"/>
    <w:multiLevelType w:val="hybridMultilevel"/>
    <w:tmpl w:val="3C02798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9"/>
  </w:num>
  <w:num w:numId="3">
    <w:abstractNumId w:val="38"/>
  </w:num>
  <w:num w:numId="4">
    <w:abstractNumId w:val="26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8"/>
  </w:num>
  <w:num w:numId="8">
    <w:abstractNumId w:val="3"/>
  </w:num>
  <w:num w:numId="9">
    <w:abstractNumId w:val="0"/>
  </w:num>
  <w:num w:numId="10">
    <w:abstractNumId w:val="36"/>
  </w:num>
  <w:num w:numId="11">
    <w:abstractNumId w:val="2"/>
  </w:num>
  <w:num w:numId="12">
    <w:abstractNumId w:val="34"/>
  </w:num>
  <w:num w:numId="13">
    <w:abstractNumId w:val="30"/>
  </w:num>
  <w:num w:numId="14">
    <w:abstractNumId w:val="10"/>
  </w:num>
  <w:num w:numId="15">
    <w:abstractNumId w:val="8"/>
  </w:num>
  <w:num w:numId="16">
    <w:abstractNumId w:val="21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24"/>
  </w:num>
  <w:num w:numId="22">
    <w:abstractNumId w:val="17"/>
  </w:num>
  <w:num w:numId="23">
    <w:abstractNumId w:val="16"/>
  </w:num>
  <w:num w:numId="24">
    <w:abstractNumId w:val="32"/>
  </w:num>
  <w:num w:numId="25">
    <w:abstractNumId w:val="6"/>
  </w:num>
  <w:num w:numId="26">
    <w:abstractNumId w:val="13"/>
  </w:num>
  <w:num w:numId="27">
    <w:abstractNumId w:val="29"/>
  </w:num>
  <w:num w:numId="28">
    <w:abstractNumId w:val="5"/>
  </w:num>
  <w:num w:numId="29">
    <w:abstractNumId w:val="7"/>
  </w:num>
  <w:num w:numId="30">
    <w:abstractNumId w:val="23"/>
  </w:num>
  <w:num w:numId="31">
    <w:abstractNumId w:val="33"/>
  </w:num>
  <w:num w:numId="32">
    <w:abstractNumId w:val="19"/>
  </w:num>
  <w:num w:numId="33">
    <w:abstractNumId w:val="3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</w:num>
  <w:num w:numId="37">
    <w:abstractNumId w:val="27"/>
  </w:num>
  <w:num w:numId="38">
    <w:abstractNumId w:val="18"/>
  </w:num>
  <w:num w:numId="39">
    <w:abstractNumId w:val="4"/>
  </w:num>
  <w:num w:numId="40">
    <w:abstractNumId w:val="1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20F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4C03"/>
    <w:rsid w:val="00085B67"/>
    <w:rsid w:val="0008654B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3AEE"/>
    <w:rsid w:val="000E40CC"/>
    <w:rsid w:val="000E4DD4"/>
    <w:rsid w:val="000E5DCB"/>
    <w:rsid w:val="000E6096"/>
    <w:rsid w:val="000E77A4"/>
    <w:rsid w:val="000E7A16"/>
    <w:rsid w:val="000E7E9D"/>
    <w:rsid w:val="000F1010"/>
    <w:rsid w:val="000F1186"/>
    <w:rsid w:val="000F1AA9"/>
    <w:rsid w:val="000F260E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0F3"/>
    <w:rsid w:val="0010452C"/>
    <w:rsid w:val="00105AEF"/>
    <w:rsid w:val="00106446"/>
    <w:rsid w:val="0010656B"/>
    <w:rsid w:val="00107128"/>
    <w:rsid w:val="00107647"/>
    <w:rsid w:val="00107A07"/>
    <w:rsid w:val="00111C8A"/>
    <w:rsid w:val="001124C4"/>
    <w:rsid w:val="001124FF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393"/>
    <w:rsid w:val="00117AB0"/>
    <w:rsid w:val="001209D0"/>
    <w:rsid w:val="00120A3A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3348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A6C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BE3"/>
    <w:rsid w:val="001E5E69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713F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445"/>
    <w:rsid w:val="0027775D"/>
    <w:rsid w:val="00277D24"/>
    <w:rsid w:val="00280105"/>
    <w:rsid w:val="00281E75"/>
    <w:rsid w:val="0028233F"/>
    <w:rsid w:val="002823F9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6127"/>
    <w:rsid w:val="002961DB"/>
    <w:rsid w:val="00296B08"/>
    <w:rsid w:val="002977E4"/>
    <w:rsid w:val="00297AC4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A8C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88"/>
    <w:rsid w:val="002C75B9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6033"/>
    <w:rsid w:val="0033636B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5ADD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2CC0"/>
    <w:rsid w:val="003634DC"/>
    <w:rsid w:val="003638CF"/>
    <w:rsid w:val="00363A53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4BE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670"/>
    <w:rsid w:val="003C3A57"/>
    <w:rsid w:val="003C4817"/>
    <w:rsid w:val="003C5E7B"/>
    <w:rsid w:val="003C6A22"/>
    <w:rsid w:val="003C7870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A1"/>
    <w:rsid w:val="003D78F3"/>
    <w:rsid w:val="003D7D58"/>
    <w:rsid w:val="003E0266"/>
    <w:rsid w:val="003E0C4A"/>
    <w:rsid w:val="003E151E"/>
    <w:rsid w:val="003E221F"/>
    <w:rsid w:val="003E3296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243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2BC8"/>
    <w:rsid w:val="00463225"/>
    <w:rsid w:val="004634E4"/>
    <w:rsid w:val="00463506"/>
    <w:rsid w:val="004639A5"/>
    <w:rsid w:val="004647F3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0C6"/>
    <w:rsid w:val="004D49A0"/>
    <w:rsid w:val="004D4E0F"/>
    <w:rsid w:val="004D6472"/>
    <w:rsid w:val="004D7775"/>
    <w:rsid w:val="004E02D3"/>
    <w:rsid w:val="004E0DE7"/>
    <w:rsid w:val="004E12DB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2A1E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4E2A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2F77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716"/>
    <w:rsid w:val="00561992"/>
    <w:rsid w:val="00562086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C7786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599A"/>
    <w:rsid w:val="005F66B5"/>
    <w:rsid w:val="005F7FD7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C12"/>
    <w:rsid w:val="00625243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3FF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23F0"/>
    <w:rsid w:val="00672DCB"/>
    <w:rsid w:val="00673787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95E"/>
    <w:rsid w:val="00690A2B"/>
    <w:rsid w:val="00690D87"/>
    <w:rsid w:val="00690EA9"/>
    <w:rsid w:val="006910F4"/>
    <w:rsid w:val="00691EB2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44B"/>
    <w:rsid w:val="006A174E"/>
    <w:rsid w:val="006A1C8D"/>
    <w:rsid w:val="006A290B"/>
    <w:rsid w:val="006A469E"/>
    <w:rsid w:val="006A478E"/>
    <w:rsid w:val="006A4801"/>
    <w:rsid w:val="006A50FA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2834"/>
    <w:rsid w:val="006E4128"/>
    <w:rsid w:val="006E4746"/>
    <w:rsid w:val="006E4A03"/>
    <w:rsid w:val="006E4B91"/>
    <w:rsid w:val="006E563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60F"/>
    <w:rsid w:val="00720A33"/>
    <w:rsid w:val="00721947"/>
    <w:rsid w:val="00721DCD"/>
    <w:rsid w:val="007227E1"/>
    <w:rsid w:val="00722A4C"/>
    <w:rsid w:val="007234B4"/>
    <w:rsid w:val="007249F7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58B7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6605"/>
    <w:rsid w:val="007675AF"/>
    <w:rsid w:val="00767AC1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2553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784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6A8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41C4"/>
    <w:rsid w:val="007B5A1B"/>
    <w:rsid w:val="007B5C2E"/>
    <w:rsid w:val="007B6FB1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5D5E"/>
    <w:rsid w:val="007E7DDD"/>
    <w:rsid w:val="007F182C"/>
    <w:rsid w:val="007F2376"/>
    <w:rsid w:val="007F2783"/>
    <w:rsid w:val="007F33E9"/>
    <w:rsid w:val="007F388B"/>
    <w:rsid w:val="007F4571"/>
    <w:rsid w:val="007F4D55"/>
    <w:rsid w:val="007F589D"/>
    <w:rsid w:val="007F5F68"/>
    <w:rsid w:val="007F5FD8"/>
    <w:rsid w:val="007F61AF"/>
    <w:rsid w:val="007F775F"/>
    <w:rsid w:val="007F7F34"/>
    <w:rsid w:val="0080031F"/>
    <w:rsid w:val="00801411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0A88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497E"/>
    <w:rsid w:val="00855ED0"/>
    <w:rsid w:val="00856102"/>
    <w:rsid w:val="0085673A"/>
    <w:rsid w:val="00856B6A"/>
    <w:rsid w:val="00856DE2"/>
    <w:rsid w:val="008573C7"/>
    <w:rsid w:val="00857B59"/>
    <w:rsid w:val="00860423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5DAA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2CDA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5F69"/>
    <w:rsid w:val="008A68EC"/>
    <w:rsid w:val="008A73B0"/>
    <w:rsid w:val="008B24DD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941"/>
    <w:rsid w:val="008C4151"/>
    <w:rsid w:val="008C5163"/>
    <w:rsid w:val="008C5984"/>
    <w:rsid w:val="008C5E67"/>
    <w:rsid w:val="008C730F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4E9D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43DB"/>
    <w:rsid w:val="009B5779"/>
    <w:rsid w:val="009B65AF"/>
    <w:rsid w:val="009B6603"/>
    <w:rsid w:val="009B6985"/>
    <w:rsid w:val="009B75F3"/>
    <w:rsid w:val="009C0493"/>
    <w:rsid w:val="009C162D"/>
    <w:rsid w:val="009C1D43"/>
    <w:rsid w:val="009C1DC4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74C6"/>
    <w:rsid w:val="00A00218"/>
    <w:rsid w:val="00A0022E"/>
    <w:rsid w:val="00A0035B"/>
    <w:rsid w:val="00A01261"/>
    <w:rsid w:val="00A0131C"/>
    <w:rsid w:val="00A01975"/>
    <w:rsid w:val="00A0226B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1B1A"/>
    <w:rsid w:val="00A324D0"/>
    <w:rsid w:val="00A324F2"/>
    <w:rsid w:val="00A32588"/>
    <w:rsid w:val="00A33860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89A"/>
    <w:rsid w:val="00A36F39"/>
    <w:rsid w:val="00A37526"/>
    <w:rsid w:val="00A3777A"/>
    <w:rsid w:val="00A40D24"/>
    <w:rsid w:val="00A4133A"/>
    <w:rsid w:val="00A419CE"/>
    <w:rsid w:val="00A423C3"/>
    <w:rsid w:val="00A423CC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078"/>
    <w:rsid w:val="00A76BD3"/>
    <w:rsid w:val="00A80523"/>
    <w:rsid w:val="00A8105B"/>
    <w:rsid w:val="00A8196A"/>
    <w:rsid w:val="00A81A72"/>
    <w:rsid w:val="00A81DD8"/>
    <w:rsid w:val="00A82E03"/>
    <w:rsid w:val="00A84EF6"/>
    <w:rsid w:val="00A85168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0A3"/>
    <w:rsid w:val="00AD261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745C"/>
    <w:rsid w:val="00AF16EF"/>
    <w:rsid w:val="00AF2879"/>
    <w:rsid w:val="00AF29C0"/>
    <w:rsid w:val="00AF2A35"/>
    <w:rsid w:val="00AF2BEB"/>
    <w:rsid w:val="00AF39C0"/>
    <w:rsid w:val="00AF3F13"/>
    <w:rsid w:val="00AF62DF"/>
    <w:rsid w:val="00AF6471"/>
    <w:rsid w:val="00AF71DC"/>
    <w:rsid w:val="00AF7929"/>
    <w:rsid w:val="00AF7CF3"/>
    <w:rsid w:val="00AF7E8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25C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71CF"/>
    <w:rsid w:val="00B27D61"/>
    <w:rsid w:val="00B30BC0"/>
    <w:rsid w:val="00B3132A"/>
    <w:rsid w:val="00B31F68"/>
    <w:rsid w:val="00B336D1"/>
    <w:rsid w:val="00B351C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4606"/>
    <w:rsid w:val="00B6467B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972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79E"/>
    <w:rsid w:val="00C26844"/>
    <w:rsid w:val="00C26B0A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4E32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4165"/>
    <w:rsid w:val="00CE518B"/>
    <w:rsid w:val="00CE69B5"/>
    <w:rsid w:val="00CE6CFC"/>
    <w:rsid w:val="00CE7444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50C1"/>
    <w:rsid w:val="00D05BDB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9D"/>
    <w:rsid w:val="00D803C1"/>
    <w:rsid w:val="00D80FC5"/>
    <w:rsid w:val="00D834E8"/>
    <w:rsid w:val="00D848EE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0DC"/>
    <w:rsid w:val="00DB0D61"/>
    <w:rsid w:val="00DB2D7B"/>
    <w:rsid w:val="00DB2EE2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4F9D"/>
    <w:rsid w:val="00DF5B2A"/>
    <w:rsid w:val="00DF698C"/>
    <w:rsid w:val="00DF6B9D"/>
    <w:rsid w:val="00DF7783"/>
    <w:rsid w:val="00E00EA3"/>
    <w:rsid w:val="00E00EAA"/>
    <w:rsid w:val="00E00F3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763"/>
    <w:rsid w:val="00E17454"/>
    <w:rsid w:val="00E20800"/>
    <w:rsid w:val="00E2133B"/>
    <w:rsid w:val="00E21DD8"/>
    <w:rsid w:val="00E22571"/>
    <w:rsid w:val="00E2307A"/>
    <w:rsid w:val="00E2362B"/>
    <w:rsid w:val="00E237D9"/>
    <w:rsid w:val="00E249A9"/>
    <w:rsid w:val="00E25472"/>
    <w:rsid w:val="00E27740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3A62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2541"/>
    <w:rsid w:val="00E72808"/>
    <w:rsid w:val="00E72ABE"/>
    <w:rsid w:val="00E72F93"/>
    <w:rsid w:val="00E734B7"/>
    <w:rsid w:val="00E73E27"/>
    <w:rsid w:val="00E740C2"/>
    <w:rsid w:val="00E75796"/>
    <w:rsid w:val="00E75F1B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7A9"/>
    <w:rsid w:val="00E86C6C"/>
    <w:rsid w:val="00E86FF2"/>
    <w:rsid w:val="00E8761C"/>
    <w:rsid w:val="00E876BD"/>
    <w:rsid w:val="00E87BA7"/>
    <w:rsid w:val="00E901F6"/>
    <w:rsid w:val="00E9031B"/>
    <w:rsid w:val="00E9050A"/>
    <w:rsid w:val="00E90903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2A70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A739B"/>
    <w:rsid w:val="00FB03D2"/>
    <w:rsid w:val="00FB0828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1FCF"/>
    <w:rsid w:val="00FC2E1D"/>
    <w:rsid w:val="00FC39C8"/>
    <w:rsid w:val="00FC3AFD"/>
    <w:rsid w:val="00FC4259"/>
    <w:rsid w:val="00FC4C8A"/>
    <w:rsid w:val="00FC6E75"/>
    <w:rsid w:val="00FD004E"/>
    <w:rsid w:val="00FD0116"/>
    <w:rsid w:val="00FD0297"/>
    <w:rsid w:val="00FD06B2"/>
    <w:rsid w:val="00FD0AB9"/>
    <w:rsid w:val="00FD1B17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Radovan\Aluminium%20u%20USD%20i%20&#836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%2004\mmi%202015-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04\mmi%202015-0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pravci%20razvoja\Podaci%20CBCG%20koji_se_dostavljaju_Savjetu%20za%20finansijsku%20stabilnost%20mart_2015%20-%20za%20MF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b="1"/>
            </a:pPr>
            <a:r>
              <a:rPr lang="en-US" sz="1000" b="1"/>
              <a:t>Aluminium</a:t>
            </a:r>
          </a:p>
        </c:rich>
      </c:tx>
      <c:layout>
        <c:manualLayout>
          <c:xMode val="edge"/>
          <c:yMode val="edge"/>
          <c:x val="0.46645743727598582"/>
          <c:y val="4.7834274952919913E-2"/>
        </c:manualLayout>
      </c:layout>
      <c:overlay val="1"/>
    </c:title>
    <c:plotArea>
      <c:layout>
        <c:manualLayout>
          <c:layoutTarget val="inner"/>
          <c:xMode val="edge"/>
          <c:yMode val="edge"/>
          <c:x val="0.22208870967741981"/>
          <c:y val="5.7066993464052564E-2"/>
          <c:w val="0.75515143369176418"/>
          <c:h val="0.66105178907721251"/>
        </c:manualLayout>
      </c:layout>
      <c:lineChart>
        <c:grouping val="standard"/>
        <c:ser>
          <c:idx val="0"/>
          <c:order val="0"/>
          <c:tx>
            <c:v>Al T/USD</c:v>
          </c:tx>
          <c:marker>
            <c:symbol val="none"/>
          </c:marker>
          <c:cat>
            <c:numRef>
              <c:f>Sheet1!$B$3:$B$63</c:f>
              <c:numCache>
                <c:formatCode>mmm/yy</c:formatCode>
                <c:ptCount val="61"/>
                <c:pt idx="0">
                  <c:v>40238</c:v>
                </c:pt>
                <c:pt idx="1">
                  <c:v>40269</c:v>
                </c:pt>
                <c:pt idx="2">
                  <c:v>40299</c:v>
                </c:pt>
                <c:pt idx="3">
                  <c:v>40330</c:v>
                </c:pt>
                <c:pt idx="4">
                  <c:v>40360</c:v>
                </c:pt>
                <c:pt idx="5">
                  <c:v>40391</c:v>
                </c:pt>
                <c:pt idx="6">
                  <c:v>40422</c:v>
                </c:pt>
                <c:pt idx="7">
                  <c:v>40452</c:v>
                </c:pt>
                <c:pt idx="8">
                  <c:v>40483</c:v>
                </c:pt>
                <c:pt idx="9">
                  <c:v>40513</c:v>
                </c:pt>
                <c:pt idx="10">
                  <c:v>40544</c:v>
                </c:pt>
                <c:pt idx="11">
                  <c:v>40575</c:v>
                </c:pt>
                <c:pt idx="12">
                  <c:v>40603</c:v>
                </c:pt>
                <c:pt idx="13">
                  <c:v>40634</c:v>
                </c:pt>
                <c:pt idx="14">
                  <c:v>40664</c:v>
                </c:pt>
                <c:pt idx="15">
                  <c:v>40695</c:v>
                </c:pt>
                <c:pt idx="16">
                  <c:v>40725</c:v>
                </c:pt>
                <c:pt idx="17">
                  <c:v>40756</c:v>
                </c:pt>
                <c:pt idx="18">
                  <c:v>40787</c:v>
                </c:pt>
                <c:pt idx="19">
                  <c:v>40817</c:v>
                </c:pt>
                <c:pt idx="20">
                  <c:v>40848</c:v>
                </c:pt>
                <c:pt idx="21">
                  <c:v>40878</c:v>
                </c:pt>
                <c:pt idx="22">
                  <c:v>40909</c:v>
                </c:pt>
                <c:pt idx="23">
                  <c:v>40940</c:v>
                </c:pt>
                <c:pt idx="24">
                  <c:v>40969</c:v>
                </c:pt>
                <c:pt idx="25">
                  <c:v>41000</c:v>
                </c:pt>
                <c:pt idx="26">
                  <c:v>41030</c:v>
                </c:pt>
                <c:pt idx="27">
                  <c:v>41061</c:v>
                </c:pt>
                <c:pt idx="28">
                  <c:v>41091</c:v>
                </c:pt>
                <c:pt idx="29">
                  <c:v>41122</c:v>
                </c:pt>
                <c:pt idx="30">
                  <c:v>41153</c:v>
                </c:pt>
                <c:pt idx="31">
                  <c:v>41183</c:v>
                </c:pt>
                <c:pt idx="32">
                  <c:v>41214</c:v>
                </c:pt>
                <c:pt idx="33">
                  <c:v>41244</c:v>
                </c:pt>
                <c:pt idx="34">
                  <c:v>41275</c:v>
                </c:pt>
                <c:pt idx="35">
                  <c:v>41306</c:v>
                </c:pt>
                <c:pt idx="36">
                  <c:v>41334</c:v>
                </c:pt>
                <c:pt idx="37">
                  <c:v>41365</c:v>
                </c:pt>
                <c:pt idx="38">
                  <c:v>41395</c:v>
                </c:pt>
                <c:pt idx="39">
                  <c:v>41426</c:v>
                </c:pt>
                <c:pt idx="40">
                  <c:v>41456</c:v>
                </c:pt>
                <c:pt idx="41">
                  <c:v>41487</c:v>
                </c:pt>
                <c:pt idx="42">
                  <c:v>41518</c:v>
                </c:pt>
                <c:pt idx="43">
                  <c:v>41548</c:v>
                </c:pt>
                <c:pt idx="44">
                  <c:v>41579</c:v>
                </c:pt>
                <c:pt idx="45">
                  <c:v>41609</c:v>
                </c:pt>
                <c:pt idx="46">
                  <c:v>41640</c:v>
                </c:pt>
                <c:pt idx="47">
                  <c:v>41671</c:v>
                </c:pt>
                <c:pt idx="48">
                  <c:v>41699</c:v>
                </c:pt>
                <c:pt idx="49">
                  <c:v>41730</c:v>
                </c:pt>
                <c:pt idx="50">
                  <c:v>41760</c:v>
                </c:pt>
                <c:pt idx="51">
                  <c:v>41791</c:v>
                </c:pt>
                <c:pt idx="52">
                  <c:v>41821</c:v>
                </c:pt>
                <c:pt idx="53">
                  <c:v>41852</c:v>
                </c:pt>
                <c:pt idx="54">
                  <c:v>41883</c:v>
                </c:pt>
                <c:pt idx="55">
                  <c:v>41913</c:v>
                </c:pt>
                <c:pt idx="56">
                  <c:v>41944</c:v>
                </c:pt>
                <c:pt idx="57">
                  <c:v>41974</c:v>
                </c:pt>
                <c:pt idx="58">
                  <c:v>42005</c:v>
                </c:pt>
                <c:pt idx="59">
                  <c:v>42036</c:v>
                </c:pt>
                <c:pt idx="60">
                  <c:v>42064</c:v>
                </c:pt>
              </c:numCache>
            </c:numRef>
          </c:cat>
          <c:val>
            <c:numRef>
              <c:f>Sheet1!$C$3:$C$63</c:f>
              <c:numCache>
                <c:formatCode>#,##0.00</c:formatCode>
                <c:ptCount val="61"/>
                <c:pt idx="0">
                  <c:v>2210.5500000000002</c:v>
                </c:pt>
                <c:pt idx="1">
                  <c:v>2314.3100000000022</c:v>
                </c:pt>
                <c:pt idx="2">
                  <c:v>2044.73</c:v>
                </c:pt>
                <c:pt idx="3">
                  <c:v>1929.41</c:v>
                </c:pt>
                <c:pt idx="4">
                  <c:v>1989.05</c:v>
                </c:pt>
                <c:pt idx="5">
                  <c:v>2110.44</c:v>
                </c:pt>
                <c:pt idx="6">
                  <c:v>2171.2399999999998</c:v>
                </c:pt>
                <c:pt idx="7">
                  <c:v>2342.1799999999998</c:v>
                </c:pt>
                <c:pt idx="8">
                  <c:v>2324.0500000000002</c:v>
                </c:pt>
                <c:pt idx="9">
                  <c:v>2356.67</c:v>
                </c:pt>
                <c:pt idx="10">
                  <c:v>2439.6999999999998</c:v>
                </c:pt>
                <c:pt idx="11">
                  <c:v>2515.2599999999998</c:v>
                </c:pt>
                <c:pt idx="12">
                  <c:v>2555.5</c:v>
                </c:pt>
                <c:pt idx="13">
                  <c:v>2667.42</c:v>
                </c:pt>
                <c:pt idx="14">
                  <c:v>2587.21</c:v>
                </c:pt>
                <c:pt idx="15">
                  <c:v>2557.7599999999998</c:v>
                </c:pt>
                <c:pt idx="16">
                  <c:v>2525.4299999999998</c:v>
                </c:pt>
                <c:pt idx="17">
                  <c:v>2380.98</c:v>
                </c:pt>
                <c:pt idx="18">
                  <c:v>2293.46</c:v>
                </c:pt>
                <c:pt idx="19">
                  <c:v>2180.65</c:v>
                </c:pt>
                <c:pt idx="20">
                  <c:v>2079.98</c:v>
                </c:pt>
                <c:pt idx="21">
                  <c:v>2024.3799999999999</c:v>
                </c:pt>
                <c:pt idx="22">
                  <c:v>2151.3300000000022</c:v>
                </c:pt>
                <c:pt idx="23">
                  <c:v>2207.92</c:v>
                </c:pt>
                <c:pt idx="24">
                  <c:v>2184.16</c:v>
                </c:pt>
                <c:pt idx="25">
                  <c:v>2048.5100000000002</c:v>
                </c:pt>
                <c:pt idx="26">
                  <c:v>2002.52</c:v>
                </c:pt>
                <c:pt idx="27">
                  <c:v>1885.51</c:v>
                </c:pt>
                <c:pt idx="28">
                  <c:v>1876.25</c:v>
                </c:pt>
                <c:pt idx="29">
                  <c:v>1843.33</c:v>
                </c:pt>
                <c:pt idx="30">
                  <c:v>2064.12</c:v>
                </c:pt>
                <c:pt idx="31">
                  <c:v>1974.3</c:v>
                </c:pt>
                <c:pt idx="32">
                  <c:v>1948.83</c:v>
                </c:pt>
                <c:pt idx="33">
                  <c:v>2086.7599999999998</c:v>
                </c:pt>
                <c:pt idx="34">
                  <c:v>2037.61</c:v>
                </c:pt>
                <c:pt idx="35">
                  <c:v>2053.6</c:v>
                </c:pt>
                <c:pt idx="36">
                  <c:v>1911.28</c:v>
                </c:pt>
                <c:pt idx="37">
                  <c:v>1861.02</c:v>
                </c:pt>
                <c:pt idx="38">
                  <c:v>1832.57</c:v>
                </c:pt>
                <c:pt idx="39">
                  <c:v>1814.54</c:v>
                </c:pt>
                <c:pt idx="40">
                  <c:v>1769.61</c:v>
                </c:pt>
                <c:pt idx="41">
                  <c:v>1816.24</c:v>
                </c:pt>
                <c:pt idx="42">
                  <c:v>1761.3</c:v>
                </c:pt>
                <c:pt idx="43">
                  <c:v>1814.58</c:v>
                </c:pt>
                <c:pt idx="44">
                  <c:v>1747.96</c:v>
                </c:pt>
                <c:pt idx="45">
                  <c:v>1739.81</c:v>
                </c:pt>
                <c:pt idx="46">
                  <c:v>1727.41</c:v>
                </c:pt>
                <c:pt idx="47">
                  <c:v>1695.1699999999998</c:v>
                </c:pt>
                <c:pt idx="48">
                  <c:v>1705.37</c:v>
                </c:pt>
                <c:pt idx="49">
                  <c:v>1810.6799999999998</c:v>
                </c:pt>
                <c:pt idx="50">
                  <c:v>1751.05</c:v>
                </c:pt>
                <c:pt idx="51">
                  <c:v>1838.95</c:v>
                </c:pt>
                <c:pt idx="52">
                  <c:v>1948.3</c:v>
                </c:pt>
                <c:pt idx="53">
                  <c:v>2030.49</c:v>
                </c:pt>
                <c:pt idx="54">
                  <c:v>1990.43</c:v>
                </c:pt>
                <c:pt idx="55">
                  <c:v>1946.1899999999998</c:v>
                </c:pt>
                <c:pt idx="56">
                  <c:v>2055.56</c:v>
                </c:pt>
                <c:pt idx="57">
                  <c:v>1909.46</c:v>
                </c:pt>
                <c:pt idx="58">
                  <c:v>1814.72</c:v>
                </c:pt>
                <c:pt idx="59">
                  <c:v>1817.82</c:v>
                </c:pt>
                <c:pt idx="60">
                  <c:v>1773.86</c:v>
                </c:pt>
              </c:numCache>
            </c:numRef>
          </c:val>
        </c:ser>
        <c:ser>
          <c:idx val="1"/>
          <c:order val="1"/>
          <c:tx>
            <c:v>AL T/EUR</c:v>
          </c:tx>
          <c:spPr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marker>
            <c:symbol val="none"/>
          </c:marker>
          <c:val>
            <c:numRef>
              <c:f>Sheet1!$F$3:$F$63</c:f>
              <c:numCache>
                <c:formatCode>General</c:formatCode>
                <c:ptCount val="61"/>
                <c:pt idx="0">
                  <c:v>1627.86007275</c:v>
                </c:pt>
                <c:pt idx="1">
                  <c:v>1721.6499236499999</c:v>
                </c:pt>
                <c:pt idx="2">
                  <c:v>1620.9597075000001</c:v>
                </c:pt>
                <c:pt idx="3">
                  <c:v>1579.7333786499998</c:v>
                </c:pt>
                <c:pt idx="4">
                  <c:v>1559.4848167499999</c:v>
                </c:pt>
                <c:pt idx="5">
                  <c:v>1634.6518541999999</c:v>
                </c:pt>
                <c:pt idx="6">
                  <c:v>1666.9477976000107</c:v>
                </c:pt>
                <c:pt idx="7">
                  <c:v>1685.7255005000011</c:v>
                </c:pt>
                <c:pt idx="8">
                  <c:v>1697.3931579999999</c:v>
                </c:pt>
                <c:pt idx="9">
                  <c:v>1783.3864558</c:v>
                </c:pt>
                <c:pt idx="10">
                  <c:v>1827.4084910000001</c:v>
                </c:pt>
                <c:pt idx="11">
                  <c:v>1843.1196464999998</c:v>
                </c:pt>
                <c:pt idx="12">
                  <c:v>1825.1764324999888</c:v>
                </c:pt>
                <c:pt idx="13">
                  <c:v>1847.8418678999999</c:v>
                </c:pt>
                <c:pt idx="14">
                  <c:v>1804.4237424000003</c:v>
                </c:pt>
                <c:pt idx="15">
                  <c:v>1778.4105280000001</c:v>
                </c:pt>
                <c:pt idx="16">
                  <c:v>1765.2250614000166</c:v>
                </c:pt>
                <c:pt idx="17">
                  <c:v>1659.888302099989</c:v>
                </c:pt>
                <c:pt idx="18">
                  <c:v>1661.8067141000001</c:v>
                </c:pt>
                <c:pt idx="19">
                  <c:v>1592.0271455</c:v>
                </c:pt>
                <c:pt idx="20">
                  <c:v>1530.9588791000126</c:v>
                </c:pt>
                <c:pt idx="21">
                  <c:v>1535.5124738000002</c:v>
                </c:pt>
                <c:pt idx="22">
                  <c:v>1668.58230464999</c:v>
                </c:pt>
                <c:pt idx="23">
                  <c:v>1670.01549</c:v>
                </c:pt>
                <c:pt idx="24">
                  <c:v>1653.0705752000001</c:v>
                </c:pt>
                <c:pt idx="25">
                  <c:v>1555.3926727999999</c:v>
                </c:pt>
                <c:pt idx="26">
                  <c:v>1559.9230296000001</c:v>
                </c:pt>
                <c:pt idx="27">
                  <c:v>1504.1656025</c:v>
                </c:pt>
                <c:pt idx="28">
                  <c:v>1524.3874562499998</c:v>
                </c:pt>
                <c:pt idx="29">
                  <c:v>1488.4705417000011</c:v>
                </c:pt>
                <c:pt idx="30">
                  <c:v>1606.0504896</c:v>
                </c:pt>
                <c:pt idx="31">
                  <c:v>1522.2741434999998</c:v>
                </c:pt>
                <c:pt idx="32">
                  <c:v>1519.2299148</c:v>
                </c:pt>
                <c:pt idx="33">
                  <c:v>1592.2813504000001</c:v>
                </c:pt>
                <c:pt idx="34">
                  <c:v>1534.5648431999998</c:v>
                </c:pt>
                <c:pt idx="35">
                  <c:v>1534.6039399999895</c:v>
                </c:pt>
                <c:pt idx="36">
                  <c:v>1472.9470448</c:v>
                </c:pt>
                <c:pt idx="37">
                  <c:v>1430.0449884</c:v>
                </c:pt>
                <c:pt idx="38">
                  <c:v>1411.4729025499998</c:v>
                </c:pt>
                <c:pt idx="39">
                  <c:v>1377.2812234999999</c:v>
                </c:pt>
                <c:pt idx="40">
                  <c:v>1353.63662535</c:v>
                </c:pt>
                <c:pt idx="41">
                  <c:v>1363.5603423999855</c:v>
                </c:pt>
                <c:pt idx="42">
                  <c:v>1319.9886720000011</c:v>
                </c:pt>
                <c:pt idx="43">
                  <c:v>1330.8492635999999</c:v>
                </c:pt>
                <c:pt idx="44">
                  <c:v>1295.2296202000002</c:v>
                </c:pt>
                <c:pt idx="45">
                  <c:v>1270.4092620000001</c:v>
                </c:pt>
                <c:pt idx="46">
                  <c:v>1267.0034126999876</c:v>
                </c:pt>
                <c:pt idx="47">
                  <c:v>1242.3816171500002</c:v>
                </c:pt>
                <c:pt idx="48">
                  <c:v>1233.5111746999999</c:v>
                </c:pt>
                <c:pt idx="49">
                  <c:v>1311.4483638000011</c:v>
                </c:pt>
                <c:pt idx="50">
                  <c:v>1274.1953087499999</c:v>
                </c:pt>
                <c:pt idx="51">
                  <c:v>1352.2167140000001</c:v>
                </c:pt>
                <c:pt idx="52">
                  <c:v>1437.7869510000107</c:v>
                </c:pt>
                <c:pt idx="53">
                  <c:v>1523.4157322999999</c:v>
                </c:pt>
                <c:pt idx="54">
                  <c:v>1541.8069823000001</c:v>
                </c:pt>
                <c:pt idx="55">
                  <c:v>1535.8066456500001</c:v>
                </c:pt>
                <c:pt idx="56">
                  <c:v>1647.4696732000011</c:v>
                </c:pt>
                <c:pt idx="57">
                  <c:v>1549.9277766000093</c:v>
                </c:pt>
                <c:pt idx="58">
                  <c:v>1556.3220191999999</c:v>
                </c:pt>
                <c:pt idx="59">
                  <c:v>1601.1722123999843</c:v>
                </c:pt>
                <c:pt idx="60">
                  <c:v>1636.7583605999998</c:v>
                </c:pt>
              </c:numCache>
            </c:numRef>
          </c:val>
        </c:ser>
        <c:marker val="1"/>
        <c:axId val="65755008"/>
        <c:axId val="66070400"/>
      </c:lineChart>
      <c:dateAx>
        <c:axId val="65755008"/>
        <c:scaling>
          <c:orientation val="minMax"/>
        </c:scaling>
        <c:axPos val="b"/>
        <c:numFmt formatCode="mmm/yy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66070400"/>
        <c:crosses val="autoZero"/>
        <c:auto val="1"/>
        <c:lblOffset val="100"/>
      </c:dateAx>
      <c:valAx>
        <c:axId val="66070400"/>
        <c:scaling>
          <c:orientation val="minMax"/>
          <c:min val="1200"/>
        </c:scaling>
        <c:axPos val="l"/>
        <c:majorGridlines>
          <c:spPr>
            <a:ln>
              <a:solidFill>
                <a:schemeClr val="tx2">
                  <a:lumMod val="20000"/>
                  <a:lumOff val="80000"/>
                </a:schemeClr>
              </a:solidFill>
              <a:prstDash val="sysDot"/>
            </a:ln>
          </c:spPr>
        </c:majorGridlines>
        <c:numFmt formatCode="#,##0.0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657550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507706093189992"/>
          <c:y val="0.9135428436911488"/>
          <c:w val="0.6812258064516199"/>
          <c:h val="8.6457156308851243E-2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Industrija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industrija-ukupno</c:v>
          </c:tx>
          <c:spPr>
            <a:ln w="38100">
              <a:solidFill>
                <a:srgbClr val="1933F3"/>
              </a:solidFill>
            </a:ln>
          </c:spPr>
          <c:marker>
            <c:symbol val="none"/>
          </c:marker>
          <c:cat>
            <c:strRef>
              <c:f>'Makroekonomski indikatori'!$AQ$36:$BC$36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indikatori'!$AQ$12:$BC$12</c:f>
              <c:numCache>
                <c:formatCode>General</c:formatCode>
                <c:ptCount val="13"/>
                <c:pt idx="0">
                  <c:v>-20.6</c:v>
                </c:pt>
                <c:pt idx="1">
                  <c:v>-27.9</c:v>
                </c:pt>
                <c:pt idx="2">
                  <c:v>-23.4</c:v>
                </c:pt>
                <c:pt idx="3">
                  <c:v>-26.4</c:v>
                </c:pt>
                <c:pt idx="4">
                  <c:v>-16.5</c:v>
                </c:pt>
                <c:pt idx="5">
                  <c:v>-12.7</c:v>
                </c:pt>
                <c:pt idx="6">
                  <c:v>7.5</c:v>
                </c:pt>
                <c:pt idx="7">
                  <c:v>8.2000000000000011</c:v>
                </c:pt>
                <c:pt idx="8">
                  <c:v>-19.8</c:v>
                </c:pt>
                <c:pt idx="9" formatCode="0.0">
                  <c:v>-7</c:v>
                </c:pt>
                <c:pt idx="10">
                  <c:v>-3.4</c:v>
                </c:pt>
                <c:pt idx="11">
                  <c:v>5.9</c:v>
                </c:pt>
                <c:pt idx="12">
                  <c:v>19.3</c:v>
                </c:pt>
              </c:numCache>
            </c:numRef>
          </c:val>
          <c:smooth val="1"/>
        </c:ser>
        <c:ser>
          <c:idx val="1"/>
          <c:order val="1"/>
          <c:tx>
            <c:v>električna energija</c:v>
          </c:tx>
          <c:spPr>
            <a:ln>
              <a:solidFill>
                <a:srgbClr val="E626B4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indikatori'!$AQ$36:$BC$36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indikatori'!$AQ$16:$BC$16</c:f>
              <c:numCache>
                <c:formatCode>General</c:formatCode>
                <c:ptCount val="13"/>
                <c:pt idx="0">
                  <c:v>-48.1</c:v>
                </c:pt>
                <c:pt idx="1">
                  <c:v>-44.9</c:v>
                </c:pt>
                <c:pt idx="2">
                  <c:v>-43.8</c:v>
                </c:pt>
                <c:pt idx="3">
                  <c:v>-56.5</c:v>
                </c:pt>
                <c:pt idx="4">
                  <c:v>-3.7</c:v>
                </c:pt>
                <c:pt idx="5">
                  <c:v>-3.7</c:v>
                </c:pt>
                <c:pt idx="6">
                  <c:v>51.9</c:v>
                </c:pt>
                <c:pt idx="7">
                  <c:v>16.3</c:v>
                </c:pt>
                <c:pt idx="8">
                  <c:v>-28.8</c:v>
                </c:pt>
                <c:pt idx="9">
                  <c:v>8.7000000000000011</c:v>
                </c:pt>
                <c:pt idx="10">
                  <c:v>5.8</c:v>
                </c:pt>
                <c:pt idx="11" formatCode="0.0">
                  <c:v>-2</c:v>
                </c:pt>
                <c:pt idx="12">
                  <c:v>31.7</c:v>
                </c:pt>
              </c:numCache>
            </c:numRef>
          </c:val>
          <c:smooth val="1"/>
        </c:ser>
        <c:marker val="1"/>
        <c:axId val="100217984"/>
        <c:axId val="100219520"/>
      </c:lineChart>
      <c:catAx>
        <c:axId val="100217984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219520"/>
        <c:crosses val="autoZero"/>
        <c:auto val="1"/>
        <c:lblAlgn val="ctr"/>
        <c:lblOffset val="100"/>
      </c:catAx>
      <c:valAx>
        <c:axId val="10021952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0217984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CPI</a:t>
            </a:r>
          </a:p>
        </c:rich>
      </c:tx>
      <c:layout>
        <c:manualLayout>
          <c:xMode val="edge"/>
          <c:yMode val="edge"/>
          <c:x val="0.4736146443233058"/>
          <c:y val="3.3588400568871621E-2"/>
        </c:manualLayout>
      </c:layout>
    </c:title>
    <c:plotArea>
      <c:layout>
        <c:manualLayout>
          <c:layoutTarget val="inner"/>
          <c:xMode val="edge"/>
          <c:yMode val="edge"/>
          <c:x val="0.1434534050179232"/>
          <c:y val="0.14341577060931901"/>
          <c:w val="0.8167168458781362"/>
          <c:h val="0.62397222222222271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>
              <a:solidFill>
                <a:srgbClr val="5E31DB"/>
              </a:solidFill>
            </a:ln>
          </c:spPr>
          <c:marker>
            <c:symbol val="none"/>
          </c:marker>
          <c:cat>
            <c:strRef>
              <c:f>'Makroekonomski indikatori'!$AQ$36:$BC$36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indikatori'!$AQ$24:$BC$24</c:f>
              <c:numCache>
                <c:formatCode>0.0</c:formatCode>
                <c:ptCount val="13"/>
                <c:pt idx="0">
                  <c:v>-0.9</c:v>
                </c:pt>
                <c:pt idx="1">
                  <c:v>-1.4</c:v>
                </c:pt>
                <c:pt idx="2">
                  <c:v>-1.3</c:v>
                </c:pt>
                <c:pt idx="3">
                  <c:v>-0.1</c:v>
                </c:pt>
                <c:pt idx="4">
                  <c:v>-1.2</c:v>
                </c:pt>
                <c:pt idx="5">
                  <c:v>-1.1000000000000001</c:v>
                </c:pt>
                <c:pt idx="6">
                  <c:v>-0.70000000000000062</c:v>
                </c:pt>
                <c:pt idx="7">
                  <c:v>-0.5</c:v>
                </c:pt>
                <c:pt idx="8">
                  <c:v>0</c:v>
                </c:pt>
                <c:pt idx="9">
                  <c:v>-0.30000000000000032</c:v>
                </c:pt>
                <c:pt idx="10">
                  <c:v>0.2</c:v>
                </c:pt>
                <c:pt idx="11">
                  <c:v>0.60000000000000064</c:v>
                </c:pt>
                <c:pt idx="12" formatCode="General">
                  <c:v>1.6</c:v>
                </c:pt>
              </c:numCache>
            </c:numRef>
          </c:val>
          <c:smooth val="1"/>
        </c:ser>
        <c:ser>
          <c:idx val="1"/>
          <c:order val="1"/>
          <c:tx>
            <c:v>hrana i bezalkoholna pića</c:v>
          </c:tx>
          <c:spPr>
            <a:ln>
              <a:solidFill>
                <a:srgbClr val="EB21E1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indikatori'!$AQ$36:$BC$36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indikatori'!$AQ$26:$BC$26</c:f>
              <c:numCache>
                <c:formatCode>0.0</c:formatCode>
                <c:ptCount val="13"/>
                <c:pt idx="0">
                  <c:v>-1.2</c:v>
                </c:pt>
                <c:pt idx="1">
                  <c:v>-3.4</c:v>
                </c:pt>
                <c:pt idx="2">
                  <c:v>-3.6</c:v>
                </c:pt>
                <c:pt idx="3">
                  <c:v>-1.6</c:v>
                </c:pt>
                <c:pt idx="4">
                  <c:v>-3.2</c:v>
                </c:pt>
                <c:pt idx="5">
                  <c:v>-2.2999999999999998</c:v>
                </c:pt>
                <c:pt idx="6">
                  <c:v>-1</c:v>
                </c:pt>
                <c:pt idx="7">
                  <c:v>-0.2</c:v>
                </c:pt>
                <c:pt idx="8">
                  <c:v>1</c:v>
                </c:pt>
                <c:pt idx="9">
                  <c:v>0.8</c:v>
                </c:pt>
                <c:pt idx="10">
                  <c:v>1.8</c:v>
                </c:pt>
                <c:pt idx="11">
                  <c:v>2.1</c:v>
                </c:pt>
                <c:pt idx="12" formatCode="General">
                  <c:v>3.3</c:v>
                </c:pt>
              </c:numCache>
            </c:numRef>
          </c:val>
        </c:ser>
        <c:marker val="1"/>
        <c:axId val="52144768"/>
        <c:axId val="52208000"/>
      </c:lineChart>
      <c:catAx>
        <c:axId val="52144768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2208000"/>
        <c:crosses val="autoZero"/>
        <c:auto val="1"/>
        <c:lblAlgn val="ctr"/>
        <c:lblOffset val="100"/>
      </c:catAx>
      <c:valAx>
        <c:axId val="52208000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2144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775669066986E-2"/>
          <c:y val="0.91506931677593151"/>
          <c:w val="0.9"/>
          <c:h val="8.4930683224068354E-2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6886714610877893"/>
          <c:y val="0.13976689389262087"/>
          <c:w val="0.68213834238090787"/>
          <c:h val="0.6723052303970386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indikatori'!$AP$10:$BB$10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indikatori'!$AP$22:$BB$22</c:f>
              <c:numCache>
                <c:formatCode>#,##0</c:formatCode>
                <c:ptCount val="13"/>
                <c:pt idx="0">
                  <c:v>170177</c:v>
                </c:pt>
                <c:pt idx="1">
                  <c:v>172202</c:v>
                </c:pt>
                <c:pt idx="2">
                  <c:v>174917</c:v>
                </c:pt>
                <c:pt idx="3">
                  <c:v>179774</c:v>
                </c:pt>
                <c:pt idx="4">
                  <c:v>181408</c:v>
                </c:pt>
                <c:pt idx="5">
                  <c:v>178558</c:v>
                </c:pt>
                <c:pt idx="6">
                  <c:v>173942</c:v>
                </c:pt>
                <c:pt idx="7">
                  <c:v>172306</c:v>
                </c:pt>
                <c:pt idx="8">
                  <c:v>172273</c:v>
                </c:pt>
                <c:pt idx="9">
                  <c:v>171158</c:v>
                </c:pt>
                <c:pt idx="10">
                  <c:v>169719</c:v>
                </c:pt>
                <c:pt idx="11">
                  <c:v>170486</c:v>
                </c:pt>
                <c:pt idx="12">
                  <c:v>171855</c:v>
                </c:pt>
              </c:numCache>
            </c:numRef>
          </c:val>
        </c:ser>
        <c:marker val="1"/>
        <c:axId val="52811648"/>
        <c:axId val="52813184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indikatori'!$AP$10:$BB$10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2015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indikatori'!$AP$23:$BB$23</c:f>
              <c:numCache>
                <c:formatCode>#,##0</c:formatCode>
                <c:ptCount val="13"/>
                <c:pt idx="0">
                  <c:v>34671</c:v>
                </c:pt>
                <c:pt idx="1">
                  <c:v>33906</c:v>
                </c:pt>
                <c:pt idx="2">
                  <c:v>32763</c:v>
                </c:pt>
                <c:pt idx="3">
                  <c:v>31548</c:v>
                </c:pt>
                <c:pt idx="4">
                  <c:v>31115</c:v>
                </c:pt>
                <c:pt idx="5">
                  <c:v>31163</c:v>
                </c:pt>
                <c:pt idx="6">
                  <c:v>31548</c:v>
                </c:pt>
                <c:pt idx="7">
                  <c:v>33744</c:v>
                </c:pt>
                <c:pt idx="8">
                  <c:v>34733</c:v>
                </c:pt>
                <c:pt idx="9">
                  <c:v>34687</c:v>
                </c:pt>
                <c:pt idx="10">
                  <c:v>35152</c:v>
                </c:pt>
                <c:pt idx="11">
                  <c:v>35172</c:v>
                </c:pt>
                <c:pt idx="12">
                  <c:v>34903</c:v>
                </c:pt>
              </c:numCache>
            </c:numRef>
          </c:val>
        </c:ser>
        <c:marker val="1"/>
        <c:axId val="53022080"/>
        <c:axId val="53020160"/>
      </c:lineChart>
      <c:catAx>
        <c:axId val="5281164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2813184"/>
        <c:crosses val="autoZero"/>
        <c:auto val="1"/>
        <c:lblAlgn val="ctr"/>
        <c:lblOffset val="100"/>
      </c:catAx>
      <c:valAx>
        <c:axId val="52813184"/>
        <c:scaling>
          <c:orientation val="minMax"/>
          <c:min val="164000"/>
        </c:scaling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2811648"/>
        <c:crosses val="autoZero"/>
        <c:crossBetween val="between"/>
        <c:dispUnits>
          <c:builtInUnit val="thousands"/>
        </c:dispUnits>
      </c:valAx>
      <c:valAx>
        <c:axId val="53020160"/>
        <c:scaling>
          <c:orientation val="maxMin"/>
          <c:max val="355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3022080"/>
        <c:crosses val="max"/>
        <c:crossBetween val="between"/>
        <c:dispUnits>
          <c:builtInUnit val="thousands"/>
        </c:dispUnits>
      </c:valAx>
      <c:catAx>
        <c:axId val="53022080"/>
        <c:scaling>
          <c:orientation val="minMax"/>
        </c:scaling>
        <c:delete val="1"/>
        <c:axPos val="t"/>
        <c:tickLblPos val="none"/>
        <c:crossAx val="53020160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61361186921524813"/>
          <c:h val="0.68233483635060521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indikatori'!$AD$3:$AP$3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indikatori'!$AD$17:$AP$17</c:f>
              <c:numCache>
                <c:formatCode>0.00,,</c:formatCode>
                <c:ptCount val="13"/>
                <c:pt idx="0">
                  <c:v>-17021409.079999968</c:v>
                </c:pt>
                <c:pt idx="1">
                  <c:v>-14958813.710000005</c:v>
                </c:pt>
                <c:pt idx="2">
                  <c:v>-5517055.7200000286</c:v>
                </c:pt>
                <c:pt idx="3">
                  <c:v>-5364283.7200000435</c:v>
                </c:pt>
                <c:pt idx="4">
                  <c:v>2502365.0199999809</c:v>
                </c:pt>
                <c:pt idx="5">
                  <c:v>10463853.719999975</c:v>
                </c:pt>
                <c:pt idx="6">
                  <c:v>-4187715.1499999911</c:v>
                </c:pt>
                <c:pt idx="7">
                  <c:v>-1436809.9499999583</c:v>
                </c:pt>
                <c:pt idx="8">
                  <c:v>-12887782.269999981</c:v>
                </c:pt>
                <c:pt idx="9">
                  <c:v>-18669590.289999932</c:v>
                </c:pt>
                <c:pt idx="10">
                  <c:v>-21958810.370000035</c:v>
                </c:pt>
                <c:pt idx="11">
                  <c:v>-21306460.860000044</c:v>
                </c:pt>
                <c:pt idx="12">
                  <c:v>-8387628.0700000534</c:v>
                </c:pt>
              </c:numCache>
            </c:numRef>
          </c:val>
        </c:ser>
        <c:axId val="53061504"/>
        <c:axId val="53059968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indikatori'!$AD$3:$AP$3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indikatori'!$AD$4:$AP$4</c:f>
              <c:numCache>
                <c:formatCode>0.00,,</c:formatCode>
                <c:ptCount val="13"/>
                <c:pt idx="0">
                  <c:v>100708163.93000002</c:v>
                </c:pt>
                <c:pt idx="1">
                  <c:v>109084385.14999999</c:v>
                </c:pt>
                <c:pt idx="2">
                  <c:v>102078548.78</c:v>
                </c:pt>
                <c:pt idx="3">
                  <c:v>109931818.73999999</c:v>
                </c:pt>
                <c:pt idx="4">
                  <c:v>120720236.03</c:v>
                </c:pt>
                <c:pt idx="5">
                  <c:v>126556297.33</c:v>
                </c:pt>
                <c:pt idx="6">
                  <c:v>117901924.08</c:v>
                </c:pt>
                <c:pt idx="7">
                  <c:v>158210534.23999998</c:v>
                </c:pt>
                <c:pt idx="8">
                  <c:v>98496460.13000001</c:v>
                </c:pt>
                <c:pt idx="9">
                  <c:v>155249038.93000001</c:v>
                </c:pt>
                <c:pt idx="10">
                  <c:v>71181389.560000002</c:v>
                </c:pt>
                <c:pt idx="11">
                  <c:v>86772014.340000033</c:v>
                </c:pt>
                <c:pt idx="12">
                  <c:v>100279648.52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indikatori'!$AD$3:$AP$3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indikatori'!$AD$10:$AP$10</c:f>
              <c:numCache>
                <c:formatCode>0.00,,</c:formatCode>
                <c:ptCount val="13"/>
                <c:pt idx="0">
                  <c:v>117729573.00999999</c:v>
                </c:pt>
                <c:pt idx="1">
                  <c:v>124043198.86</c:v>
                </c:pt>
                <c:pt idx="2">
                  <c:v>107595604.50000003</c:v>
                </c:pt>
                <c:pt idx="3">
                  <c:v>115296102.46000005</c:v>
                </c:pt>
                <c:pt idx="4">
                  <c:v>118217871.01000002</c:v>
                </c:pt>
                <c:pt idx="5">
                  <c:v>116092443.61000001</c:v>
                </c:pt>
                <c:pt idx="6">
                  <c:v>122089639.22999999</c:v>
                </c:pt>
                <c:pt idx="7">
                  <c:v>159647344.19</c:v>
                </c:pt>
                <c:pt idx="8">
                  <c:v>111384242.39999999</c:v>
                </c:pt>
                <c:pt idx="9">
                  <c:v>173918629.21999988</c:v>
                </c:pt>
                <c:pt idx="10">
                  <c:v>93119537.460000023</c:v>
                </c:pt>
                <c:pt idx="11">
                  <c:v>108057426.51000005</c:v>
                </c:pt>
                <c:pt idx="12">
                  <c:v>108671593.11000001</c:v>
                </c:pt>
              </c:numCache>
            </c:numRef>
          </c:val>
          <c:smooth val="1"/>
        </c:ser>
        <c:marker val="1"/>
        <c:axId val="53052544"/>
        <c:axId val="53054080"/>
      </c:lineChart>
      <c:catAx>
        <c:axId val="530525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53054080"/>
        <c:crosses val="autoZero"/>
        <c:auto val="1"/>
        <c:lblAlgn val="ctr"/>
        <c:lblOffset val="100"/>
        <c:tickLblSkip val="3"/>
      </c:catAx>
      <c:valAx>
        <c:axId val="53054080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3052544"/>
        <c:crosses val="autoZero"/>
        <c:crossBetween val="between"/>
        <c:majorUnit val="30000000"/>
      </c:valAx>
      <c:valAx>
        <c:axId val="53059968"/>
        <c:scaling>
          <c:orientation val="minMax"/>
          <c:max val="60000000"/>
          <c:min val="-30000000"/>
        </c:scaling>
        <c:axPos val="r"/>
        <c:numFmt formatCode="0.00,," sourceLinked="1"/>
        <c:tickLblPos val="high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3061504"/>
        <c:crosses val="max"/>
        <c:crossBetween val="between"/>
        <c:majorUnit val="20000000"/>
      </c:valAx>
      <c:catAx>
        <c:axId val="53061504"/>
        <c:scaling>
          <c:orientation val="minMax"/>
        </c:scaling>
        <c:delete val="1"/>
        <c:axPos val="b"/>
        <c:numFmt formatCode="General" sourceLinked="1"/>
        <c:tickLblPos val="none"/>
        <c:crossAx val="53059968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841E-2"/>
          <c:y val="0.83278473993567703"/>
          <c:w val="0.97443747833408945"/>
          <c:h val="0.16721526006432724"/>
        </c:manualLayout>
      </c:layout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1000"/>
            </a:pPr>
            <a:r>
              <a:rPr lang="x-none" sz="1000"/>
              <a:t>Finansijski rezultat banaka na agregatnom nivou</a:t>
            </a:r>
            <a:endParaRPr lang="en-US" sz="1000"/>
          </a:p>
        </c:rich>
      </c:tx>
    </c:title>
    <c:plotArea>
      <c:layout>
        <c:manualLayout>
          <c:layoutTarget val="inner"/>
          <c:xMode val="edge"/>
          <c:yMode val="edge"/>
          <c:x val="0.19150537634408588"/>
          <c:y val="0.29298429319371955"/>
          <c:w val="0.74935483870968034"/>
          <c:h val="0.51550425306784298"/>
        </c:manualLayout>
      </c:layout>
      <c:barChart>
        <c:barDir val="col"/>
        <c:grouping val="clustered"/>
        <c:ser>
          <c:idx val="0"/>
          <c:order val="0"/>
          <c:tx>
            <c:v>profit banaka</c:v>
          </c:tx>
          <c:spPr>
            <a:solidFill>
              <a:schemeClr val="accent6"/>
            </a:solidFill>
          </c:spPr>
          <c:cat>
            <c:strRef>
              <c:f>'Agregatni BU banaka'!$BC$4:$BO$4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'Agregatni BU banaka'!$BC$26:$BO$26</c:f>
              <c:numCache>
                <c:formatCode>#,##0</c:formatCode>
                <c:ptCount val="13"/>
                <c:pt idx="0">
                  <c:v>9665</c:v>
                </c:pt>
                <c:pt idx="1">
                  <c:v>11856</c:v>
                </c:pt>
                <c:pt idx="2">
                  <c:v>13372</c:v>
                </c:pt>
                <c:pt idx="3">
                  <c:v>14508</c:v>
                </c:pt>
                <c:pt idx="4">
                  <c:v>17019</c:v>
                </c:pt>
                <c:pt idx="5">
                  <c:v>20712</c:v>
                </c:pt>
                <c:pt idx="6">
                  <c:v>20850</c:v>
                </c:pt>
                <c:pt idx="7">
                  <c:v>22583</c:v>
                </c:pt>
                <c:pt idx="8">
                  <c:v>23138</c:v>
                </c:pt>
                <c:pt idx="9">
                  <c:v>23786</c:v>
                </c:pt>
                <c:pt idx="10">
                  <c:v>856</c:v>
                </c:pt>
                <c:pt idx="11">
                  <c:v>2227</c:v>
                </c:pt>
                <c:pt idx="12">
                  <c:v>2304</c:v>
                </c:pt>
              </c:numCache>
            </c:numRef>
          </c:val>
        </c:ser>
        <c:gapWidth val="59"/>
        <c:axId val="53045120"/>
        <c:axId val="53046656"/>
      </c:barChart>
      <c:catAx>
        <c:axId val="530451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53046656"/>
        <c:crosses val="autoZero"/>
        <c:auto val="1"/>
        <c:lblAlgn val="ctr"/>
        <c:lblOffset val="100"/>
      </c:catAx>
      <c:valAx>
        <c:axId val="53046656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en-US" sz="600"/>
            </a:pPr>
            <a:endParaRPr lang="sr-Latn-CS"/>
          </a:p>
        </c:txPr>
        <c:crossAx val="53045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127889255778703"/>
          <c:y val="0.9115719173846758"/>
          <c:w val="0.33744221488443205"/>
          <c:h val="8.144727982300641E-2"/>
        </c:manualLayout>
      </c:layout>
      <c:txPr>
        <a:bodyPr/>
        <a:lstStyle/>
        <a:p>
          <a:pPr>
            <a:defRPr lang="en-US"/>
          </a:pPr>
          <a:endParaRPr lang="sr-Latn-C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/>
      </a:pPr>
      <a:endParaRPr lang="sr-Latn-C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en-US" sz="1000"/>
            </a:pPr>
            <a:r>
              <a:rPr lang="sr-Latn-CS" sz="1000"/>
              <a:t>Spoljnotrgovinska razmjena</a:t>
            </a:r>
            <a:r>
              <a:rPr lang="en-US" sz="1000"/>
              <a:t>                 Crne Gore</a:t>
            </a:r>
            <a:r>
              <a:rPr lang="sr-Latn-CS" sz="1000"/>
              <a:t> (mil.€)</a:t>
            </a:r>
            <a:endParaRPr lang="en-US" sz="10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indikatori'!$BC$113</c:f>
              <c:strCache>
                <c:ptCount val="1"/>
                <c:pt idx="0">
                  <c:v>Izvoz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strRef>
              <c:f>'Makroekonomski indikatori'!$BD$112:$BE$112</c:f>
              <c:strCache>
                <c:ptCount val="2"/>
                <c:pt idx="0">
                  <c:v>Q1 2014</c:v>
                </c:pt>
                <c:pt idx="1">
                  <c:v>Q1 2015</c:v>
                </c:pt>
              </c:strCache>
            </c:strRef>
          </c:cat>
          <c:val>
            <c:numRef>
              <c:f>'Makroekonomski indikatori'!$BD$113:$BE$113</c:f>
              <c:numCache>
                <c:formatCode>#,##0.00</c:formatCode>
                <c:ptCount val="2"/>
                <c:pt idx="0">
                  <c:v>69.433999999999997</c:v>
                </c:pt>
                <c:pt idx="1">
                  <c:v>74.462000000000003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indikatori'!$BC$114</c:f>
              <c:strCache>
                <c:ptCount val="1"/>
                <c:pt idx="0">
                  <c:v>Uvoz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strRef>
              <c:f>'Makroekonomski indikatori'!$BD$112:$BE$112</c:f>
              <c:strCache>
                <c:ptCount val="2"/>
                <c:pt idx="0">
                  <c:v>Q1 2014</c:v>
                </c:pt>
                <c:pt idx="1">
                  <c:v>Q1 2015</c:v>
                </c:pt>
              </c:strCache>
            </c:strRef>
          </c:cat>
          <c:val>
            <c:numRef>
              <c:f>'Makroekonomski indikatori'!$BD$114:$BE$114</c:f>
              <c:numCache>
                <c:formatCode>#,##0.00</c:formatCode>
                <c:ptCount val="2"/>
                <c:pt idx="0">
                  <c:v>341.60199999999969</c:v>
                </c:pt>
                <c:pt idx="1">
                  <c:v>356.75700000000001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indikatori'!$BC$116</c:f>
              <c:strCache>
                <c:ptCount val="1"/>
                <c:pt idx="0">
                  <c:v>Trgovinski bilans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sr-Latn-CS"/>
              </a:p>
            </c:txPr>
            <c:showVal val="1"/>
          </c:dLbls>
          <c:cat>
            <c:strRef>
              <c:f>'Makroekonomski indikatori'!$BD$112:$BE$112</c:f>
              <c:strCache>
                <c:ptCount val="2"/>
                <c:pt idx="0">
                  <c:v>Q1 2014</c:v>
                </c:pt>
                <c:pt idx="1">
                  <c:v>Q1 2015</c:v>
                </c:pt>
              </c:strCache>
            </c:strRef>
          </c:cat>
          <c:val>
            <c:numRef>
              <c:f>'Makroekonomski indikatori'!$BD$116:$BE$116</c:f>
              <c:numCache>
                <c:formatCode>#,##0.00</c:formatCode>
                <c:ptCount val="2"/>
                <c:pt idx="0">
                  <c:v>-272.16800000000001</c:v>
                </c:pt>
                <c:pt idx="1">
                  <c:v>-282.29499999999899</c:v>
                </c:pt>
              </c:numCache>
            </c:numRef>
          </c:val>
        </c:ser>
        <c:dLbls>
          <c:showVal val="1"/>
        </c:dLbls>
        <c:gapWidth val="75"/>
        <c:axId val="53179520"/>
        <c:axId val="53181056"/>
      </c:barChart>
      <c:catAx>
        <c:axId val="531795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800" b="1"/>
            </a:pPr>
            <a:endParaRPr lang="sr-Latn-CS"/>
          </a:p>
        </c:txPr>
        <c:crossAx val="53181056"/>
        <c:crosses val="autoZero"/>
        <c:lblAlgn val="ctr"/>
        <c:lblOffset val="100"/>
      </c:catAx>
      <c:valAx>
        <c:axId val="53181056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x-none" sz="600"/>
            </a:pPr>
            <a:endParaRPr lang="sr-Latn-CS"/>
          </a:p>
        </c:txPr>
        <c:crossAx val="53179520"/>
        <c:crosses val="autoZero"/>
        <c:crossBetween val="between"/>
      </c:valAx>
    </c:plotArea>
    <c:legend>
      <c:legendPos val="b"/>
      <c:txPr>
        <a:bodyPr/>
        <a:lstStyle/>
        <a:p>
          <a:pPr>
            <a:defRPr lang="x-none" sz="800"/>
          </a:pPr>
          <a:endParaRPr lang="sr-Latn-C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0.50667</cdr:x>
      <cdr:y>0.21</cdr:y>
    </cdr:from>
    <cdr:to>
      <cdr:x>0.70667</cdr:x>
      <cdr:y>0.30975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149498" y="416653"/>
          <a:ext cx="453749" cy="1979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0.20291</cdr:x>
      <cdr:y>0.65214</cdr:y>
    </cdr:from>
    <cdr:to>
      <cdr:x>0.65571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60359" y="1293895"/>
          <a:ext cx="1027289" cy="2615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07A58-2C34-41CF-96C5-B8FDA044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2</cp:revision>
  <cp:lastPrinted>2015-01-22T09:17:00Z</cp:lastPrinted>
  <dcterms:created xsi:type="dcterms:W3CDTF">2015-05-08T12:12:00Z</dcterms:created>
  <dcterms:modified xsi:type="dcterms:W3CDTF">2015-05-08T12:12:00Z</dcterms:modified>
</cp:coreProperties>
</file>