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333719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April</w:t>
      </w:r>
      <w:r w:rsidR="00C45B95">
        <w:rPr>
          <w:rFonts w:cs="Calibri"/>
          <w:b/>
          <w:bCs/>
          <w:noProof/>
          <w:sz w:val="32"/>
          <w:szCs w:val="32"/>
        </w:rPr>
        <w:t xml:space="preserve"> 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9F74C6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20440D" w:rsidRDefault="00A34CEB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A34CEB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.1pt;margin-top:5in;width:252.6pt;height:338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AF7929" w:rsidRDefault="00AF7929" w:rsidP="00E876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AF7929" w:rsidRDefault="00AF7929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AF7929" w:rsidRDefault="00AF7929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AF7929" w:rsidRDefault="00AF7929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AF7929" w:rsidRDefault="00AF7929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AF7929" w:rsidRPr="006C5919" w:rsidRDefault="00AF7929" w:rsidP="006C5919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6C5919">
                    <w:rPr>
                      <w:rFonts w:asciiTheme="minorHAnsi" w:hAnsiTheme="minorHAnsi" w:cstheme="minorHAnsi"/>
                      <w:b/>
                      <w:sz w:val="24"/>
                    </w:rPr>
                    <w:t>Rast aktivnosti realnog sektora nastavlja se i martu 2015</w:t>
                  </w:r>
                </w:p>
                <w:p w:rsidR="00AF7929" w:rsidRPr="006C5919" w:rsidRDefault="00AF7929" w:rsidP="006C5919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6C5919">
                    <w:rPr>
                      <w:rFonts w:asciiTheme="minorHAnsi" w:hAnsiTheme="minorHAnsi" w:cstheme="minorHAnsi"/>
                      <w:b/>
                      <w:sz w:val="24"/>
                    </w:rPr>
                    <w:t>Potrošačke cijene u martu bilježe rast, treći mjesec zaredom</w:t>
                  </w:r>
                </w:p>
                <w:p w:rsidR="00AF7929" w:rsidRPr="006C5919" w:rsidRDefault="00AF7929" w:rsidP="006C5919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6C5919">
                    <w:rPr>
                      <w:rFonts w:asciiTheme="minorHAnsi" w:hAnsiTheme="minorHAnsi" w:cstheme="minorHAnsi"/>
                      <w:b/>
                      <w:noProof/>
                      <w:sz w:val="24"/>
                    </w:rPr>
                    <w:t>Banke su</w:t>
                  </w:r>
                  <w:r>
                    <w:rPr>
                      <w:rFonts w:asciiTheme="minorHAnsi" w:hAnsiTheme="minorHAnsi" w:cstheme="minorHAnsi"/>
                      <w:b/>
                      <w:noProof/>
                      <w:sz w:val="24"/>
                    </w:rPr>
                    <w:t xml:space="preserve"> </w:t>
                  </w:r>
                  <w:r w:rsidRPr="006C5919">
                    <w:rPr>
                      <w:rFonts w:asciiTheme="minorHAnsi" w:hAnsiTheme="minorHAnsi" w:cstheme="minorHAnsi"/>
                      <w:b/>
                      <w:noProof/>
                      <w:sz w:val="24"/>
                    </w:rPr>
                    <w:t xml:space="preserve">u prvom kvartalu ostvarile pozitivan finansijski rezultat </w:t>
                  </w:r>
                </w:p>
                <w:p w:rsidR="00AF7929" w:rsidRPr="006C5919" w:rsidRDefault="00AF7929" w:rsidP="006C5919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6C5919">
                    <w:rPr>
                      <w:rFonts w:asciiTheme="minorHAnsi" w:hAnsiTheme="minorHAnsi" w:cstheme="minorHAnsi"/>
                      <w:b/>
                      <w:noProof/>
                      <w:sz w:val="24"/>
                    </w:rPr>
                    <w:t>U prvom kvartalu povećan i uvoz i izvoz roba</w:t>
                  </w:r>
                </w:p>
                <w:p w:rsidR="00AF7929" w:rsidRDefault="00AF7929"/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20440D" w:rsidRDefault="0085138D" w:rsidP="00694445">
      <w:pPr>
        <w:pStyle w:val="NoSpacing"/>
        <w:rPr>
          <w:bCs/>
          <w:noProof/>
          <w:sz w:val="28"/>
          <w:szCs w:val="20"/>
        </w:rPr>
      </w:pPr>
      <w:r w:rsidRPr="0020440D">
        <w:rPr>
          <w:bCs/>
          <w:noProof/>
          <w:sz w:val="28"/>
          <w:szCs w:val="20"/>
          <w:lang w:val="sr-Latn-CS" w:eastAsia="sr-Latn-C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6D2C44">
        <w:rPr>
          <w:bCs/>
          <w:noProof/>
          <w:color w:val="000000"/>
          <w:sz w:val="16"/>
          <w:szCs w:val="16"/>
        </w:rPr>
        <w:t xml:space="preserve">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  <w:r w:rsidR="00625243">
        <w:rPr>
          <w:bCs/>
          <w:noProof/>
          <w:color w:val="000000"/>
          <w:sz w:val="16"/>
          <w:szCs w:val="16"/>
        </w:rPr>
        <w:t>.</w:t>
      </w:r>
    </w:p>
    <w:tbl>
      <w:tblPr>
        <w:tblpPr w:leftFromText="141" w:rightFromText="141" w:horzAnchor="margin" w:tblpY="420"/>
        <w:tblW w:w="4985" w:type="pct"/>
        <w:tblBorders>
          <w:top w:val="threeDEmboss" w:sz="12" w:space="0" w:color="auto"/>
          <w:bottom w:val="threeDEmboss" w:sz="12" w:space="0" w:color="auto"/>
          <w:insideH w:val="threeDEmboss" w:sz="12" w:space="0" w:color="auto"/>
        </w:tblBorders>
        <w:tblLook w:val="04A0"/>
      </w:tblPr>
      <w:tblGrid>
        <w:gridCol w:w="6962"/>
        <w:gridCol w:w="3936"/>
      </w:tblGrid>
      <w:tr w:rsidR="00C45B95" w:rsidRPr="00D05BDB" w:rsidTr="005C7786">
        <w:trPr>
          <w:trHeight w:hRule="exact" w:val="3599"/>
        </w:trPr>
        <w:tc>
          <w:tcPr>
            <w:tcW w:w="3236" w:type="pct"/>
          </w:tcPr>
          <w:p w:rsidR="001B7C2A" w:rsidRPr="00D05BDB" w:rsidRDefault="001B7C2A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lastRenderedPageBreak/>
              <w:t>Međunarodno okruženje</w:t>
            </w:r>
          </w:p>
          <w:p w:rsidR="00FC1FCF" w:rsidRPr="00D05BDB" w:rsidRDefault="00FC1FCF" w:rsidP="00F8261B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05BDB">
              <w:rPr>
                <w:rFonts w:asciiTheme="minorHAnsi" w:hAnsiTheme="minorHAnsi" w:cstheme="minorHAnsi"/>
                <w:sz w:val="20"/>
              </w:rPr>
              <w:t>Cijena aluminijuma je pala na 1</w:t>
            </w:r>
            <w:r w:rsidR="00F656E0">
              <w:rPr>
                <w:rFonts w:asciiTheme="minorHAnsi" w:hAnsiTheme="minorHAnsi" w:cstheme="minorHAnsi"/>
                <w:sz w:val="20"/>
              </w:rPr>
              <w:t>.</w:t>
            </w:r>
            <w:r w:rsidRPr="00D05BDB">
              <w:rPr>
                <w:rFonts w:asciiTheme="minorHAnsi" w:hAnsiTheme="minorHAnsi" w:cstheme="minorHAnsi"/>
                <w:sz w:val="20"/>
              </w:rPr>
              <w:t>773</w:t>
            </w:r>
            <w:r w:rsidR="00F656E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05BDB">
              <w:rPr>
                <w:rFonts w:asciiTheme="minorHAnsi" w:hAnsiTheme="minorHAnsi" w:cstheme="minorHAnsi"/>
                <w:sz w:val="20"/>
              </w:rPr>
              <w:t>USD/T (osnovna cijena metala izuzimajući premiju za promptne isporuke), što je blizu minimuma za posljednje 4 godine. Najveći svjetski proizvođač aluminijuma (RUSAL)</w:t>
            </w:r>
            <w:r w:rsidR="00AF792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E4165">
              <w:rPr>
                <w:rFonts w:asciiTheme="minorHAnsi" w:hAnsiTheme="minorHAnsi" w:cstheme="minorHAnsi"/>
                <w:sz w:val="20"/>
              </w:rPr>
              <w:t>procjenjuje</w:t>
            </w:r>
            <w:r w:rsidR="00AF7929">
              <w:rPr>
                <w:rFonts w:asciiTheme="minorHAnsi" w:hAnsiTheme="minorHAnsi" w:cstheme="minorHAnsi"/>
                <w:sz w:val="20"/>
              </w:rPr>
              <w:t xml:space="preserve"> da berzanska cijena aluminijuma </w:t>
            </w:r>
            <w:r w:rsidR="00AF7929" w:rsidRPr="00D05BDB">
              <w:rPr>
                <w:rFonts w:asciiTheme="minorHAnsi" w:hAnsiTheme="minorHAnsi" w:cstheme="minorHAnsi"/>
                <w:sz w:val="20"/>
              </w:rPr>
              <w:t xml:space="preserve"> ne odražava fundamentalne odnose ponude i tražnje </w:t>
            </w:r>
            <w:r w:rsidR="00AF7929">
              <w:rPr>
                <w:rFonts w:asciiTheme="minorHAnsi" w:hAnsiTheme="minorHAnsi" w:cstheme="minorHAnsi"/>
                <w:sz w:val="20"/>
              </w:rPr>
              <w:t xml:space="preserve"> i da je u ovom trenutku ona niža od realne za </w:t>
            </w:r>
            <w:r w:rsidR="00AF7929" w:rsidRPr="00D05BDB">
              <w:rPr>
                <w:rFonts w:asciiTheme="minorHAnsi" w:hAnsiTheme="minorHAnsi" w:cstheme="minorHAnsi"/>
                <w:sz w:val="20"/>
              </w:rPr>
              <w:t>30%</w:t>
            </w:r>
            <w:r w:rsidR="00AF7929">
              <w:rPr>
                <w:rFonts w:asciiTheme="minorHAnsi" w:hAnsiTheme="minorHAnsi" w:cstheme="minorHAnsi"/>
                <w:sz w:val="20"/>
              </w:rPr>
              <w:t>.</w:t>
            </w:r>
            <w:r w:rsidRPr="00D05BD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F7929">
              <w:rPr>
                <w:rFonts w:asciiTheme="minorHAnsi" w:hAnsiTheme="minorHAnsi" w:cstheme="minorHAnsi"/>
                <w:sz w:val="20"/>
              </w:rPr>
              <w:t xml:space="preserve"> Razlog ovakvih kretanja vidi se u regulativi londonske berze metala </w:t>
            </w:r>
            <w:r w:rsidR="00CE4165">
              <w:rPr>
                <w:rFonts w:asciiTheme="minorHAnsi" w:hAnsiTheme="minorHAnsi" w:cstheme="minorHAnsi"/>
                <w:sz w:val="20"/>
              </w:rPr>
              <w:t xml:space="preserve">koja omogućava velikim investitorima </w:t>
            </w:r>
            <w:r w:rsidR="00AF792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E4165">
              <w:rPr>
                <w:rFonts w:asciiTheme="minorHAnsi" w:hAnsiTheme="minorHAnsi" w:cstheme="minorHAnsi"/>
                <w:sz w:val="20"/>
              </w:rPr>
              <w:t>da špekulišu cijenama</w:t>
            </w:r>
            <w:r w:rsidR="00AF7929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D05BDB">
              <w:rPr>
                <w:rFonts w:asciiTheme="minorHAnsi" w:hAnsiTheme="minorHAnsi" w:cstheme="minorHAnsi"/>
                <w:sz w:val="20"/>
              </w:rPr>
              <w:t>Međutim kretanja kursa eura prema dolaru idu na ruku  crnogorskom proizvođaču, KAP-u. Poređenje cijena u dolarima pokazuje pad cijen</w:t>
            </w:r>
            <w:r w:rsidR="005C7786" w:rsidRPr="00D05BDB">
              <w:rPr>
                <w:rFonts w:asciiTheme="minorHAnsi" w:hAnsiTheme="minorHAnsi" w:cstheme="minorHAnsi"/>
                <w:sz w:val="20"/>
              </w:rPr>
              <w:t>a od 2,4%  g-n-g</w:t>
            </w:r>
            <w:r w:rsidRPr="00D05BDB">
              <w:rPr>
                <w:rFonts w:asciiTheme="minorHAnsi" w:hAnsiTheme="minorHAnsi" w:cstheme="minorHAnsi"/>
                <w:sz w:val="20"/>
              </w:rPr>
              <w:t>, ali je zbog jakog pada eura u posljednjih godinu dana (21%) cijena u eurima porasla s</w:t>
            </w:r>
            <w:r w:rsidR="00F656E0">
              <w:rPr>
                <w:rFonts w:asciiTheme="minorHAnsi" w:hAnsiTheme="minorHAnsi" w:cstheme="minorHAnsi"/>
                <w:sz w:val="20"/>
              </w:rPr>
              <w:t>a</w:t>
            </w:r>
            <w:r w:rsidRPr="00D05BDB">
              <w:rPr>
                <w:rFonts w:asciiTheme="minorHAnsi" w:hAnsiTheme="minorHAnsi" w:cstheme="minorHAnsi"/>
                <w:sz w:val="20"/>
              </w:rPr>
              <w:t xml:space="preserve"> 1.233 €/T na 1637 €/T (20%), iako finansijski rezultat zavisi i od kretanja uvozne komponente proizvodnje. Cijena nafte ima blagi uzlazni trend pa je  krajem aprila dostigla 66 USD/ barel</w:t>
            </w:r>
            <w:r w:rsidR="00F656E0">
              <w:rPr>
                <w:rFonts w:asciiTheme="minorHAnsi" w:hAnsiTheme="minorHAnsi" w:cstheme="minorHAnsi"/>
                <w:sz w:val="20"/>
              </w:rPr>
              <w:t>,</w:t>
            </w:r>
            <w:r w:rsidRPr="00D05BDB">
              <w:rPr>
                <w:rFonts w:asciiTheme="minorHAnsi" w:hAnsiTheme="minorHAnsi" w:cstheme="minorHAnsi"/>
                <w:sz w:val="20"/>
              </w:rPr>
              <w:t xml:space="preserve"> što je najviši nivo od početka 2015. godine.</w:t>
            </w:r>
          </w:p>
          <w:p w:rsidR="002A5A8C" w:rsidRPr="00D05BDB" w:rsidRDefault="002A5A8C" w:rsidP="00A90070">
            <w:pPr>
              <w:rPr>
                <w:rFonts w:asciiTheme="minorHAnsi" w:hAnsiTheme="minorHAnsi" w:cstheme="minorHAnsi"/>
                <w:sz w:val="20"/>
              </w:rPr>
            </w:pPr>
          </w:p>
          <w:p w:rsidR="002A5A8C" w:rsidRPr="00D05BDB" w:rsidRDefault="002A5A8C" w:rsidP="00A90070">
            <w:pPr>
              <w:rPr>
                <w:rFonts w:asciiTheme="minorHAnsi" w:hAnsiTheme="minorHAnsi" w:cstheme="minorHAnsi"/>
                <w:sz w:val="20"/>
              </w:rPr>
            </w:pPr>
          </w:p>
          <w:p w:rsidR="00C45B95" w:rsidRPr="00D05BDB" w:rsidRDefault="00C45B95" w:rsidP="00A9007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4" w:type="pct"/>
            <w:vAlign w:val="center"/>
          </w:tcPr>
          <w:p w:rsidR="00C45B95" w:rsidRPr="00D05BDB" w:rsidRDefault="00FC1FCF" w:rsidP="00F07EA0">
            <w:pPr>
              <w:rPr>
                <w:rFonts w:asciiTheme="minorHAnsi" w:hAnsiTheme="minorHAnsi" w:cstheme="minorHAnsi"/>
              </w:rPr>
            </w:pPr>
            <w:r w:rsidRPr="00D05BDB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32000" cy="212400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45B95" w:rsidRPr="00D05BDB" w:rsidTr="00F8261B">
        <w:trPr>
          <w:trHeight w:hRule="exact" w:val="3819"/>
        </w:trPr>
        <w:tc>
          <w:tcPr>
            <w:tcW w:w="3236" w:type="pct"/>
          </w:tcPr>
          <w:p w:rsidR="00000106" w:rsidRPr="00D05BDB" w:rsidRDefault="003D49BD" w:rsidP="00E00F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Realni sek</w:t>
            </w:r>
            <w:r w:rsidR="00000106" w:rsidRPr="00D05BDB">
              <w:rPr>
                <w:rFonts w:asciiTheme="minorHAnsi" w:hAnsiTheme="minorHAnsi" w:cstheme="minorHAnsi"/>
                <w:b/>
                <w:sz w:val="20"/>
              </w:rPr>
              <w:t>tor</w:t>
            </w:r>
          </w:p>
          <w:p w:rsidR="00B1225C" w:rsidRPr="00D05BDB" w:rsidRDefault="00B1225C" w:rsidP="00F8261B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 xml:space="preserve">Rast aktivnosti realnog sektora nastavlja se i martu 2015. </w:t>
            </w:r>
            <w:r w:rsidRPr="00D05BDB">
              <w:rPr>
                <w:rFonts w:asciiTheme="minorHAnsi" w:hAnsiTheme="minorHAnsi" w:cstheme="minorHAnsi"/>
                <w:sz w:val="20"/>
              </w:rPr>
              <w:t>Industrijska proizvodnja u martu 2</w:t>
            </w:r>
            <w:r w:rsidR="00991AE1">
              <w:rPr>
                <w:rFonts w:asciiTheme="minorHAnsi" w:hAnsiTheme="minorHAnsi" w:cstheme="minorHAnsi"/>
                <w:sz w:val="20"/>
              </w:rPr>
              <w:t>015. bilježi godišnji rast od</w:t>
            </w:r>
            <w:r w:rsidRPr="00D05BDB">
              <w:rPr>
                <w:rFonts w:asciiTheme="minorHAnsi" w:hAnsiTheme="minorHAnsi" w:cstheme="minorHAnsi"/>
                <w:sz w:val="20"/>
              </w:rPr>
              <w:t xml:space="preserve"> 19,3%, mjesečni rast od 5,3%, dok je za prva tri mjeseca rast iznosio 7,0% g-n-g. Godišnji rast u martu dominantno je opredijeljen rastom u sektoru „snabdijevanje el.energijom,</w:t>
            </w:r>
            <w:r w:rsidR="00991AE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05BDB">
              <w:rPr>
                <w:rFonts w:asciiTheme="minorHAnsi" w:hAnsiTheme="minorHAnsi" w:cstheme="minorHAnsi"/>
                <w:sz w:val="20"/>
              </w:rPr>
              <w:t>gasom i parom“ (31,7%).</w:t>
            </w:r>
            <w:r w:rsidR="004B0B47" w:rsidRPr="00D05BD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05BDB">
              <w:rPr>
                <w:rFonts w:asciiTheme="minorHAnsi" w:hAnsiTheme="minorHAnsi" w:cstheme="minorHAnsi"/>
                <w:sz w:val="20"/>
              </w:rPr>
              <w:t>Rast je ostvaren i u sektorima „vađenje rude i kamena“ (38,9%) prvenstveno usljed rasta u oblasti ostalo rudarstvo (29,4%) i sektoru „prerađivačka industrija“ (9,2%), usljed rasta proizvodnje duvanskih proizvoda</w:t>
            </w:r>
            <w:r w:rsidR="00991AE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05BDB">
              <w:rPr>
                <w:rFonts w:asciiTheme="minorHAnsi" w:hAnsiTheme="minorHAnsi" w:cstheme="minorHAnsi"/>
                <w:sz w:val="20"/>
              </w:rPr>
              <w:t>(69,2%), farmaceutskih proizvoda (11,5%) i osnovnih metala (2,3%). Trend rasta turističkog prometa nastavlja se i u martu 2015. Crnu Goru je za tri mjeseca posjetilo 54,7 hilj.turista i ostvareno 206,3 hilj.noćenja, što je rast od 19,3 i 16,6% g-n-g, respektivno. Na rast prometa u prvom kvartalu uticao je rast dolazaka i noćenja i stranih (16,7 i 14,9%) i domaćih turista (28,1 i 22,2%). Promet u trgovini na malo u martu 2015, u tekućim cijenama, veći je za 2,0% g-n-g, dok je za period januar-mart rast iznosio 2,5%.</w:t>
            </w:r>
          </w:p>
          <w:p w:rsidR="00C45B95" w:rsidRPr="00D05BDB" w:rsidRDefault="00C45B95" w:rsidP="00561716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4" w:type="pct"/>
            <w:vAlign w:val="center"/>
          </w:tcPr>
          <w:p w:rsidR="00000106" w:rsidRPr="00D05BDB" w:rsidRDefault="00B1225C" w:rsidP="0096373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05BDB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32000" cy="2232000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RPr="00D05BDB" w:rsidTr="00F8261B">
        <w:trPr>
          <w:trHeight w:hRule="exact" w:val="3548"/>
        </w:trPr>
        <w:tc>
          <w:tcPr>
            <w:tcW w:w="3236" w:type="pct"/>
          </w:tcPr>
          <w:p w:rsidR="00561716" w:rsidRPr="00D05BDB" w:rsidRDefault="00000106" w:rsidP="00363A53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Inflacija</w:t>
            </w:r>
          </w:p>
          <w:p w:rsidR="00133348" w:rsidRPr="00D05BDB" w:rsidRDefault="007457A9" w:rsidP="00F8261B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 xml:space="preserve">Potrošačke cijene </w:t>
            </w:r>
            <w:r w:rsidR="00552F77" w:rsidRPr="00D05BDB">
              <w:rPr>
                <w:rFonts w:asciiTheme="minorHAnsi" w:hAnsiTheme="minorHAnsi" w:cstheme="minorHAnsi"/>
                <w:b/>
                <w:sz w:val="20"/>
              </w:rPr>
              <w:t xml:space="preserve">i </w:t>
            </w:r>
            <w:r w:rsidRPr="00D05BDB">
              <w:rPr>
                <w:rFonts w:asciiTheme="minorHAnsi" w:hAnsiTheme="minorHAnsi" w:cstheme="minorHAnsi"/>
                <w:b/>
                <w:sz w:val="20"/>
              </w:rPr>
              <w:t>u martu bilježe rast, treći mjesec zaredom.</w:t>
            </w:r>
            <w:r w:rsidR="00133348" w:rsidRPr="00D05BD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133348" w:rsidRPr="00D05BDB">
              <w:rPr>
                <w:rFonts w:asciiTheme="minorHAnsi" w:hAnsiTheme="minorHAnsi" w:cstheme="minorHAnsi"/>
                <w:sz w:val="20"/>
              </w:rPr>
              <w:t>Godišnja stopa inflacije u martu (CPI) iznosila je 1,6%, mjesečna 1,1%, dok je u periodu januar-mart zabilježen rast od 0,8% g-n-g. Najveći uticaj na inflaciju imale su cijene iz oblasti „hrana i bezalkoholna pića“ koje su na mjesečnom nivou zabilježile rast od 1,3%, na godišnjem nivou 3,3%, dok su za period januar-mart porasle za 0,8% g-n-g. Značajniji rast ostvarile su cijene iz oblasti „odjeća i obuća“ (3,2% mjesečni, 5,8% godišnji i 3,8% za period januar-mart), dok cijene iz oblasti „ prevoz“ i dalje bilježe pad (5,2% na godišnjem nivou i 7,3% za period januar-mart). Inflacija mjerena HICP-om u martu bilježi mjesečni rast od 1,0,%, godišnji rast od 0,9% i rast od 1,1% za period januar-mart g-n-g. Cijene proizvođača industrijskih proizvoda u martu bilježe rast od 0,5% g-n-g, i rast od 0,6% u periodu januar-</w:t>
            </w:r>
            <w:r w:rsidR="000F1010">
              <w:rPr>
                <w:rFonts w:asciiTheme="minorHAnsi" w:hAnsiTheme="minorHAnsi" w:cstheme="minorHAnsi"/>
                <w:sz w:val="20"/>
              </w:rPr>
              <w:t>mart</w:t>
            </w:r>
            <w:r w:rsidR="00133348" w:rsidRPr="00D05BDB">
              <w:rPr>
                <w:rFonts w:asciiTheme="minorHAnsi" w:hAnsiTheme="minorHAnsi" w:cstheme="minorHAnsi"/>
                <w:sz w:val="20"/>
              </w:rPr>
              <w:t xml:space="preserve"> g-n-g. Cijene industrijskih proizvoda iz uvoza u martu bilježe godišnji pad od 1,7% g-n-g, dok su cijene industrijskih proizvoda za izvoz u martu bile veće za 16,4% g-n-g</w:t>
            </w:r>
            <w:r w:rsidR="001F181F" w:rsidRPr="00D05BDB">
              <w:rPr>
                <w:rFonts w:asciiTheme="minorHAnsi" w:hAnsiTheme="minorHAnsi" w:cstheme="minorHAnsi"/>
                <w:sz w:val="20"/>
              </w:rPr>
              <w:t>.</w:t>
            </w:r>
          </w:p>
          <w:p w:rsidR="00133348" w:rsidRPr="00D05BDB" w:rsidRDefault="00133348" w:rsidP="00133348">
            <w:pPr>
              <w:rPr>
                <w:rFonts w:asciiTheme="minorHAnsi" w:hAnsiTheme="minorHAnsi" w:cstheme="minorHAnsi"/>
                <w:sz w:val="20"/>
              </w:rPr>
            </w:pPr>
          </w:p>
          <w:p w:rsidR="00C45B95" w:rsidRPr="00D05BDB" w:rsidRDefault="00C45B95" w:rsidP="00C55D2F">
            <w:pPr>
              <w:pBdr>
                <w:top w:val="single" w:sz="4" w:space="1" w:color="auto"/>
              </w:pBdr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4" w:type="pct"/>
            <w:vAlign w:val="center"/>
          </w:tcPr>
          <w:p w:rsidR="00C45B95" w:rsidRPr="00D05BDB" w:rsidRDefault="007457A9" w:rsidP="00963732">
            <w:pPr>
              <w:rPr>
                <w:rFonts w:asciiTheme="minorHAnsi" w:hAnsiTheme="minorHAnsi" w:cstheme="minorHAnsi"/>
              </w:rPr>
            </w:pPr>
            <w:r w:rsidRPr="00D05BDB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28850" cy="2162175"/>
                  <wp:effectExtent l="0" t="0" r="0" b="0"/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RPr="00D05BDB" w:rsidTr="00F8261B">
        <w:trPr>
          <w:trHeight w:hRule="exact" w:val="3684"/>
        </w:trPr>
        <w:tc>
          <w:tcPr>
            <w:tcW w:w="3236" w:type="pct"/>
          </w:tcPr>
          <w:p w:rsidR="00000106" w:rsidRPr="00D05BDB" w:rsidRDefault="00000106" w:rsidP="00F8261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Zaposlenost i zarade</w:t>
            </w:r>
          </w:p>
          <w:p w:rsidR="00F55DC8" w:rsidRPr="00D05BDB" w:rsidRDefault="00F55DC8" w:rsidP="00F8261B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16"/>
                <w:lang w:val="sr-Latn-CS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  <w:szCs w:val="16"/>
                <w:lang w:val="sr-Latn-CS"/>
              </w:rPr>
              <w:t>Kretanja na tržištu rada u martu 2015. ukazuju na povećanje zaposlenosti, ali i smanjenje nezaposlenosti.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 Broj zaposlenih u martu 2015. je </w:t>
            </w:r>
            <w:r w:rsidR="00C43EA1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iznosio 171.855, a povećan je 0,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8% </w:t>
            </w:r>
            <w:r w:rsidR="00F8261B"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m-n-m i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 1,1% kvartalno. Broj nezaposlenih je iznosio 34.903, a u odnosu na prethodni mjesec ove godine smanjen je 0,8%, dok </w:t>
            </w:r>
            <w:r w:rsidR="00C43EA1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je za period januar-mart 2015. 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povećan 1,0%</w:t>
            </w:r>
            <w:r w:rsidR="00991AE1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 </w:t>
            </w:r>
            <w:r w:rsidR="00991AE1"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g-n-</w:t>
            </w:r>
            <w:r w:rsidR="00991AE1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g</w:t>
            </w:r>
            <w:r w:rsidR="00C43EA1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. U martu 2015,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 u odnosu na prethodni mjesec, je smanjen broj lica </w:t>
            </w:r>
            <w:r w:rsidR="00F8261B"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koja prvi put traže zaposlenje 0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,5%, </w:t>
            </w:r>
            <w:r w:rsidR="00F8261B"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ili</w:t>
            </w:r>
            <w:r w:rsidR="00E901F6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 povećan 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 6,3%</w:t>
            </w:r>
            <w:r w:rsidR="00F8261B"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 g-n-g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. Broj oglašenih slobodnih radnih mjesta u prvom kvartalu 2015. je iznosio 11.024 (dva puta veći nego u prvom kvartalu 2014.), a broj izdatih radnih dozvola je iznosio 8.382 ili 51,8% više </w:t>
            </w:r>
            <w:r w:rsidR="00991AE1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g-n-g. 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Prosječna zarada je u martu 2015. iznosila 721€ i manja je u od</w:t>
            </w:r>
            <w:r w:rsidR="0003620F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nosu na prethodni mjesec za 1,5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%, dok je veća za 0,3%</w:t>
            </w:r>
            <w:r w:rsidR="00C43EA1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 </w:t>
            </w:r>
            <w:r w:rsidR="00F8261B"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g-n-g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. Neto zarada je u martu 2015. iznosila 476€, a smanjena je </w:t>
            </w:r>
            <w:r w:rsidR="0003620F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u odnosu na februar 2015. za 1,4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%, dok je za čitav period povećana 0,6%. U martu 2015. u odnosu na februar 2015. neto zarade su realno smanjene 2,5%, dok su smanjene 0,5%</w:t>
            </w:r>
            <w:r w:rsidR="00F8261B"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 xml:space="preserve"> g-n-g</w:t>
            </w:r>
            <w:r w:rsidRPr="00D05BDB">
              <w:rPr>
                <w:rFonts w:asciiTheme="minorHAnsi" w:hAnsiTheme="minorHAnsi" w:cstheme="minorHAnsi"/>
                <w:sz w:val="20"/>
                <w:szCs w:val="16"/>
                <w:lang w:val="sr-Latn-CS"/>
              </w:rPr>
              <w:t>.</w:t>
            </w:r>
          </w:p>
          <w:p w:rsidR="007F5F68" w:rsidRPr="00D05BDB" w:rsidRDefault="007F5F68" w:rsidP="00F8261B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4" w:type="pct"/>
            <w:vAlign w:val="center"/>
          </w:tcPr>
          <w:p w:rsidR="00C45B95" w:rsidRPr="00D05BDB" w:rsidRDefault="00A34CEB" w:rsidP="00A9007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val="sr-Latn-CS" w:eastAsia="sr-Latn-C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7.8pt;margin-top:8.6pt;width:73.85pt;height:13.65pt;z-index:251659264;mso-position-horizontal-relative:text;mso-position-vertical-relative:text;v-text-anchor:middle" strokecolor="white [3212]">
                  <v:textbox inset="1mm,.3mm,1mm,.3mm">
                    <w:txbxContent>
                      <w:p w:rsidR="00AF7929" w:rsidRPr="00544E2A" w:rsidRDefault="00AF7929">
                        <w:pPr>
                          <w:rPr>
                            <w:b/>
                            <w:sz w:val="20"/>
                          </w:rPr>
                        </w:pPr>
                        <w:r w:rsidRPr="00544E2A">
                          <w:rPr>
                            <w:b/>
                            <w:sz w:val="20"/>
                          </w:rPr>
                          <w:t>Tržište rada</w:t>
                        </w:r>
                      </w:p>
                    </w:txbxContent>
                  </v:textbox>
                </v:shape>
              </w:pict>
            </w:r>
            <w:r w:rsidR="00175115" w:rsidRPr="00D05BDB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68748" cy="1984075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C45B95" w:rsidRPr="00D05BDB" w:rsidTr="00544E2A">
        <w:trPr>
          <w:trHeight w:hRule="exact" w:val="3321"/>
        </w:trPr>
        <w:tc>
          <w:tcPr>
            <w:tcW w:w="3236" w:type="pct"/>
          </w:tcPr>
          <w:p w:rsidR="00FF2790" w:rsidRPr="00D05BDB" w:rsidRDefault="00FF2790" w:rsidP="00000106">
            <w:pPr>
              <w:pStyle w:val="ListParagraph"/>
              <w:numPr>
                <w:ilvl w:val="0"/>
                <w:numId w:val="36"/>
              </w:numPr>
              <w:spacing w:after="0"/>
              <w:ind w:left="0" w:hanging="11"/>
              <w:jc w:val="both"/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lastRenderedPageBreak/>
              <w:t>Javne finansije</w:t>
            </w:r>
          </w:p>
          <w:p w:rsidR="007D7888" w:rsidRPr="00D05BDB" w:rsidRDefault="007D7888" w:rsidP="00544E2A">
            <w:pPr>
              <w:pStyle w:val="ListParagraph"/>
              <w:pBdr>
                <w:top w:val="single" w:sz="4" w:space="1" w:color="auto"/>
              </w:pBdr>
              <w:spacing w:after="0" w:line="240" w:lineRule="auto"/>
              <w:ind w:left="0" w:hanging="11"/>
              <w:jc w:val="both"/>
              <w:rPr>
                <w:rFonts w:asciiTheme="minorHAnsi" w:hAnsiTheme="minorHAnsi" w:cstheme="minorHAnsi"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bCs/>
                <w:sz w:val="20"/>
                <w:lang w:val="sr-Latn-CS"/>
              </w:rPr>
              <w:t xml:space="preserve">Izvorni prihodi budžeta Crne Gore u martu 2015. godine </w:t>
            </w:r>
            <w:r w:rsidR="00991AE1">
              <w:rPr>
                <w:rFonts w:asciiTheme="minorHAnsi" w:hAnsiTheme="minorHAnsi" w:cstheme="minorHAnsi"/>
                <w:b/>
                <w:bCs/>
                <w:sz w:val="20"/>
                <w:lang w:val="sr-Latn-CS"/>
              </w:rPr>
              <w:t>iznosili su 100,3 mil.</w:t>
            </w:r>
            <w:r w:rsidRPr="00D05BDB">
              <w:rPr>
                <w:rFonts w:asciiTheme="minorHAnsi" w:hAnsiTheme="minorHAnsi" w:cstheme="minorHAnsi"/>
                <w:b/>
                <w:bCs/>
                <w:sz w:val="20"/>
                <w:lang w:val="sr-Latn-CS"/>
              </w:rPr>
              <w:t>€ i  niži su za 0,4 % u odnosu na mart 2014. godine</w:t>
            </w:r>
            <w:r w:rsidRPr="00D05BDB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4647F3" w:rsidRPr="00D05BDB">
              <w:rPr>
                <w:rFonts w:asciiTheme="minorHAnsi" w:hAnsiTheme="minorHAnsi" w:cstheme="minorHAnsi"/>
                <w:sz w:val="20"/>
              </w:rPr>
              <w:t>Kao rezultat borbe protiv sive eko</w:t>
            </w:r>
            <w:r w:rsidR="00991AE1">
              <w:rPr>
                <w:rFonts w:asciiTheme="minorHAnsi" w:hAnsiTheme="minorHAnsi" w:cstheme="minorHAnsi"/>
                <w:sz w:val="20"/>
              </w:rPr>
              <w:t>nomije posebno na tržištu rada i</w:t>
            </w:r>
            <w:r w:rsidR="004647F3" w:rsidRPr="00D05BDB">
              <w:rPr>
                <w:rFonts w:asciiTheme="minorHAnsi" w:hAnsiTheme="minorHAnsi" w:cstheme="minorHAnsi"/>
                <w:sz w:val="20"/>
              </w:rPr>
              <w:t xml:space="preserve"> akciznih proizvoda, a samim tim i porasta poreske discipline, imamo b</w:t>
            </w:r>
            <w:r w:rsidRPr="00D05BDB">
              <w:rPr>
                <w:rFonts w:asciiTheme="minorHAnsi" w:hAnsiTheme="minorHAnsi" w:cstheme="minorHAnsi"/>
                <w:sz w:val="20"/>
              </w:rPr>
              <w:t>olju naplatu</w:t>
            </w:r>
            <w:r w:rsidR="004647F3" w:rsidRPr="00D05BDB">
              <w:rPr>
                <w:rFonts w:asciiTheme="minorHAnsi" w:hAnsiTheme="minorHAnsi" w:cstheme="minorHAnsi"/>
                <w:sz w:val="20"/>
              </w:rPr>
              <w:t>:</w:t>
            </w:r>
            <w:r w:rsidR="00991AE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647F3" w:rsidRPr="00D05BDB">
              <w:rPr>
                <w:rFonts w:asciiTheme="minorHAnsi" w:hAnsiTheme="minorHAnsi" w:cstheme="minorHAnsi"/>
                <w:sz w:val="20"/>
              </w:rPr>
              <w:t>carina</w:t>
            </w:r>
            <w:r w:rsidRPr="00D05BDB">
              <w:rPr>
                <w:rFonts w:asciiTheme="minorHAnsi" w:hAnsiTheme="minorHAnsi" w:cstheme="minorHAnsi"/>
                <w:sz w:val="20"/>
              </w:rPr>
              <w:t xml:space="preserve"> 26,6%, p</w:t>
            </w:r>
            <w:r w:rsidR="004647F3" w:rsidRPr="00D05BDB">
              <w:rPr>
                <w:rFonts w:asciiTheme="minorHAnsi" w:hAnsiTheme="minorHAnsi" w:cstheme="minorHAnsi"/>
                <w:sz w:val="20"/>
              </w:rPr>
              <w:t>ri</w:t>
            </w:r>
            <w:r w:rsidR="005F7FD7">
              <w:rPr>
                <w:rFonts w:asciiTheme="minorHAnsi" w:hAnsiTheme="minorHAnsi" w:cstheme="minorHAnsi"/>
                <w:sz w:val="20"/>
              </w:rPr>
              <w:t xml:space="preserve">hoda po osnovu akciza 14,1%, i </w:t>
            </w:r>
            <w:r w:rsidR="004647F3" w:rsidRPr="00D05BDB">
              <w:rPr>
                <w:rFonts w:asciiTheme="minorHAnsi" w:hAnsiTheme="minorHAnsi" w:cstheme="minorHAnsi"/>
                <w:sz w:val="20"/>
              </w:rPr>
              <w:t>poreza i doprinosa</w:t>
            </w:r>
            <w:r w:rsidRPr="00D05BDB">
              <w:rPr>
                <w:rFonts w:asciiTheme="minorHAnsi" w:hAnsiTheme="minorHAnsi" w:cstheme="minorHAnsi"/>
                <w:sz w:val="20"/>
              </w:rPr>
              <w:t xml:space="preserve"> na zarade </w:t>
            </w:r>
            <w:r w:rsidR="004647F3" w:rsidRPr="00D05BDB">
              <w:rPr>
                <w:rFonts w:asciiTheme="minorHAnsi" w:hAnsiTheme="minorHAnsi" w:cstheme="minorHAnsi"/>
                <w:sz w:val="20"/>
              </w:rPr>
              <w:t xml:space="preserve"> od </w:t>
            </w:r>
            <w:r w:rsidRPr="00D05BDB">
              <w:rPr>
                <w:rFonts w:asciiTheme="minorHAnsi" w:hAnsiTheme="minorHAnsi" w:cstheme="minorHAnsi"/>
                <w:sz w:val="20"/>
              </w:rPr>
              <w:t>11,0%</w:t>
            </w:r>
            <w:r w:rsidR="004647F3" w:rsidRPr="00D05BDB">
              <w:rPr>
                <w:rFonts w:asciiTheme="minorHAnsi" w:hAnsiTheme="minorHAnsi" w:cstheme="minorHAnsi"/>
                <w:sz w:val="20"/>
              </w:rPr>
              <w:t xml:space="preserve"> u odnosu na isti mjesec prošle godine</w:t>
            </w:r>
            <w:r w:rsidRPr="00D05BDB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D05BDB">
              <w:rPr>
                <w:rFonts w:asciiTheme="minorHAnsi" w:hAnsiTheme="minorHAnsi" w:cstheme="minorHAnsi"/>
                <w:b/>
                <w:sz w:val="20"/>
              </w:rPr>
              <w:t>Izdaci budžeta</w:t>
            </w:r>
            <w:r w:rsidR="005F7FD7">
              <w:rPr>
                <w:rFonts w:asciiTheme="minorHAnsi" w:hAnsiTheme="minorHAnsi" w:cstheme="minorHAnsi"/>
                <w:sz w:val="20"/>
              </w:rPr>
              <w:t xml:space="preserve"> u martu 2015 </w:t>
            </w:r>
            <w:r w:rsidRPr="00D05BDB">
              <w:rPr>
                <w:rFonts w:asciiTheme="minorHAnsi" w:hAnsiTheme="minorHAnsi" w:cstheme="minorHAnsi"/>
                <w:sz w:val="20"/>
              </w:rPr>
              <w:t xml:space="preserve">iznosili su 108,7 mil.€ i niži su u odnosu na plan za 16,7% što je rezultat preduzetih mjera štednje. </w:t>
            </w:r>
            <w:r w:rsidRPr="00D05BDB">
              <w:rPr>
                <w:rFonts w:asciiTheme="minorHAnsi" w:hAnsiTheme="minorHAnsi" w:cstheme="minorHAnsi"/>
                <w:b/>
                <w:sz w:val="20"/>
              </w:rPr>
              <w:t>Deficit budžeta</w:t>
            </w:r>
            <w:r w:rsidRPr="00D05BDB">
              <w:rPr>
                <w:rFonts w:asciiTheme="minorHAnsi" w:hAnsiTheme="minorHAnsi" w:cstheme="minorHAnsi"/>
                <w:sz w:val="20"/>
              </w:rPr>
              <w:t xml:space="preserve"> u martu 2015. iznosio je 8,4 mil</w:t>
            </w:r>
            <w:r w:rsidR="00991AE1">
              <w:rPr>
                <w:rFonts w:asciiTheme="minorHAnsi" w:hAnsiTheme="minorHAnsi" w:cstheme="minorHAnsi"/>
                <w:sz w:val="20"/>
              </w:rPr>
              <w:t>.</w:t>
            </w:r>
            <w:r w:rsidRPr="00D05BDB">
              <w:rPr>
                <w:rFonts w:asciiTheme="minorHAnsi" w:hAnsiTheme="minorHAnsi" w:cstheme="minorHAnsi"/>
                <w:sz w:val="20"/>
              </w:rPr>
              <w:t>€.</w:t>
            </w:r>
            <w:r w:rsidR="009E386A" w:rsidRPr="00D05BDB">
              <w:rPr>
                <w:rFonts w:asciiTheme="minorHAnsi" w:hAnsiTheme="minorHAnsi" w:cstheme="minorHAnsi"/>
                <w:b/>
                <w:sz w:val="20"/>
              </w:rPr>
              <w:t xml:space="preserve"> Državni dug</w:t>
            </w:r>
            <w:r w:rsidR="009E386A" w:rsidRPr="00D05BDB">
              <w:rPr>
                <w:rFonts w:asciiTheme="minorHAnsi" w:hAnsiTheme="minorHAnsi" w:cstheme="minorHAnsi"/>
                <w:sz w:val="20"/>
              </w:rPr>
              <w:t xml:space="preserve"> na kraju marta 2015. </w:t>
            </w:r>
            <w:r w:rsidR="005F7FD7">
              <w:rPr>
                <w:rFonts w:asciiTheme="minorHAnsi" w:hAnsiTheme="minorHAnsi" w:cstheme="minorHAnsi"/>
                <w:sz w:val="20"/>
              </w:rPr>
              <w:t>g</w:t>
            </w:r>
            <w:r w:rsidR="009E386A" w:rsidRPr="00D05BDB">
              <w:rPr>
                <w:rFonts w:asciiTheme="minorHAnsi" w:hAnsiTheme="minorHAnsi" w:cstheme="minorHAnsi"/>
                <w:sz w:val="20"/>
              </w:rPr>
              <w:t>odine</w:t>
            </w:r>
            <w:r w:rsidR="005F7FD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E386A" w:rsidRPr="00D05BDB">
              <w:rPr>
                <w:rFonts w:asciiTheme="minorHAnsi" w:hAnsiTheme="minorHAnsi" w:cstheme="minorHAnsi"/>
                <w:sz w:val="20"/>
              </w:rPr>
              <w:t>(uključujući depozite) iznosio je 1.938,0 mil.€, što predstavlja 54,6% procijenjenog BDP-a, od</w:t>
            </w:r>
            <w:r w:rsidR="005F7FD7">
              <w:rPr>
                <w:rFonts w:asciiTheme="minorHAnsi" w:hAnsiTheme="minorHAnsi" w:cstheme="minorHAnsi"/>
                <w:sz w:val="20"/>
              </w:rPr>
              <w:t xml:space="preserve"> čega se na spoljni dug odnosi </w:t>
            </w:r>
            <w:r w:rsidR="009E386A" w:rsidRPr="00D05BDB">
              <w:rPr>
                <w:rFonts w:asciiTheme="minorHAnsi" w:hAnsiTheme="minorHAnsi" w:cstheme="minorHAnsi"/>
                <w:sz w:val="20"/>
              </w:rPr>
              <w:t>2.047,7mil</w:t>
            </w:r>
            <w:r w:rsidR="00991AE1">
              <w:rPr>
                <w:rFonts w:asciiTheme="minorHAnsi" w:hAnsiTheme="minorHAnsi" w:cstheme="minorHAnsi"/>
                <w:sz w:val="20"/>
              </w:rPr>
              <w:t>.</w:t>
            </w:r>
            <w:r w:rsidR="009E386A" w:rsidRPr="00D05BDB">
              <w:rPr>
                <w:rFonts w:asciiTheme="minorHAnsi" w:hAnsiTheme="minorHAnsi" w:cstheme="minorHAnsi"/>
                <w:sz w:val="20"/>
              </w:rPr>
              <w:t>€, unutrašnji 395,9mil</w:t>
            </w:r>
            <w:r w:rsidR="00991AE1">
              <w:rPr>
                <w:rFonts w:asciiTheme="minorHAnsi" w:hAnsiTheme="minorHAnsi" w:cstheme="minorHAnsi"/>
                <w:sz w:val="20"/>
              </w:rPr>
              <w:t>.</w:t>
            </w:r>
            <w:r w:rsidR="009E386A" w:rsidRPr="00D05BDB">
              <w:rPr>
                <w:rFonts w:asciiTheme="minorHAnsi" w:hAnsiTheme="minorHAnsi" w:cstheme="minorHAnsi"/>
                <w:sz w:val="20"/>
              </w:rPr>
              <w:t>€ i depozite 505,6mil</w:t>
            </w:r>
            <w:r w:rsidR="00991AE1">
              <w:rPr>
                <w:rFonts w:asciiTheme="minorHAnsi" w:hAnsiTheme="minorHAnsi" w:cstheme="minorHAnsi"/>
                <w:sz w:val="20"/>
              </w:rPr>
              <w:t>.</w:t>
            </w:r>
            <w:r w:rsidR="009E386A" w:rsidRPr="00D05BDB">
              <w:rPr>
                <w:rFonts w:asciiTheme="minorHAnsi" w:hAnsiTheme="minorHAnsi" w:cstheme="minorHAnsi"/>
                <w:sz w:val="20"/>
              </w:rPr>
              <w:t xml:space="preserve">€ </w:t>
            </w:r>
            <w:r w:rsidR="005F7FD7">
              <w:rPr>
                <w:rFonts w:asciiTheme="minorHAnsi" w:hAnsiTheme="minorHAnsi" w:cstheme="minorHAnsi"/>
                <w:sz w:val="20"/>
              </w:rPr>
              <w:t>(u skladu sa Zakonom o budžetu i</w:t>
            </w:r>
            <w:r w:rsidR="009E386A" w:rsidRPr="00D05BDB">
              <w:rPr>
                <w:rFonts w:asciiTheme="minorHAnsi" w:hAnsiTheme="minorHAnsi" w:cstheme="minorHAnsi"/>
                <w:sz w:val="20"/>
              </w:rPr>
              <w:t xml:space="preserve"> fiskalnoj odgovornosti).</w:t>
            </w:r>
          </w:p>
          <w:p w:rsidR="00C45B95" w:rsidRPr="00D05BDB" w:rsidRDefault="00C45B95" w:rsidP="00561716">
            <w:pPr>
              <w:pStyle w:val="ListParagraph"/>
              <w:pBdr>
                <w:top w:val="single" w:sz="4" w:space="1" w:color="auto"/>
              </w:pBdr>
              <w:spacing w:after="0" w:line="240" w:lineRule="auto"/>
              <w:ind w:left="0" w:hanging="11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4" w:type="pct"/>
            <w:vAlign w:val="center"/>
          </w:tcPr>
          <w:p w:rsidR="00C45B95" w:rsidRPr="00D05BDB" w:rsidRDefault="00462BC8" w:rsidP="001E53D5">
            <w:pPr>
              <w:rPr>
                <w:rFonts w:asciiTheme="minorHAnsi" w:hAnsiTheme="minorHAnsi" w:cstheme="minorHAnsi"/>
              </w:rPr>
            </w:pPr>
            <w:r w:rsidRPr="00D05BDB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170253" cy="1851950"/>
                  <wp:effectExtent l="0" t="0" r="0" b="0"/>
                  <wp:docPr id="4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C45B95" w:rsidRPr="00D05BDB" w:rsidTr="00C13F76">
        <w:trPr>
          <w:trHeight w:hRule="exact" w:val="4540"/>
        </w:trPr>
        <w:tc>
          <w:tcPr>
            <w:tcW w:w="3236" w:type="pct"/>
          </w:tcPr>
          <w:p w:rsidR="006E7A12" w:rsidRPr="00D05BDB" w:rsidRDefault="006E7A12" w:rsidP="006E7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noProof/>
                <w:sz w:val="20"/>
              </w:rPr>
              <w:t>Monetarni sektor</w:t>
            </w:r>
          </w:p>
          <w:p w:rsidR="00C45B95" w:rsidRPr="00D05BDB" w:rsidRDefault="00807AE7" w:rsidP="00991AE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noProof/>
                <w:sz w:val="20"/>
              </w:rPr>
              <w:t>Rastući trend ukupnih depozita, povoljna likvidnost banaka i smanjena kreditna aktivnost su osnovne karakteristike monetarnih kretanja.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 xml:space="preserve"> Banke su ostvarile pozitivan finansijski rezultat na agregatnom nivou od 2,3 mil.€, a uskoro će početi sa radom i turska “Ziraat” banka, kojoj je CBCG, u martu, izdala dozvolu za rad. Ukupni </w:t>
            </w:r>
            <w:r w:rsidRPr="00D05BDB">
              <w:rPr>
                <w:rFonts w:asciiTheme="minorHAnsi" w:hAnsiTheme="minorHAnsi" w:cstheme="minorHAnsi"/>
                <w:b/>
                <w:noProof/>
                <w:sz w:val="20"/>
              </w:rPr>
              <w:t>depoziti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 xml:space="preserve"> su povećani za 8,4% na mjesečnom i 10,0% na godišnjem nivou. Ukupno odobreni </w:t>
            </w:r>
            <w:r w:rsidRPr="00D05BDB">
              <w:rPr>
                <w:rFonts w:asciiTheme="minorHAnsi" w:hAnsiTheme="minorHAnsi" w:cstheme="minorHAnsi"/>
                <w:b/>
                <w:noProof/>
                <w:sz w:val="20"/>
              </w:rPr>
              <w:t>krediti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 xml:space="preserve"> i ostala potraživanja su krajem marta smanjeni za 1,5% u odnosu na prethodni mjesec i 2,7% na godišnjem nivou.</w:t>
            </w:r>
            <w:r w:rsidR="00991AE1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>Uprkos padu ukupnih kredita, bankarski sektor je tokom prva tri mjeseca odobrio 190,3 mil.€ novih plasmana, što je za 6,8% više u odnosu na isti period prethodne godine. Centralna banka Crne Gore i Evropska centralna banka su završile projekat “Program tehničke saradnje sa CBCG na putu ka članstvu u Evropski sistem centralnih banaka (ESCB)”.</w:t>
            </w:r>
            <w:r w:rsidR="00991AE1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>Program, koji je pokrenut u s</w:t>
            </w:r>
            <w:r w:rsidR="00991AE1">
              <w:rPr>
                <w:rFonts w:asciiTheme="minorHAnsi" w:hAnsiTheme="minorHAnsi" w:cstheme="minorHAnsi"/>
                <w:noProof/>
                <w:sz w:val="20"/>
              </w:rPr>
              <w:t>eptembru 2014,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 xml:space="preserve"> je okupio deset banaka Eurosistema, a finansiran je od strane EU sa oko 300.000 € iz sredstava IPA. Poslovni ambijent značajno otežava visok stepen </w:t>
            </w:r>
            <w:r w:rsidRPr="00D05BDB">
              <w:rPr>
                <w:rFonts w:asciiTheme="minorHAnsi" w:hAnsiTheme="minorHAnsi" w:cstheme="minorHAnsi"/>
                <w:b/>
                <w:noProof/>
                <w:sz w:val="20"/>
              </w:rPr>
              <w:t xml:space="preserve">nelikvidnosti privrede, 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>tako da su</w:t>
            </w:r>
            <w:r w:rsidRPr="00D05BDB">
              <w:rPr>
                <w:rFonts w:asciiTheme="minorHAnsi" w:hAnsiTheme="minorHAnsi" w:cstheme="minorHAnsi"/>
                <w:b/>
                <w:noProof/>
                <w:sz w:val="20"/>
              </w:rPr>
              <w:t xml:space="preserve"> 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 xml:space="preserve">u martu bila u blokadi 14.381 izvršna dužnika, što na mjesečnom nivou predstavlja povećanje od 0,08%. Pri tome, ukupan iznos duga, po osnovu koga je izvršeno blokiranje računa, je iznosio 501,2 mil.€ i smanjen je za 2,26% </w:t>
            </w:r>
            <w:r w:rsidR="00991AE1">
              <w:rPr>
                <w:rFonts w:asciiTheme="minorHAnsi" w:hAnsiTheme="minorHAnsi" w:cstheme="minorHAnsi"/>
                <w:noProof/>
                <w:sz w:val="20"/>
              </w:rPr>
              <w:t>m-n-m.</w:t>
            </w:r>
          </w:p>
        </w:tc>
        <w:tc>
          <w:tcPr>
            <w:tcW w:w="1764" w:type="pct"/>
            <w:vAlign w:val="center"/>
          </w:tcPr>
          <w:p w:rsidR="00C45B95" w:rsidRPr="00D05BDB" w:rsidRDefault="00306B1D" w:rsidP="001E53D5">
            <w:pPr>
              <w:rPr>
                <w:rFonts w:asciiTheme="minorHAnsi" w:hAnsiTheme="minorHAnsi" w:cstheme="minorHAnsi"/>
              </w:rPr>
            </w:pPr>
            <w:r w:rsidRPr="00D05BDB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362200" cy="1819275"/>
                  <wp:effectExtent l="0" t="0" r="0" b="0"/>
                  <wp:docPr id="5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C45B95" w:rsidRPr="00D05BDB" w:rsidTr="007249F7">
        <w:trPr>
          <w:trHeight w:hRule="exact" w:val="7143"/>
        </w:trPr>
        <w:tc>
          <w:tcPr>
            <w:tcW w:w="3236" w:type="pct"/>
          </w:tcPr>
          <w:p w:rsidR="006E7A12" w:rsidRPr="00D05BDB" w:rsidRDefault="006E7A12" w:rsidP="00930D1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color w:val="000000"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noProof/>
                <w:color w:val="000000"/>
                <w:sz w:val="20"/>
              </w:rPr>
              <w:t>Spoljnotrgovinska razmjena</w:t>
            </w:r>
          </w:p>
          <w:p w:rsidR="00E740C2" w:rsidRPr="00D05BDB" w:rsidRDefault="00991AE1" w:rsidP="007249F7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lang w:val="sr-Latn-CS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Spoljnotrgovinsku</w:t>
            </w:r>
            <w:r w:rsidR="00930D10" w:rsidRPr="00D05BDB">
              <w:rPr>
                <w:rFonts w:asciiTheme="minorHAnsi" w:hAnsiTheme="minorHAnsi" w:cstheme="minorHAnsi"/>
                <w:b/>
                <w:sz w:val="20"/>
              </w:rPr>
              <w:t xml:space="preserve"> razmjen</w:t>
            </w:r>
            <w:r>
              <w:rPr>
                <w:rFonts w:asciiTheme="minorHAnsi" w:hAnsiTheme="minorHAnsi" w:cstheme="minorHAnsi"/>
                <w:b/>
                <w:sz w:val="20"/>
              </w:rPr>
              <w:t>u</w:t>
            </w:r>
            <w:r w:rsidR="00930D10" w:rsidRPr="00D05BDB">
              <w:rPr>
                <w:rFonts w:asciiTheme="minorHAnsi" w:hAnsiTheme="minorHAnsi" w:cstheme="minorHAnsi"/>
                <w:b/>
                <w:sz w:val="20"/>
              </w:rPr>
              <w:t xml:space="preserve"> Crne Gore u prvom kvartalu 2015. karakteriše povećanja izvoza i uvoza, usljed povećanja izvozne proizvodnje metalske  industrije i  uvoza robe široke potrošnje i opreme.</w:t>
            </w:r>
            <w:r w:rsidR="007249F7" w:rsidRPr="00D05BD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930D10" w:rsidRPr="00D05BDB">
              <w:rPr>
                <w:rFonts w:asciiTheme="minorHAnsi" w:hAnsiTheme="minorHAnsi" w:cstheme="minorHAnsi"/>
                <w:sz w:val="20"/>
                <w:lang w:val="sr-Latn-CS"/>
              </w:rPr>
              <w:t>Obim spoljnotrgov</w:t>
            </w:r>
            <w:r w:rsidR="005F7FD7">
              <w:rPr>
                <w:rFonts w:asciiTheme="minorHAnsi" w:hAnsiTheme="minorHAnsi" w:cstheme="minorHAnsi"/>
                <w:sz w:val="20"/>
                <w:lang w:val="sr-Latn-CS"/>
              </w:rPr>
              <w:t>inske razmjene u periodu januar-</w:t>
            </w:r>
            <w:r w:rsidR="00930D10" w:rsidRPr="00D05BDB">
              <w:rPr>
                <w:rFonts w:asciiTheme="minorHAnsi" w:hAnsiTheme="minorHAnsi" w:cstheme="minorHAnsi"/>
                <w:sz w:val="20"/>
                <w:lang w:val="sr-Latn-CS"/>
              </w:rPr>
              <w:t>mart  2015. povećan je za 4,9% i iznosi</w:t>
            </w:r>
            <w:r w:rsidR="00930D10" w:rsidRPr="00D05BDB">
              <w:rPr>
                <w:rFonts w:asciiTheme="minorHAnsi" w:hAnsiTheme="minorHAnsi" w:cstheme="minorHAnsi"/>
                <w:b/>
                <w:sz w:val="20"/>
                <w:lang w:val="sr-Latn-CS"/>
              </w:rPr>
              <w:t xml:space="preserve"> </w:t>
            </w:r>
            <w:r w:rsidR="00930D10" w:rsidRPr="00D05BDB">
              <w:rPr>
                <w:rFonts w:asciiTheme="minorHAnsi" w:hAnsiTheme="minorHAnsi" w:cstheme="minorHAnsi"/>
                <w:sz w:val="20"/>
                <w:lang w:val="sr-Latn-CS"/>
              </w:rPr>
              <w:t xml:space="preserve"> 431,2 mil.€. g-n-g. Spoljnotrgovinski deficit je iznosio 282,3 mil.€, </w:t>
            </w:r>
            <w:r w:rsidR="00930D10" w:rsidRPr="00D05BDB">
              <w:rPr>
                <w:rFonts w:asciiTheme="minorHAnsi" w:hAnsiTheme="minorHAnsi" w:cstheme="minorHAnsi"/>
                <w:sz w:val="20"/>
              </w:rPr>
              <w:t>3,7% više</w:t>
            </w:r>
            <w:r w:rsidR="005F7FD7">
              <w:rPr>
                <w:rFonts w:asciiTheme="minorHAnsi" w:hAnsiTheme="minorHAnsi" w:cstheme="minorHAnsi"/>
                <w:sz w:val="20"/>
              </w:rPr>
              <w:t xml:space="preserve">, kao posljedica </w:t>
            </w:r>
            <w:r w:rsidR="007249F7" w:rsidRPr="00D05BDB">
              <w:rPr>
                <w:rFonts w:asciiTheme="minorHAnsi" w:hAnsiTheme="minorHAnsi" w:cstheme="minorHAnsi"/>
                <w:sz w:val="20"/>
              </w:rPr>
              <w:t>veće</w:t>
            </w:r>
            <w:r w:rsidR="00930D10" w:rsidRPr="00D05BD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249F7" w:rsidRPr="00D05BDB">
              <w:rPr>
                <w:rFonts w:asciiTheme="minorHAnsi" w:hAnsiTheme="minorHAnsi" w:cstheme="minorHAnsi"/>
                <w:sz w:val="20"/>
              </w:rPr>
              <w:t>vrijednosti</w:t>
            </w:r>
            <w:r w:rsidR="00930D10" w:rsidRPr="00D05BDB">
              <w:rPr>
                <w:rFonts w:asciiTheme="minorHAnsi" w:hAnsiTheme="minorHAnsi" w:cstheme="minorHAnsi"/>
                <w:sz w:val="20"/>
              </w:rPr>
              <w:t xml:space="preserve"> uvoza roba, iako je izvoz zabilježio veći procentualni rast. </w:t>
            </w:r>
            <w:r w:rsidR="00930D10" w:rsidRPr="00D05BDB">
              <w:rPr>
                <w:rFonts w:asciiTheme="minorHAnsi" w:hAnsiTheme="minorHAnsi" w:cstheme="minorHAnsi"/>
                <w:sz w:val="20"/>
                <w:lang w:val="sr-Latn-CS"/>
              </w:rPr>
              <w:t xml:space="preserve">Stepen pokrivenosti uvoza izvozom je ostao na nivou iz prethodne godine i iznosi 20,9%.  Ukupan izvoz roba vrijedio je 74,5 mil.€, što je za 7,2% više g-n-g. Rast </w:t>
            </w:r>
            <w:r w:rsidR="00930D10" w:rsidRPr="00D05BDB">
              <w:rPr>
                <w:rFonts w:asciiTheme="minorHAnsi" w:hAnsiTheme="minorHAnsi" w:cstheme="minorHAnsi"/>
                <w:b/>
                <w:sz w:val="20"/>
                <w:lang w:val="sr-Latn-CS"/>
              </w:rPr>
              <w:t>izvoza</w:t>
            </w:r>
            <w:r w:rsidR="00930D10" w:rsidRPr="00D05BDB">
              <w:rPr>
                <w:rFonts w:asciiTheme="minorHAnsi" w:hAnsiTheme="minorHAnsi" w:cstheme="minorHAnsi"/>
                <w:sz w:val="20"/>
                <w:lang w:val="sr-Latn-CS"/>
              </w:rPr>
              <w:t xml:space="preserve"> generisan je povećanjem izvoza aluminijuma i gvožđa i čelika, koji čine 35,</w:t>
            </w:r>
            <w:r w:rsidR="005F7FD7">
              <w:rPr>
                <w:rFonts w:asciiTheme="minorHAnsi" w:hAnsiTheme="minorHAnsi" w:cstheme="minorHAnsi"/>
                <w:sz w:val="20"/>
                <w:lang w:val="sr-Latn-CS"/>
              </w:rPr>
              <w:t xml:space="preserve">7% ukupnog crnogorskog izvoza. </w:t>
            </w:r>
            <w:r w:rsidR="00930D10" w:rsidRPr="00D05BDB">
              <w:rPr>
                <w:rFonts w:asciiTheme="minorHAnsi" w:hAnsiTheme="minorHAnsi" w:cstheme="minorHAnsi"/>
                <w:sz w:val="20"/>
                <w:lang w:val="sr-Latn-CS"/>
              </w:rPr>
              <w:t xml:space="preserve">Izvoz </w:t>
            </w:r>
            <w:r w:rsidR="005F7FD7">
              <w:rPr>
                <w:rFonts w:asciiTheme="minorHAnsi" w:hAnsiTheme="minorHAnsi" w:cstheme="minorHAnsi"/>
                <w:sz w:val="20"/>
              </w:rPr>
              <w:t xml:space="preserve"> navedenih kategorija </w:t>
            </w:r>
            <w:r w:rsidR="00930D10" w:rsidRPr="00D05BDB">
              <w:rPr>
                <w:rFonts w:asciiTheme="minorHAnsi" w:hAnsiTheme="minorHAnsi" w:cstheme="minorHAnsi"/>
                <w:sz w:val="20"/>
              </w:rPr>
              <w:t>povećan je za 21,0%, odnosno četiri ipo puta, pod uticajem rasta fizičkog obima proizvodnje osnovnih metala za 6,0% i izvoznih cijena osnovnih metala 21,4%. Ukupan uvoz roba vrijedio je 356,8 mil.€, što je za 4,4% više g-n-g.</w:t>
            </w:r>
            <w:r w:rsidR="005F7FD7">
              <w:rPr>
                <w:rFonts w:asciiTheme="minorHAnsi" w:hAnsiTheme="minorHAnsi" w:cstheme="minorHAnsi"/>
                <w:sz w:val="20"/>
                <w:lang w:val="sr-Latn-CS"/>
              </w:rPr>
              <w:t xml:space="preserve"> Rast </w:t>
            </w:r>
            <w:r w:rsidR="00930D10" w:rsidRPr="00D05BDB">
              <w:rPr>
                <w:rFonts w:asciiTheme="minorHAnsi" w:hAnsiTheme="minorHAnsi" w:cstheme="minorHAnsi"/>
                <w:sz w:val="20"/>
                <w:lang w:val="sr-Latn-CS"/>
              </w:rPr>
              <w:t xml:space="preserve">uvoza je u najvećoj mjeri opredijeljen povećanjem uvoza hrane 13,0% i mašina i transportnih uređaja 10,0%, </w:t>
            </w:r>
            <w:r w:rsidR="00865DAA" w:rsidRPr="00D05BDB">
              <w:rPr>
                <w:rFonts w:asciiTheme="minorHAnsi" w:hAnsiTheme="minorHAnsi" w:cstheme="minorHAnsi"/>
                <w:sz w:val="20"/>
                <w:lang w:val="sr-Latn-CS"/>
              </w:rPr>
              <w:t xml:space="preserve">pri čemu se </w:t>
            </w:r>
            <w:r w:rsidR="00930D10" w:rsidRPr="00D05BDB">
              <w:rPr>
                <w:rFonts w:asciiTheme="minorHAnsi" w:hAnsiTheme="minorHAnsi" w:cstheme="minorHAnsi"/>
                <w:sz w:val="20"/>
                <w:lang w:val="sr-Latn-CS"/>
              </w:rPr>
              <w:t xml:space="preserve">na </w:t>
            </w:r>
            <w:r w:rsidR="00865DAA" w:rsidRPr="00D05BDB">
              <w:rPr>
                <w:rFonts w:asciiTheme="minorHAnsi" w:hAnsiTheme="minorHAnsi" w:cstheme="minorHAnsi"/>
                <w:sz w:val="20"/>
                <w:lang w:val="sr-Latn-CS"/>
              </w:rPr>
              <w:t xml:space="preserve">njihov </w:t>
            </w:r>
            <w:r w:rsidR="00930D10" w:rsidRPr="00D05BDB">
              <w:rPr>
                <w:rFonts w:asciiTheme="minorHAnsi" w:hAnsiTheme="minorHAnsi" w:cstheme="minorHAnsi"/>
                <w:sz w:val="20"/>
                <w:lang w:val="sr-Latn-CS"/>
              </w:rPr>
              <w:t xml:space="preserve">uvoz odnosi 42,4% ukupnog uvoza. Na drugoj strani, bilježi se opadajući trend izvoza i uvoza električne energije, </w:t>
            </w:r>
            <w:r w:rsidR="00865DAA" w:rsidRPr="00D05BDB">
              <w:rPr>
                <w:rFonts w:asciiTheme="minorHAnsi" w:hAnsiTheme="minorHAnsi" w:cstheme="minorHAnsi"/>
                <w:sz w:val="20"/>
                <w:lang w:val="sr-Latn-CS"/>
              </w:rPr>
              <w:t>i evidentno je da su</w:t>
            </w:r>
            <w:r w:rsidR="005F7FD7">
              <w:rPr>
                <w:rFonts w:asciiTheme="minorHAnsi" w:hAnsiTheme="minorHAnsi" w:cstheme="minorHAnsi"/>
                <w:sz w:val="20"/>
                <w:lang w:val="sr-Latn-CS"/>
              </w:rPr>
              <w:t xml:space="preserve"> 30,0 i </w:t>
            </w:r>
            <w:r w:rsidR="00930D10" w:rsidRPr="00D05BDB">
              <w:rPr>
                <w:rFonts w:asciiTheme="minorHAnsi" w:hAnsiTheme="minorHAnsi" w:cstheme="minorHAnsi"/>
                <w:sz w:val="20"/>
                <w:lang w:val="sr-Latn-CS"/>
              </w:rPr>
              <w:t>32,0% manji, respektivno.</w:t>
            </w:r>
          </w:p>
          <w:p w:rsidR="00E740C2" w:rsidRPr="00D05BDB" w:rsidRDefault="00E740C2" w:rsidP="007249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lang w:val="sr-Latn-CS"/>
              </w:rPr>
            </w:pPr>
            <w:r w:rsidRPr="00D05BDB">
              <w:rPr>
                <w:rFonts w:asciiTheme="minorHAnsi" w:hAnsiTheme="minorHAnsi" w:cstheme="minorHAnsi"/>
                <w:b/>
                <w:noProof/>
                <w:sz w:val="20"/>
              </w:rPr>
              <w:t>Neto priliv SDI u periodu januar-februar 2015. iznosio je 51,8 mil.€, što je za 11,9% više nego u istom periodu 2014. (46,3 mil.€).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 xml:space="preserve"> Ukupan priliv SDI iznosio je 60,6 mil.€, </w:t>
            </w:r>
            <w:r w:rsidRPr="00D05BDB">
              <w:rPr>
                <w:rFonts w:asciiTheme="minorHAnsi" w:hAnsiTheme="minorHAnsi" w:cstheme="minorHAnsi"/>
                <w:noProof/>
                <w:sz w:val="20"/>
                <w:lang w:val="sr-Latn-CS"/>
              </w:rPr>
              <w:t xml:space="preserve">što je za 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>8,2% manje nego u uporednom periodu 2014.</w:t>
            </w:r>
            <w:r w:rsidRPr="00D05BDB">
              <w:rPr>
                <w:rFonts w:asciiTheme="minorHAnsi" w:hAnsiTheme="minorHAnsi" w:cstheme="minorHAnsi"/>
                <w:noProof/>
                <w:sz w:val="20"/>
                <w:lang w:val="sr-Latn-CS"/>
              </w:rPr>
              <w:t>(66,0 mil.€).</w:t>
            </w:r>
            <w:r w:rsidRPr="00D05BDB">
              <w:rPr>
                <w:rFonts w:asciiTheme="minorHAnsi" w:hAnsiTheme="minorHAnsi" w:cstheme="minorHAnsi"/>
                <w:noProof/>
                <w:sz w:val="20"/>
              </w:rPr>
              <w:t xml:space="preserve"> Priliv po osnovu vlasničkih ulaganja u periodu januar-februar 2015. ostvaren je u iznosu od 33,0 mil.€, (5,8% više nego u 2015) što čini 54,4% ukupnog priliva. Struktura ukupnog priliva SDI: investicije u preduzeća i banke 15,5%, (40,4% više) i investicije u nekretnine 39,0% (3,7% manje). Ostvareni priliv po osnovu interkompanijskog duga, sa učešćem od 44,4%, ukazuje na pad od 20,9% u odnosu na uporedni period januar-februar 2014, dok je kategorija ostale investicije učestvovala sa 1,1% (oko 15,3% manje). Ukupan odliv SDI iznosio je 8,8 mil.€, što je za 55,5% manje nego u 2014.godini.</w:t>
            </w:r>
          </w:p>
          <w:p w:rsidR="00E740C2" w:rsidRPr="00D05BDB" w:rsidRDefault="00E740C2" w:rsidP="00930D1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930D10" w:rsidRPr="00D05BDB" w:rsidRDefault="00930D10" w:rsidP="00930D10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4" w:type="pct"/>
            <w:vAlign w:val="center"/>
          </w:tcPr>
          <w:p w:rsidR="00C45B95" w:rsidRPr="00D05BDB" w:rsidRDefault="005A2CA1" w:rsidP="00930D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05BDB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79600" cy="2104993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C45B95" w:rsidRDefault="00C45B95" w:rsidP="001E53D5">
      <w:pPr>
        <w:framePr w:w="10770" w:wrap="auto" w:hAnchor="text"/>
        <w:sectPr w:rsidR="00C45B95" w:rsidSect="00A90070">
          <w:pgSz w:w="11906" w:h="16838"/>
          <w:pgMar w:top="567" w:right="624" w:bottom="624" w:left="567" w:header="708" w:footer="708" w:gutter="0"/>
          <w:cols w:space="708"/>
          <w:docGrid w:linePitch="360"/>
        </w:sectPr>
      </w:pP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lastRenderedPageBreak/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 w:rsidR="00561716">
        <w:rPr>
          <w:noProof/>
          <w:sz w:val="17"/>
          <w:szCs w:val="16"/>
        </w:rPr>
        <w:t xml:space="preserve"> mart</w:t>
      </w:r>
      <w:r w:rsidR="00BC1B61">
        <w:rPr>
          <w:noProof/>
          <w:sz w:val="17"/>
          <w:szCs w:val="16"/>
        </w:rPr>
        <w:t xml:space="preserve"> </w:t>
      </w:r>
      <w:r w:rsidR="00745D7B">
        <w:rPr>
          <w:noProof/>
          <w:sz w:val="17"/>
          <w:szCs w:val="16"/>
        </w:rPr>
        <w:t>2015</w:t>
      </w:r>
      <w:r w:rsidRPr="0020440D">
        <w:rPr>
          <w:noProof/>
          <w:sz w:val="17"/>
          <w:szCs w:val="16"/>
        </w:rPr>
        <w:t>.</w:t>
      </w:r>
    </w:p>
    <w:p w:rsidR="00782553" w:rsidRDefault="00782553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782553" w:rsidRDefault="00782553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C45B95" w:rsidRDefault="00C45B95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%)g-n-g označava godišnju promjenu (stopa promjene indikatora u posmatranom mjesecuili periodu  u odnosu na isti mmjesec ili periodprethodne godine u %)</w:t>
      </w:r>
      <w:r w:rsidR="00BF2D81">
        <w:rPr>
          <w:i/>
          <w:iCs/>
          <w:noProof/>
          <w:sz w:val="12"/>
          <w:szCs w:val="12"/>
        </w:rPr>
        <w:t>.</w:t>
      </w:r>
    </w:p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tbl>
      <w:tblPr>
        <w:tblW w:w="5060" w:type="pct"/>
        <w:tblCellMar>
          <w:left w:w="0" w:type="dxa"/>
          <w:right w:w="0" w:type="dxa"/>
        </w:tblCellMar>
        <w:tblLook w:val="04A0"/>
      </w:tblPr>
      <w:tblGrid>
        <w:gridCol w:w="3691"/>
        <w:gridCol w:w="792"/>
        <w:gridCol w:w="792"/>
        <w:gridCol w:w="792"/>
        <w:gridCol w:w="795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89"/>
      </w:tblGrid>
      <w:tr w:rsidR="00F061DD" w:rsidRPr="00F061DD" w:rsidTr="00F061DD">
        <w:trPr>
          <w:divId w:val="1158420704"/>
          <w:trHeight w:val="288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mart 2015/2014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jan-mart 2015/jan-mart 2014</w:t>
            </w:r>
          </w:p>
        </w:tc>
      </w:tr>
      <w:tr w:rsidR="00F061DD" w:rsidRPr="00F061DD" w:rsidTr="00F061DD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81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-20,60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-27,90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-23,40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-26,40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-19,80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-7,00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-3,40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19,30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19,3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18,40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-44,90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-10,90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-5,00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-3,20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-18,10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-20,50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-13,20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13,80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3,5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-4,20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28,30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21,00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13,1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16,6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2,5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Vrijednost radova u gradjevinarstvu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30,3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-6,9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Harmonizovani indeks potrošačkih cijena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170.177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172.202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174.917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179.774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173.942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172.273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171.158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169.719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170.486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171.855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34.671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33.906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32.763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34.733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34.687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35.152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35.172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34.903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14,1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19,1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18,5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18,1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3.077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5.399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4.984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2.434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2.098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3.735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3.504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49,6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13,9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85,8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2.405,0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2.386,6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2.383,1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2.376,2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2.443,2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2.426,5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2.367,2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2.355,3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2.375,2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2.340,8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-3,2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-3,3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Krediti u kašnjenju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556,7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494,1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562,6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512,2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533,1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524,8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469,1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489,2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464,3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444,9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481,1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458,4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492,2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-11,6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Udio kredita u kašnjenju u ukupnim kreditima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23,1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20,7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23,6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21,6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21,4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19,1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18,8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19,3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-11,6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393,9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406,1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417,6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402,6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417,2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400,2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398,9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391,8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375,6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389,7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388,4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369,4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-4,9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-6,2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</w:t>
            </w:r>
            <w:r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ima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-3,5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-3,6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2.094,8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2.114,3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2.146,4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2.268,0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2.274,9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2.308,1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2.311,3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2.295,4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2.314,6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947,7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958,5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959,8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950,4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900,9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898,1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917,9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917,7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925,6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938,3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887,4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890,7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892,7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895,4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893,8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897,5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899,2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904,6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542,8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533,0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551,7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576,4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633,5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647,5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640,7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635,0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624,6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635,1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1.239,2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1.247,8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1.245,5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1.244,5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1.300,0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1.305,9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1.331,7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1.334,5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1.335,9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1.352,7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-3,3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1,66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-29,1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24,7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23,1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25,7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28,2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27,1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34,3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31,8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33,9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28,1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26,0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25,3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7,2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145,9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172,0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184,3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164,4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154,7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158,5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132,7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159,7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86,0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121,5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149,3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22,9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4,4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-121,2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-135,3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-132,2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-143,8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-152,8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-137,3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-120,4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-126,7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-98,8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-131,6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-60,0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-98,2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-124,0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26,3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3,7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32,6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29,7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27,4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27,2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50,8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31,4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26,5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34,8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26,2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-9,9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11,9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107,7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108,0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109,6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112,5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94,8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70,2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60,0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56,7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-47,3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-47,4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1.705,4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1.810,7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1.751,1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1.839,0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1.990,4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2.055,6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1.909,5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1.814,7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1.817,8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1.773,9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-2,4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4,0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5,2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</w:tr>
      <w:tr w:rsidR="00F061DD" w:rsidRPr="00F061DD" w:rsidTr="00766605">
        <w:trPr>
          <w:divId w:val="1158420704"/>
          <w:trHeight w:val="1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14" w:type="dxa"/>
              <w:bottom w:w="0" w:type="dxa"/>
              <w:right w:w="0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F061D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61DD" w:rsidRPr="00F061DD" w:rsidRDefault="00F061DD" w:rsidP="00F061DD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F061DD">
              <w:rPr>
                <w:rFonts w:cs="Calibri"/>
                <w:sz w:val="14"/>
                <w:szCs w:val="14"/>
                <w:lang w:val="sr-Latn-CS" w:eastAsia="sr-Latn-CS"/>
              </w:rPr>
              <w:t>-1,0</w:t>
            </w:r>
          </w:p>
        </w:tc>
      </w:tr>
    </w:tbl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A90070" w:rsidRDefault="00A3689A" w:rsidP="00355F01">
      <w:pPr>
        <w:spacing w:after="0"/>
        <w:jc w:val="center"/>
        <w:outlineLvl w:val="0"/>
        <w:rPr>
          <w:noProof/>
          <w:sz w:val="17"/>
          <w:szCs w:val="16"/>
        </w:rPr>
      </w:pPr>
      <w:r>
        <w:rPr>
          <w:noProof/>
          <w:sz w:val="17"/>
          <w:szCs w:val="16"/>
        </w:rPr>
        <w:t>T</w:t>
      </w:r>
      <w:r w:rsidR="00A90070" w:rsidRPr="00355F01">
        <w:rPr>
          <w:noProof/>
          <w:sz w:val="17"/>
          <w:szCs w:val="16"/>
        </w:rPr>
        <w:t xml:space="preserve">abela </w:t>
      </w:r>
      <w:r w:rsidR="00A34CEB" w:rsidRPr="00355F01">
        <w:rPr>
          <w:noProof/>
          <w:sz w:val="17"/>
          <w:szCs w:val="16"/>
        </w:rPr>
        <w:fldChar w:fldCharType="begin"/>
      </w:r>
      <w:r w:rsidR="003A12AD" w:rsidRPr="00355F01">
        <w:rPr>
          <w:noProof/>
          <w:sz w:val="17"/>
          <w:szCs w:val="16"/>
        </w:rPr>
        <w:instrText xml:space="preserve"> SEQ Tabela \* ARABIC </w:instrText>
      </w:r>
      <w:r w:rsidR="00A34CEB" w:rsidRPr="00355F01">
        <w:rPr>
          <w:noProof/>
          <w:sz w:val="17"/>
          <w:szCs w:val="16"/>
        </w:rPr>
        <w:fldChar w:fldCharType="separate"/>
      </w:r>
      <w:r w:rsidR="00F061DD">
        <w:rPr>
          <w:noProof/>
          <w:sz w:val="17"/>
          <w:szCs w:val="16"/>
        </w:rPr>
        <w:t>2</w:t>
      </w:r>
      <w:r w:rsidR="00A34CEB" w:rsidRPr="00355F01">
        <w:rPr>
          <w:noProof/>
          <w:sz w:val="17"/>
          <w:szCs w:val="16"/>
        </w:rPr>
        <w:fldChar w:fldCharType="end"/>
      </w:r>
      <w:r w:rsidR="00D52F3D">
        <w:rPr>
          <w:noProof/>
          <w:sz w:val="17"/>
          <w:szCs w:val="16"/>
        </w:rPr>
        <w:t xml:space="preserve">: </w:t>
      </w:r>
      <w:r w:rsidR="006D6A98" w:rsidRPr="00355F01">
        <w:rPr>
          <w:b/>
          <w:noProof/>
          <w:sz w:val="20"/>
          <w:szCs w:val="16"/>
        </w:rPr>
        <w:t>Fiskalni indikatori</w:t>
      </w:r>
      <w:r w:rsidR="006D6A98" w:rsidRPr="00355F01">
        <w:rPr>
          <w:noProof/>
          <w:sz w:val="17"/>
          <w:szCs w:val="16"/>
        </w:rPr>
        <w:t>–</w:t>
      </w:r>
      <w:r w:rsidR="00561716">
        <w:rPr>
          <w:noProof/>
          <w:sz w:val="17"/>
          <w:szCs w:val="16"/>
        </w:rPr>
        <w:t>mart</w:t>
      </w:r>
      <w:r w:rsidR="009C1DC4">
        <w:rPr>
          <w:noProof/>
          <w:sz w:val="17"/>
          <w:szCs w:val="16"/>
        </w:rPr>
        <w:t xml:space="preserve"> </w:t>
      </w:r>
      <w:r w:rsidR="00745D7B" w:rsidRPr="00355F01">
        <w:rPr>
          <w:noProof/>
          <w:sz w:val="17"/>
          <w:szCs w:val="16"/>
        </w:rPr>
        <w:t>2015</w:t>
      </w:r>
      <w:r w:rsidR="006D6A98" w:rsidRPr="00355F01">
        <w:rPr>
          <w:noProof/>
          <w:sz w:val="17"/>
          <w:szCs w:val="16"/>
        </w:rPr>
        <w:t xml:space="preserve">. </w:t>
      </w:r>
    </w:p>
    <w:p w:rsidR="00782553" w:rsidRDefault="007825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782553" w:rsidRDefault="007825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tbl>
      <w:tblPr>
        <w:tblW w:w="5000" w:type="pct"/>
        <w:tblLook w:val="04A0"/>
      </w:tblPr>
      <w:tblGrid>
        <w:gridCol w:w="3173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674"/>
        <w:gridCol w:w="730"/>
        <w:gridCol w:w="744"/>
        <w:gridCol w:w="779"/>
        <w:gridCol w:w="664"/>
        <w:gridCol w:w="779"/>
        <w:gridCol w:w="962"/>
      </w:tblGrid>
      <w:tr w:rsidR="00F726F4" w:rsidRPr="00F726F4" w:rsidTr="007249F7">
        <w:trPr>
          <w:trHeight w:val="315"/>
        </w:trPr>
        <w:tc>
          <w:tcPr>
            <w:tcW w:w="974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2370" w:type="pct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2014</w:t>
            </w:r>
          </w:p>
        </w:tc>
        <w:tc>
          <w:tcPr>
            <w:tcW w:w="439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2015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</w:rPr>
            </w:pPr>
            <w:r w:rsidRPr="00F726F4">
              <w:rPr>
                <w:color w:val="000000"/>
              </w:rPr>
              <w:t> </w:t>
            </w:r>
          </w:p>
        </w:tc>
        <w:tc>
          <w:tcPr>
            <w:tcW w:w="243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plan 2015</w:t>
            </w:r>
          </w:p>
        </w:tc>
        <w:tc>
          <w:tcPr>
            <w:tcW w:w="750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Analitika-Mart</w:t>
            </w:r>
          </w:p>
        </w:tc>
      </w:tr>
      <w:tr w:rsidR="00F726F4" w:rsidRPr="00F726F4" w:rsidTr="007249F7">
        <w:trPr>
          <w:trHeight w:val="735"/>
        </w:trPr>
        <w:tc>
          <w:tcPr>
            <w:tcW w:w="974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III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IV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V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VI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VII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VIII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IX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X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XI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XII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I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II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III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III</w:t>
            </w:r>
          </w:p>
        </w:tc>
        <w:tc>
          <w:tcPr>
            <w:tcW w:w="20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mart 2015/ mart 2014 (%)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jan-mart 2015 / jan-mart 2014(%)</w:t>
            </w:r>
          </w:p>
        </w:tc>
        <w:tc>
          <w:tcPr>
            <w:tcW w:w="29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726F4">
              <w:rPr>
                <w:sz w:val="14"/>
                <w:szCs w:val="14"/>
              </w:rPr>
              <w:t>mart 2015/mart 2015plan (%)</w:t>
            </w:r>
          </w:p>
        </w:tc>
      </w:tr>
      <w:tr w:rsidR="00F726F4" w:rsidRPr="00F726F4" w:rsidTr="00830A88">
        <w:trPr>
          <w:trHeight w:val="330"/>
        </w:trPr>
        <w:tc>
          <w:tcPr>
            <w:tcW w:w="974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2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100,71</w:t>
            </w:r>
          </w:p>
        </w:tc>
        <w:tc>
          <w:tcPr>
            <w:tcW w:w="2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109,08</w:t>
            </w:r>
          </w:p>
        </w:tc>
        <w:tc>
          <w:tcPr>
            <w:tcW w:w="2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102,08</w:t>
            </w:r>
          </w:p>
        </w:tc>
        <w:tc>
          <w:tcPr>
            <w:tcW w:w="2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109,93</w:t>
            </w:r>
          </w:p>
        </w:tc>
        <w:tc>
          <w:tcPr>
            <w:tcW w:w="2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120,72</w:t>
            </w:r>
          </w:p>
        </w:tc>
        <w:tc>
          <w:tcPr>
            <w:tcW w:w="2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126,56</w:t>
            </w:r>
          </w:p>
        </w:tc>
        <w:tc>
          <w:tcPr>
            <w:tcW w:w="2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117,90</w:t>
            </w:r>
          </w:p>
        </w:tc>
        <w:tc>
          <w:tcPr>
            <w:tcW w:w="2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158,21</w:t>
            </w:r>
          </w:p>
        </w:tc>
        <w:tc>
          <w:tcPr>
            <w:tcW w:w="23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23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155,25</w:t>
            </w:r>
          </w:p>
        </w:tc>
        <w:tc>
          <w:tcPr>
            <w:tcW w:w="21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71,18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86,77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100,28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101,07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-0,43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-0,79</w:t>
            </w:r>
          </w:p>
        </w:tc>
      </w:tr>
      <w:tr w:rsidR="00F726F4" w:rsidRPr="00F726F4" w:rsidTr="00830A88">
        <w:trPr>
          <w:trHeight w:val="315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Porezi i doprinosi na  zarade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37,91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40,21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45,74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45,71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44,52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45,43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59,14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23,46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36,14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42,09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36,71</w:t>
            </w:r>
          </w:p>
        </w:tc>
        <w:tc>
          <w:tcPr>
            <w:tcW w:w="208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11,04</w:t>
            </w:r>
          </w:p>
        </w:tc>
        <w:tc>
          <w:tcPr>
            <w:tcW w:w="243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8,77</w:t>
            </w:r>
          </w:p>
        </w:tc>
        <w:tc>
          <w:tcPr>
            <w:tcW w:w="299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14,65</w:t>
            </w:r>
          </w:p>
        </w:tc>
      </w:tr>
      <w:tr w:rsidR="00F726F4" w:rsidRPr="00F726F4" w:rsidTr="00830A88">
        <w:trPr>
          <w:trHeight w:val="300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Porez na dobit pravnih lica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12,11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11,31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2,49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5,92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224" w:type="pc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9,85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11,94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-18,66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-23,82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-17,52</w:t>
            </w:r>
          </w:p>
        </w:tc>
      </w:tr>
      <w:tr w:rsidR="00F726F4" w:rsidRPr="00F726F4" w:rsidTr="00830A88">
        <w:trPr>
          <w:trHeight w:val="300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Porez na dodatu vrijednost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34,92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39,01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37,06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45,61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49,31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37,18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31,20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224" w:type="pc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29,67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35,63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-15,05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-4,97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-16,72</w:t>
            </w:r>
          </w:p>
        </w:tc>
      </w:tr>
      <w:tr w:rsidR="00F726F4" w:rsidRPr="00F726F4" w:rsidTr="00830A88">
        <w:trPr>
          <w:trHeight w:val="300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Akcize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9,53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10,78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15,75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19,49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9,93</w:t>
            </w:r>
          </w:p>
        </w:tc>
        <w:tc>
          <w:tcPr>
            <w:tcW w:w="224" w:type="pc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10,88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10,14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14,15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16,08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7,28</w:t>
            </w:r>
          </w:p>
        </w:tc>
      </w:tr>
      <w:tr w:rsidR="00F726F4" w:rsidRPr="00F726F4" w:rsidTr="007249F7">
        <w:trPr>
          <w:trHeight w:val="315"/>
        </w:trPr>
        <w:tc>
          <w:tcPr>
            <w:tcW w:w="974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Porez na medj trgovinu i transak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2,14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2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22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2,07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1,73</w:t>
            </w:r>
          </w:p>
        </w:tc>
        <w:tc>
          <w:tcPr>
            <w:tcW w:w="20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17,80</w:t>
            </w:r>
          </w:p>
        </w:tc>
        <w:tc>
          <w:tcPr>
            <w:tcW w:w="29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19,73</w:t>
            </w:r>
          </w:p>
        </w:tc>
      </w:tr>
      <w:tr w:rsidR="00F726F4" w:rsidRPr="00F726F4" w:rsidTr="00830A88">
        <w:trPr>
          <w:trHeight w:val="330"/>
        </w:trPr>
        <w:tc>
          <w:tcPr>
            <w:tcW w:w="974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117,73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124,04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107,60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115,30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118,22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116,09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122,09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159,65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111,38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173,92</w:t>
            </w:r>
          </w:p>
        </w:tc>
        <w:tc>
          <w:tcPr>
            <w:tcW w:w="2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93,12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108,06</w:t>
            </w:r>
          </w:p>
        </w:tc>
        <w:tc>
          <w:tcPr>
            <w:tcW w:w="22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108,67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130,41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-7,69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-16,67</w:t>
            </w:r>
          </w:p>
        </w:tc>
      </w:tr>
      <w:tr w:rsidR="00F726F4" w:rsidRPr="00F726F4" w:rsidTr="00830A88">
        <w:trPr>
          <w:trHeight w:val="315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Bruto zarade i doprinosi na teret poslodavca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28,95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33,40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33,99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31,64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32,19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28,62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31,71</w:t>
            </w:r>
          </w:p>
        </w:tc>
        <w:tc>
          <w:tcPr>
            <w:tcW w:w="224" w:type="pc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28,42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31,61</w:t>
            </w:r>
          </w:p>
        </w:tc>
        <w:tc>
          <w:tcPr>
            <w:tcW w:w="208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-1,82</w:t>
            </w:r>
          </w:p>
        </w:tc>
        <w:tc>
          <w:tcPr>
            <w:tcW w:w="243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-1,22</w:t>
            </w:r>
          </w:p>
        </w:tc>
        <w:tc>
          <w:tcPr>
            <w:tcW w:w="299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-10,09</w:t>
            </w:r>
          </w:p>
        </w:tc>
      </w:tr>
      <w:tr w:rsidR="00F726F4" w:rsidRPr="00F726F4" w:rsidTr="00830A88">
        <w:trPr>
          <w:trHeight w:val="300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Rashodi za materijal i usluge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5,25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6,28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5,96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5,30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8,69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6,36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224" w:type="pc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5,91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5,91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-7,74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-0,01</w:t>
            </w:r>
          </w:p>
        </w:tc>
      </w:tr>
      <w:tr w:rsidR="00F726F4" w:rsidRPr="00F726F4" w:rsidTr="00830A88">
        <w:trPr>
          <w:trHeight w:val="300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Kamate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4,62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24,66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4,72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5,61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5,68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224" w:type="pc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5,10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6,31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10,22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-19,26</w:t>
            </w:r>
          </w:p>
        </w:tc>
      </w:tr>
      <w:tr w:rsidR="00F726F4" w:rsidRPr="00F726F4" w:rsidTr="00830A88">
        <w:trPr>
          <w:trHeight w:val="300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Transferi za socijalnu zaštitu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41,91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40,42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40,51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40,39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42,65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41,82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39,29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42,84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40,07</w:t>
            </w:r>
          </w:p>
        </w:tc>
        <w:tc>
          <w:tcPr>
            <w:tcW w:w="224" w:type="pc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40,86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42,07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-2,50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-2,87</w:t>
            </w:r>
          </w:p>
        </w:tc>
      </w:tr>
      <w:tr w:rsidR="00F726F4" w:rsidRPr="00F726F4" w:rsidTr="00830A88">
        <w:trPr>
          <w:trHeight w:val="300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Transferi instit, pojed i NVO sektoru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11,94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8,80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7,96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8,71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7,34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8,85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7,11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4,71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11,50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224" w:type="pc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11,42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10,69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-4,38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45,67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6,82</w:t>
            </w:r>
          </w:p>
        </w:tc>
      </w:tr>
      <w:tr w:rsidR="00F726F4" w:rsidRPr="00F726F4" w:rsidTr="00830A88">
        <w:trPr>
          <w:trHeight w:val="315"/>
        </w:trPr>
        <w:tc>
          <w:tcPr>
            <w:tcW w:w="974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Kapitalni izdaci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6,72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6,75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24,72</w:t>
            </w:r>
          </w:p>
        </w:tc>
        <w:tc>
          <w:tcPr>
            <w:tcW w:w="2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13,35</w:t>
            </w:r>
          </w:p>
        </w:tc>
        <w:tc>
          <w:tcPr>
            <w:tcW w:w="224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5,04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24,88</w:t>
            </w:r>
          </w:p>
        </w:tc>
        <w:tc>
          <w:tcPr>
            <w:tcW w:w="20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-23,87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99,19</w:t>
            </w:r>
          </w:p>
        </w:tc>
        <w:tc>
          <w:tcPr>
            <w:tcW w:w="29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-79,73</w:t>
            </w:r>
          </w:p>
        </w:tc>
      </w:tr>
      <w:tr w:rsidR="00F726F4" w:rsidRPr="00F726F4" w:rsidTr="00830A88">
        <w:trPr>
          <w:trHeight w:val="330"/>
        </w:trPr>
        <w:tc>
          <w:tcPr>
            <w:tcW w:w="974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-17,02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-14,96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-5,52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-5,36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-4,19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-1,44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-12,89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-18,67</w:t>
            </w:r>
          </w:p>
        </w:tc>
        <w:tc>
          <w:tcPr>
            <w:tcW w:w="2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-21,94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-21,31</w:t>
            </w:r>
          </w:p>
        </w:tc>
        <w:tc>
          <w:tcPr>
            <w:tcW w:w="22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-8,39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-29,34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-50,72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-1,69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-71,41</w:t>
            </w:r>
          </w:p>
        </w:tc>
      </w:tr>
      <w:tr w:rsidR="00F726F4" w:rsidRPr="00F726F4" w:rsidTr="00830A88">
        <w:trPr>
          <w:trHeight w:val="315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Primarni bilans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-12,40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9,70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-0,79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8,91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11,71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-0,85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-12,33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-12,99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-19,73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-18,42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-3,29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-23,03</w:t>
            </w:r>
          </w:p>
        </w:tc>
        <w:tc>
          <w:tcPr>
            <w:tcW w:w="208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-73,46</w:t>
            </w:r>
          </w:p>
        </w:tc>
        <w:tc>
          <w:tcPr>
            <w:tcW w:w="243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-6,84</w:t>
            </w:r>
          </w:p>
        </w:tc>
        <w:tc>
          <w:tcPr>
            <w:tcW w:w="299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-85,71</w:t>
            </w:r>
          </w:p>
        </w:tc>
      </w:tr>
      <w:tr w:rsidR="00F726F4" w:rsidRPr="00F726F4" w:rsidTr="007249F7">
        <w:trPr>
          <w:trHeight w:val="315"/>
        </w:trPr>
        <w:tc>
          <w:tcPr>
            <w:tcW w:w="974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Otplata dugova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7,98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37,33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9,65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51,08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14,57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5,47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31,22</w:t>
            </w:r>
          </w:p>
        </w:tc>
        <w:tc>
          <w:tcPr>
            <w:tcW w:w="2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17,04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22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30,82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33,19</w:t>
            </w:r>
          </w:p>
        </w:tc>
        <w:tc>
          <w:tcPr>
            <w:tcW w:w="20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285,95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247,81</w:t>
            </w:r>
          </w:p>
        </w:tc>
        <w:tc>
          <w:tcPr>
            <w:tcW w:w="29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-7,16</w:t>
            </w:r>
          </w:p>
        </w:tc>
      </w:tr>
      <w:tr w:rsidR="00F726F4" w:rsidRPr="00F726F4" w:rsidTr="007249F7">
        <w:trPr>
          <w:trHeight w:val="330"/>
        </w:trPr>
        <w:tc>
          <w:tcPr>
            <w:tcW w:w="974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2.006,00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1.990,30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2.180,50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2.022,10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1.985,20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1.982,50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1.969,53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1.964,90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1.961,90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1.893,40</w:t>
            </w:r>
          </w:p>
        </w:tc>
        <w:tc>
          <w:tcPr>
            <w:tcW w:w="2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26F4" w:rsidRPr="00830A88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A88">
              <w:rPr>
                <w:b/>
                <w:bCs/>
                <w:sz w:val="16"/>
                <w:szCs w:val="16"/>
              </w:rPr>
              <w:t>1938,00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26F4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F726F4" w:rsidRPr="00F726F4" w:rsidTr="007249F7">
        <w:trPr>
          <w:trHeight w:val="315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Domaći dug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572,60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588,10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583,30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438,30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412,10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406,90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394,93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392,20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389,80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381,20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395,90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-</w:t>
            </w:r>
          </w:p>
        </w:tc>
      </w:tr>
      <w:tr w:rsidR="00F726F4" w:rsidRPr="00F726F4" w:rsidTr="007249F7">
        <w:trPr>
          <w:trHeight w:val="300"/>
        </w:trPr>
        <w:tc>
          <w:tcPr>
            <w:tcW w:w="974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Inostrani dug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1.433,40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1.402,20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1.597,20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1.583,80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1.573,10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1.575,60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1.574,60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1.572,70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1.572,10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1.561,70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2047,70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26F4">
              <w:rPr>
                <w:sz w:val="16"/>
                <w:szCs w:val="16"/>
              </w:rPr>
              <w:t>-</w:t>
            </w:r>
          </w:p>
        </w:tc>
      </w:tr>
      <w:tr w:rsidR="00F726F4" w:rsidRPr="00F726F4" w:rsidTr="007249F7">
        <w:trPr>
          <w:trHeight w:val="480"/>
        </w:trPr>
        <w:tc>
          <w:tcPr>
            <w:tcW w:w="974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726F4">
              <w:rPr>
                <w:color w:val="000000"/>
                <w:sz w:val="16"/>
                <w:szCs w:val="16"/>
              </w:rPr>
              <w:t>Depoziti*     (U skladu sa Zakonom o budžetu i fiskalnoj odgovornosti)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49,50</w:t>
            </w:r>
          </w:p>
        </w:tc>
        <w:tc>
          <w:tcPr>
            <w:tcW w:w="21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726F4" w:rsidRPr="00F726F4" w:rsidRDefault="00F726F4" w:rsidP="00F726F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6F4">
              <w:rPr>
                <w:b/>
                <w:bCs/>
                <w:color w:val="000000"/>
                <w:sz w:val="16"/>
                <w:szCs w:val="16"/>
              </w:rPr>
              <w:t>505,60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726F4" w:rsidRPr="00F726F4" w:rsidRDefault="00F726F4" w:rsidP="00F726F4">
            <w:pPr>
              <w:spacing w:after="0" w:line="240" w:lineRule="auto"/>
              <w:rPr>
                <w:color w:val="000000"/>
              </w:rPr>
            </w:pPr>
            <w:r w:rsidRPr="00F726F4">
              <w:rPr>
                <w:color w:val="000000"/>
              </w:rPr>
              <w:t>-</w:t>
            </w:r>
          </w:p>
        </w:tc>
      </w:tr>
    </w:tbl>
    <w:p w:rsidR="00F37361" w:rsidRDefault="00F37361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F37361" w:rsidRDefault="00F37361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F37361" w:rsidRDefault="00F37361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F37361" w:rsidRDefault="00F37361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F37361" w:rsidRPr="00355F01" w:rsidRDefault="00F37361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6A50FA" w:rsidRPr="006A50FA" w:rsidRDefault="006A50FA" w:rsidP="006A50FA">
      <w:pPr>
        <w:spacing w:after="0" w:line="240" w:lineRule="auto"/>
        <w:rPr>
          <w:i/>
          <w:iCs/>
          <w:sz w:val="16"/>
          <w:szCs w:val="16"/>
        </w:rPr>
      </w:pPr>
      <w:r w:rsidRPr="006A50FA">
        <w:rPr>
          <w:i/>
          <w:iCs/>
          <w:sz w:val="16"/>
          <w:szCs w:val="16"/>
        </w:rPr>
        <w:t>Izvor: Ministarstvo finansija Crne Gore</w:t>
      </w:r>
    </w:p>
    <w:sectPr w:rsidR="006A50FA" w:rsidRPr="006A50FA" w:rsidSect="00A90070">
      <w:pgSz w:w="16839" w:h="11907" w:orient="landscape" w:code="9"/>
      <w:pgMar w:top="284" w:right="426" w:bottom="284" w:left="25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B863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C53" w:rsidRDefault="006B3C53" w:rsidP="00965FCD">
      <w:pPr>
        <w:spacing w:after="0" w:line="240" w:lineRule="auto"/>
      </w:pPr>
      <w:r>
        <w:separator/>
      </w:r>
    </w:p>
  </w:endnote>
  <w:endnote w:type="continuationSeparator" w:id="0">
    <w:p w:rsidR="006B3C53" w:rsidRDefault="006B3C53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C53" w:rsidRDefault="006B3C53" w:rsidP="00965FCD">
      <w:pPr>
        <w:spacing w:after="0" w:line="240" w:lineRule="auto"/>
      </w:pPr>
      <w:r>
        <w:separator/>
      </w:r>
    </w:p>
  </w:footnote>
  <w:footnote w:type="continuationSeparator" w:id="0">
    <w:p w:rsidR="006B3C53" w:rsidRDefault="006B3C53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929"/>
    <w:multiLevelType w:val="hybridMultilevel"/>
    <w:tmpl w:val="91FAB53C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44420"/>
    <w:multiLevelType w:val="hybridMultilevel"/>
    <w:tmpl w:val="6D141CC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0F0C99"/>
    <w:multiLevelType w:val="hybridMultilevel"/>
    <w:tmpl w:val="3C02798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F76453A"/>
    <w:multiLevelType w:val="hybridMultilevel"/>
    <w:tmpl w:val="C51085F4"/>
    <w:lvl w:ilvl="0" w:tplc="58DA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E58CA"/>
    <w:multiLevelType w:val="hybridMultilevel"/>
    <w:tmpl w:val="F788E09E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9"/>
  </w:num>
  <w:num w:numId="3">
    <w:abstractNumId w:val="38"/>
  </w:num>
  <w:num w:numId="4">
    <w:abstractNumId w:val="26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8"/>
  </w:num>
  <w:num w:numId="8">
    <w:abstractNumId w:val="3"/>
  </w:num>
  <w:num w:numId="9">
    <w:abstractNumId w:val="0"/>
  </w:num>
  <w:num w:numId="10">
    <w:abstractNumId w:val="36"/>
  </w:num>
  <w:num w:numId="11">
    <w:abstractNumId w:val="2"/>
  </w:num>
  <w:num w:numId="12">
    <w:abstractNumId w:val="34"/>
  </w:num>
  <w:num w:numId="13">
    <w:abstractNumId w:val="30"/>
  </w:num>
  <w:num w:numId="14">
    <w:abstractNumId w:val="10"/>
  </w:num>
  <w:num w:numId="15">
    <w:abstractNumId w:val="8"/>
  </w:num>
  <w:num w:numId="16">
    <w:abstractNumId w:val="21"/>
  </w:num>
  <w:num w:numId="17">
    <w:abstractNumId w:val="12"/>
  </w:num>
  <w:num w:numId="18">
    <w:abstractNumId w:val="25"/>
  </w:num>
  <w:num w:numId="19">
    <w:abstractNumId w:val="11"/>
  </w:num>
  <w:num w:numId="20">
    <w:abstractNumId w:val="22"/>
  </w:num>
  <w:num w:numId="21">
    <w:abstractNumId w:val="24"/>
  </w:num>
  <w:num w:numId="22">
    <w:abstractNumId w:val="17"/>
  </w:num>
  <w:num w:numId="23">
    <w:abstractNumId w:val="16"/>
  </w:num>
  <w:num w:numId="24">
    <w:abstractNumId w:val="32"/>
  </w:num>
  <w:num w:numId="25">
    <w:abstractNumId w:val="6"/>
  </w:num>
  <w:num w:numId="26">
    <w:abstractNumId w:val="13"/>
  </w:num>
  <w:num w:numId="27">
    <w:abstractNumId w:val="29"/>
  </w:num>
  <w:num w:numId="28">
    <w:abstractNumId w:val="5"/>
  </w:num>
  <w:num w:numId="29">
    <w:abstractNumId w:val="7"/>
  </w:num>
  <w:num w:numId="30">
    <w:abstractNumId w:val="23"/>
  </w:num>
  <w:num w:numId="31">
    <w:abstractNumId w:val="33"/>
  </w:num>
  <w:num w:numId="32">
    <w:abstractNumId w:val="19"/>
  </w:num>
  <w:num w:numId="33">
    <w:abstractNumId w:val="37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4"/>
  </w:num>
  <w:num w:numId="37">
    <w:abstractNumId w:val="27"/>
  </w:num>
  <w:num w:numId="38">
    <w:abstractNumId w:val="18"/>
  </w:num>
  <w:num w:numId="39">
    <w:abstractNumId w:val="4"/>
  </w:num>
  <w:num w:numId="40">
    <w:abstractNumId w:val="1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1692"/>
    <w:rsid w:val="000000CB"/>
    <w:rsid w:val="00000106"/>
    <w:rsid w:val="000009E1"/>
    <w:rsid w:val="000010A3"/>
    <w:rsid w:val="00003D78"/>
    <w:rsid w:val="000040B3"/>
    <w:rsid w:val="00004B56"/>
    <w:rsid w:val="00005AD2"/>
    <w:rsid w:val="00005D5A"/>
    <w:rsid w:val="00007424"/>
    <w:rsid w:val="00012F84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27D5E"/>
    <w:rsid w:val="000300F0"/>
    <w:rsid w:val="00030DAB"/>
    <w:rsid w:val="000314E5"/>
    <w:rsid w:val="00031722"/>
    <w:rsid w:val="00031FAD"/>
    <w:rsid w:val="00032524"/>
    <w:rsid w:val="00032D34"/>
    <w:rsid w:val="0003370D"/>
    <w:rsid w:val="000341DE"/>
    <w:rsid w:val="00034923"/>
    <w:rsid w:val="0003497A"/>
    <w:rsid w:val="00034D42"/>
    <w:rsid w:val="00034F07"/>
    <w:rsid w:val="0003544A"/>
    <w:rsid w:val="0003620F"/>
    <w:rsid w:val="00036822"/>
    <w:rsid w:val="000369E1"/>
    <w:rsid w:val="00037558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4068"/>
    <w:rsid w:val="000547A1"/>
    <w:rsid w:val="00054837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5B6F"/>
    <w:rsid w:val="00067726"/>
    <w:rsid w:val="00067FD6"/>
    <w:rsid w:val="00070965"/>
    <w:rsid w:val="000712B9"/>
    <w:rsid w:val="0007229B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71F2"/>
    <w:rsid w:val="00077211"/>
    <w:rsid w:val="00080AEE"/>
    <w:rsid w:val="000812E2"/>
    <w:rsid w:val="0008138F"/>
    <w:rsid w:val="00082395"/>
    <w:rsid w:val="00082D87"/>
    <w:rsid w:val="000831EE"/>
    <w:rsid w:val="00083320"/>
    <w:rsid w:val="00084C03"/>
    <w:rsid w:val="00085B67"/>
    <w:rsid w:val="0008654B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2350"/>
    <w:rsid w:val="000A2E85"/>
    <w:rsid w:val="000A2F52"/>
    <w:rsid w:val="000A33CB"/>
    <w:rsid w:val="000A4226"/>
    <w:rsid w:val="000A42FE"/>
    <w:rsid w:val="000A43CE"/>
    <w:rsid w:val="000A47FF"/>
    <w:rsid w:val="000A4E37"/>
    <w:rsid w:val="000A5E23"/>
    <w:rsid w:val="000A787A"/>
    <w:rsid w:val="000A7FBB"/>
    <w:rsid w:val="000B19D0"/>
    <w:rsid w:val="000B1DD7"/>
    <w:rsid w:val="000B28FC"/>
    <w:rsid w:val="000B2B16"/>
    <w:rsid w:val="000B34E4"/>
    <w:rsid w:val="000B37A3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6C8"/>
    <w:rsid w:val="000C2FAD"/>
    <w:rsid w:val="000C3655"/>
    <w:rsid w:val="000C36DB"/>
    <w:rsid w:val="000C4998"/>
    <w:rsid w:val="000C5764"/>
    <w:rsid w:val="000C5FBB"/>
    <w:rsid w:val="000C65A2"/>
    <w:rsid w:val="000C6818"/>
    <w:rsid w:val="000C7278"/>
    <w:rsid w:val="000C72DD"/>
    <w:rsid w:val="000D0368"/>
    <w:rsid w:val="000D0374"/>
    <w:rsid w:val="000D09EB"/>
    <w:rsid w:val="000D0BE6"/>
    <w:rsid w:val="000D1AA8"/>
    <w:rsid w:val="000D2DFE"/>
    <w:rsid w:val="000D52CF"/>
    <w:rsid w:val="000D588E"/>
    <w:rsid w:val="000D5D48"/>
    <w:rsid w:val="000D5ED7"/>
    <w:rsid w:val="000D6CD4"/>
    <w:rsid w:val="000D6DF1"/>
    <w:rsid w:val="000D765B"/>
    <w:rsid w:val="000D7A66"/>
    <w:rsid w:val="000E13EB"/>
    <w:rsid w:val="000E2251"/>
    <w:rsid w:val="000E2351"/>
    <w:rsid w:val="000E294A"/>
    <w:rsid w:val="000E3987"/>
    <w:rsid w:val="000E3AEE"/>
    <w:rsid w:val="000E40CC"/>
    <w:rsid w:val="000E4DD4"/>
    <w:rsid w:val="000E5DCB"/>
    <w:rsid w:val="000E6096"/>
    <w:rsid w:val="000E77A4"/>
    <w:rsid w:val="000E7A16"/>
    <w:rsid w:val="000E7E9D"/>
    <w:rsid w:val="000F1010"/>
    <w:rsid w:val="000F1186"/>
    <w:rsid w:val="000F1AA9"/>
    <w:rsid w:val="000F260E"/>
    <w:rsid w:val="000F4D73"/>
    <w:rsid w:val="000F5B09"/>
    <w:rsid w:val="000F6577"/>
    <w:rsid w:val="000F6C6B"/>
    <w:rsid w:val="000F756E"/>
    <w:rsid w:val="000F7DDF"/>
    <w:rsid w:val="00100371"/>
    <w:rsid w:val="001021CB"/>
    <w:rsid w:val="00102786"/>
    <w:rsid w:val="001030CC"/>
    <w:rsid w:val="0010339D"/>
    <w:rsid w:val="00103CA9"/>
    <w:rsid w:val="001040F3"/>
    <w:rsid w:val="0010452C"/>
    <w:rsid w:val="00105AEF"/>
    <w:rsid w:val="00106446"/>
    <w:rsid w:val="0010656B"/>
    <w:rsid w:val="00107128"/>
    <w:rsid w:val="00107647"/>
    <w:rsid w:val="00107A07"/>
    <w:rsid w:val="00111C8A"/>
    <w:rsid w:val="001124C4"/>
    <w:rsid w:val="001124FF"/>
    <w:rsid w:val="00112853"/>
    <w:rsid w:val="00112E23"/>
    <w:rsid w:val="00114109"/>
    <w:rsid w:val="001141E2"/>
    <w:rsid w:val="00114378"/>
    <w:rsid w:val="00115519"/>
    <w:rsid w:val="00115C83"/>
    <w:rsid w:val="00116365"/>
    <w:rsid w:val="001164A1"/>
    <w:rsid w:val="00116A8F"/>
    <w:rsid w:val="00117393"/>
    <w:rsid w:val="00117AB0"/>
    <w:rsid w:val="001209D0"/>
    <w:rsid w:val="00120A3A"/>
    <w:rsid w:val="00123909"/>
    <w:rsid w:val="00123BF5"/>
    <w:rsid w:val="00123CBD"/>
    <w:rsid w:val="00124730"/>
    <w:rsid w:val="001251D5"/>
    <w:rsid w:val="0012708A"/>
    <w:rsid w:val="0012719F"/>
    <w:rsid w:val="001276C7"/>
    <w:rsid w:val="00127B5A"/>
    <w:rsid w:val="00130DCC"/>
    <w:rsid w:val="00131185"/>
    <w:rsid w:val="001321AB"/>
    <w:rsid w:val="001326B7"/>
    <w:rsid w:val="00133348"/>
    <w:rsid w:val="00134816"/>
    <w:rsid w:val="00134A21"/>
    <w:rsid w:val="00134C6C"/>
    <w:rsid w:val="00136C72"/>
    <w:rsid w:val="00136E70"/>
    <w:rsid w:val="00141D67"/>
    <w:rsid w:val="00141FDD"/>
    <w:rsid w:val="00143FCB"/>
    <w:rsid w:val="00144C86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4145"/>
    <w:rsid w:val="0015515C"/>
    <w:rsid w:val="00156A83"/>
    <w:rsid w:val="00156C2D"/>
    <w:rsid w:val="00156E33"/>
    <w:rsid w:val="001575F1"/>
    <w:rsid w:val="00157601"/>
    <w:rsid w:val="001577A1"/>
    <w:rsid w:val="00160183"/>
    <w:rsid w:val="00160A29"/>
    <w:rsid w:val="001610BD"/>
    <w:rsid w:val="001613FC"/>
    <w:rsid w:val="001627A3"/>
    <w:rsid w:val="00163041"/>
    <w:rsid w:val="00163A7B"/>
    <w:rsid w:val="00163AF0"/>
    <w:rsid w:val="001644C7"/>
    <w:rsid w:val="001646BA"/>
    <w:rsid w:val="00165773"/>
    <w:rsid w:val="00165DE6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115"/>
    <w:rsid w:val="0017540F"/>
    <w:rsid w:val="001754F5"/>
    <w:rsid w:val="0017563A"/>
    <w:rsid w:val="00175718"/>
    <w:rsid w:val="00177AD9"/>
    <w:rsid w:val="00181309"/>
    <w:rsid w:val="001824C2"/>
    <w:rsid w:val="00182872"/>
    <w:rsid w:val="0018289E"/>
    <w:rsid w:val="0018331D"/>
    <w:rsid w:val="00184FDC"/>
    <w:rsid w:val="0018592D"/>
    <w:rsid w:val="0018626E"/>
    <w:rsid w:val="0018666E"/>
    <w:rsid w:val="00186BEF"/>
    <w:rsid w:val="00186F09"/>
    <w:rsid w:val="0018739E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71A8"/>
    <w:rsid w:val="001A0035"/>
    <w:rsid w:val="001A0A6C"/>
    <w:rsid w:val="001A2829"/>
    <w:rsid w:val="001A2F7A"/>
    <w:rsid w:val="001A392F"/>
    <w:rsid w:val="001A594D"/>
    <w:rsid w:val="001A5B99"/>
    <w:rsid w:val="001A65F4"/>
    <w:rsid w:val="001A7319"/>
    <w:rsid w:val="001A783E"/>
    <w:rsid w:val="001B0396"/>
    <w:rsid w:val="001B17AD"/>
    <w:rsid w:val="001B1D1D"/>
    <w:rsid w:val="001B259F"/>
    <w:rsid w:val="001B25FF"/>
    <w:rsid w:val="001B3267"/>
    <w:rsid w:val="001B399F"/>
    <w:rsid w:val="001B3BE3"/>
    <w:rsid w:val="001B4CB9"/>
    <w:rsid w:val="001B4F99"/>
    <w:rsid w:val="001B6D24"/>
    <w:rsid w:val="001B725A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CB"/>
    <w:rsid w:val="001C23DD"/>
    <w:rsid w:val="001C264C"/>
    <w:rsid w:val="001C2751"/>
    <w:rsid w:val="001C51EC"/>
    <w:rsid w:val="001C5CE9"/>
    <w:rsid w:val="001C6120"/>
    <w:rsid w:val="001C6698"/>
    <w:rsid w:val="001C6750"/>
    <w:rsid w:val="001C6781"/>
    <w:rsid w:val="001C6817"/>
    <w:rsid w:val="001C6D1F"/>
    <w:rsid w:val="001C70BA"/>
    <w:rsid w:val="001D0226"/>
    <w:rsid w:val="001D0A32"/>
    <w:rsid w:val="001D21BD"/>
    <w:rsid w:val="001D37FD"/>
    <w:rsid w:val="001D4E81"/>
    <w:rsid w:val="001D7822"/>
    <w:rsid w:val="001E2403"/>
    <w:rsid w:val="001E29C8"/>
    <w:rsid w:val="001E29D1"/>
    <w:rsid w:val="001E2BC7"/>
    <w:rsid w:val="001E33FE"/>
    <w:rsid w:val="001E4EAE"/>
    <w:rsid w:val="001E53D5"/>
    <w:rsid w:val="001E5BE3"/>
    <w:rsid w:val="001E5E69"/>
    <w:rsid w:val="001E698E"/>
    <w:rsid w:val="001F1378"/>
    <w:rsid w:val="001F181F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5A2"/>
    <w:rsid w:val="002135B1"/>
    <w:rsid w:val="002138EC"/>
    <w:rsid w:val="0021614C"/>
    <w:rsid w:val="002167C4"/>
    <w:rsid w:val="00216A75"/>
    <w:rsid w:val="00216C6D"/>
    <w:rsid w:val="00220834"/>
    <w:rsid w:val="00220B59"/>
    <w:rsid w:val="002210E9"/>
    <w:rsid w:val="00222175"/>
    <w:rsid w:val="0022227F"/>
    <w:rsid w:val="00223E45"/>
    <w:rsid w:val="00224AD0"/>
    <w:rsid w:val="00224D43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90D"/>
    <w:rsid w:val="00230C34"/>
    <w:rsid w:val="00230DE8"/>
    <w:rsid w:val="00230FA2"/>
    <w:rsid w:val="00231268"/>
    <w:rsid w:val="00232185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53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7BD"/>
    <w:rsid w:val="00253ECF"/>
    <w:rsid w:val="00253F71"/>
    <w:rsid w:val="00256550"/>
    <w:rsid w:val="0025713F"/>
    <w:rsid w:val="0025757E"/>
    <w:rsid w:val="00257D9D"/>
    <w:rsid w:val="00257EFB"/>
    <w:rsid w:val="00260066"/>
    <w:rsid w:val="00260465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672F"/>
    <w:rsid w:val="0027697B"/>
    <w:rsid w:val="00277445"/>
    <w:rsid w:val="0027775D"/>
    <w:rsid w:val="00277D24"/>
    <w:rsid w:val="00280105"/>
    <w:rsid w:val="00281E75"/>
    <w:rsid w:val="0028233F"/>
    <w:rsid w:val="002823F9"/>
    <w:rsid w:val="00282488"/>
    <w:rsid w:val="00282B2B"/>
    <w:rsid w:val="00282DBE"/>
    <w:rsid w:val="00283704"/>
    <w:rsid w:val="00283DB5"/>
    <w:rsid w:val="002843B8"/>
    <w:rsid w:val="00284B2C"/>
    <w:rsid w:val="00285B0F"/>
    <w:rsid w:val="00287019"/>
    <w:rsid w:val="00287A18"/>
    <w:rsid w:val="00290CF1"/>
    <w:rsid w:val="002916F7"/>
    <w:rsid w:val="0029214C"/>
    <w:rsid w:val="00292EC3"/>
    <w:rsid w:val="00294586"/>
    <w:rsid w:val="00294DE0"/>
    <w:rsid w:val="00296127"/>
    <w:rsid w:val="002961DB"/>
    <w:rsid w:val="00296B08"/>
    <w:rsid w:val="002977E4"/>
    <w:rsid w:val="00297AC4"/>
    <w:rsid w:val="002A046A"/>
    <w:rsid w:val="002A08D7"/>
    <w:rsid w:val="002A0CAC"/>
    <w:rsid w:val="002A0D49"/>
    <w:rsid w:val="002A10A8"/>
    <w:rsid w:val="002A1639"/>
    <w:rsid w:val="002A1B2B"/>
    <w:rsid w:val="002A1CC2"/>
    <w:rsid w:val="002A1DC4"/>
    <w:rsid w:val="002A235B"/>
    <w:rsid w:val="002A2BD6"/>
    <w:rsid w:val="002A2CED"/>
    <w:rsid w:val="002A4910"/>
    <w:rsid w:val="002A5A8C"/>
    <w:rsid w:val="002A5C73"/>
    <w:rsid w:val="002A68B8"/>
    <w:rsid w:val="002B0705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095E"/>
    <w:rsid w:val="002C1A52"/>
    <w:rsid w:val="002C1FBF"/>
    <w:rsid w:val="002C25C6"/>
    <w:rsid w:val="002C2DFD"/>
    <w:rsid w:val="002C3F24"/>
    <w:rsid w:val="002C454A"/>
    <w:rsid w:val="002C4737"/>
    <w:rsid w:val="002C47B8"/>
    <w:rsid w:val="002C4845"/>
    <w:rsid w:val="002C4A81"/>
    <w:rsid w:val="002C6888"/>
    <w:rsid w:val="002C75B9"/>
    <w:rsid w:val="002C78FB"/>
    <w:rsid w:val="002C7BD3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C71"/>
    <w:rsid w:val="002D4C76"/>
    <w:rsid w:val="002D4CDE"/>
    <w:rsid w:val="002D5187"/>
    <w:rsid w:val="002D54A4"/>
    <w:rsid w:val="002D5865"/>
    <w:rsid w:val="002D6027"/>
    <w:rsid w:val="002D6F60"/>
    <w:rsid w:val="002D77A7"/>
    <w:rsid w:val="002D7BA6"/>
    <w:rsid w:val="002E068D"/>
    <w:rsid w:val="002E294A"/>
    <w:rsid w:val="002E3693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58EC"/>
    <w:rsid w:val="002F5EEC"/>
    <w:rsid w:val="002F6AB2"/>
    <w:rsid w:val="002F707E"/>
    <w:rsid w:val="002F7C7C"/>
    <w:rsid w:val="002F7DB2"/>
    <w:rsid w:val="003004B8"/>
    <w:rsid w:val="003022A7"/>
    <w:rsid w:val="00303173"/>
    <w:rsid w:val="00303D85"/>
    <w:rsid w:val="00303F02"/>
    <w:rsid w:val="0030680B"/>
    <w:rsid w:val="00306B1D"/>
    <w:rsid w:val="00307430"/>
    <w:rsid w:val="00307512"/>
    <w:rsid w:val="00307F4D"/>
    <w:rsid w:val="0031098B"/>
    <w:rsid w:val="00311A9D"/>
    <w:rsid w:val="00312994"/>
    <w:rsid w:val="0031387C"/>
    <w:rsid w:val="00313CA3"/>
    <w:rsid w:val="00314EC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238"/>
    <w:rsid w:val="00322DF3"/>
    <w:rsid w:val="00323E6A"/>
    <w:rsid w:val="00325C96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719"/>
    <w:rsid w:val="00333C49"/>
    <w:rsid w:val="00336033"/>
    <w:rsid w:val="0033636B"/>
    <w:rsid w:val="00337362"/>
    <w:rsid w:val="00337648"/>
    <w:rsid w:val="00340752"/>
    <w:rsid w:val="00340909"/>
    <w:rsid w:val="003409C9"/>
    <w:rsid w:val="00341583"/>
    <w:rsid w:val="00341F7C"/>
    <w:rsid w:val="00344581"/>
    <w:rsid w:val="00344DF2"/>
    <w:rsid w:val="003454A9"/>
    <w:rsid w:val="00345ADD"/>
    <w:rsid w:val="0034655C"/>
    <w:rsid w:val="00346A8A"/>
    <w:rsid w:val="00346FFA"/>
    <w:rsid w:val="00347594"/>
    <w:rsid w:val="00350496"/>
    <w:rsid w:val="00350CFE"/>
    <w:rsid w:val="0035139C"/>
    <w:rsid w:val="003524FD"/>
    <w:rsid w:val="00354DDA"/>
    <w:rsid w:val="00355F01"/>
    <w:rsid w:val="003561B8"/>
    <w:rsid w:val="003568F4"/>
    <w:rsid w:val="00357182"/>
    <w:rsid w:val="00357B8D"/>
    <w:rsid w:val="00357E66"/>
    <w:rsid w:val="00360100"/>
    <w:rsid w:val="00360197"/>
    <w:rsid w:val="00361309"/>
    <w:rsid w:val="00361C27"/>
    <w:rsid w:val="003625F1"/>
    <w:rsid w:val="00362CC0"/>
    <w:rsid w:val="003634DC"/>
    <w:rsid w:val="003638CF"/>
    <w:rsid w:val="00363A53"/>
    <w:rsid w:val="00363C84"/>
    <w:rsid w:val="00364D14"/>
    <w:rsid w:val="00365311"/>
    <w:rsid w:val="003655B6"/>
    <w:rsid w:val="00365E46"/>
    <w:rsid w:val="00366100"/>
    <w:rsid w:val="003667BB"/>
    <w:rsid w:val="00366F41"/>
    <w:rsid w:val="00367D77"/>
    <w:rsid w:val="003724C4"/>
    <w:rsid w:val="00375E12"/>
    <w:rsid w:val="003764BE"/>
    <w:rsid w:val="00376523"/>
    <w:rsid w:val="0037726C"/>
    <w:rsid w:val="00377697"/>
    <w:rsid w:val="00377A53"/>
    <w:rsid w:val="003804E7"/>
    <w:rsid w:val="003809F3"/>
    <w:rsid w:val="0038117E"/>
    <w:rsid w:val="0038135E"/>
    <w:rsid w:val="003813A6"/>
    <w:rsid w:val="00381900"/>
    <w:rsid w:val="00381B03"/>
    <w:rsid w:val="0038259A"/>
    <w:rsid w:val="00382F01"/>
    <w:rsid w:val="00384476"/>
    <w:rsid w:val="003846BE"/>
    <w:rsid w:val="00384DC2"/>
    <w:rsid w:val="003873E1"/>
    <w:rsid w:val="00387C29"/>
    <w:rsid w:val="00387DAD"/>
    <w:rsid w:val="0039047F"/>
    <w:rsid w:val="00390732"/>
    <w:rsid w:val="00391CC7"/>
    <w:rsid w:val="0039257B"/>
    <w:rsid w:val="003935B1"/>
    <w:rsid w:val="0039441A"/>
    <w:rsid w:val="00395C18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2AD"/>
    <w:rsid w:val="003A1E5E"/>
    <w:rsid w:val="003A2AF5"/>
    <w:rsid w:val="003A5C77"/>
    <w:rsid w:val="003A5EB6"/>
    <w:rsid w:val="003A68AE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9FC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50F"/>
    <w:rsid w:val="003B48D5"/>
    <w:rsid w:val="003B4F8C"/>
    <w:rsid w:val="003B51CD"/>
    <w:rsid w:val="003B5512"/>
    <w:rsid w:val="003B62EC"/>
    <w:rsid w:val="003B6749"/>
    <w:rsid w:val="003B6844"/>
    <w:rsid w:val="003B6B3A"/>
    <w:rsid w:val="003B75FC"/>
    <w:rsid w:val="003B7F5E"/>
    <w:rsid w:val="003C0B90"/>
    <w:rsid w:val="003C1215"/>
    <w:rsid w:val="003C14C9"/>
    <w:rsid w:val="003C15EF"/>
    <w:rsid w:val="003C1D23"/>
    <w:rsid w:val="003C2670"/>
    <w:rsid w:val="003C3A57"/>
    <w:rsid w:val="003C4817"/>
    <w:rsid w:val="003C5E7B"/>
    <w:rsid w:val="003C6A22"/>
    <w:rsid w:val="003C7870"/>
    <w:rsid w:val="003C79AC"/>
    <w:rsid w:val="003D1EDB"/>
    <w:rsid w:val="003D3260"/>
    <w:rsid w:val="003D4359"/>
    <w:rsid w:val="003D4739"/>
    <w:rsid w:val="003D49BD"/>
    <w:rsid w:val="003D4D5D"/>
    <w:rsid w:val="003D56FD"/>
    <w:rsid w:val="003D6440"/>
    <w:rsid w:val="003D75A1"/>
    <w:rsid w:val="003D78F3"/>
    <w:rsid w:val="003D7D58"/>
    <w:rsid w:val="003E0266"/>
    <w:rsid w:val="003E0C4A"/>
    <w:rsid w:val="003E151E"/>
    <w:rsid w:val="003E221F"/>
    <w:rsid w:val="003E3296"/>
    <w:rsid w:val="003E3C65"/>
    <w:rsid w:val="003E3F0E"/>
    <w:rsid w:val="003E4749"/>
    <w:rsid w:val="003E4CC0"/>
    <w:rsid w:val="003E51DE"/>
    <w:rsid w:val="003E5B35"/>
    <w:rsid w:val="003E5D3F"/>
    <w:rsid w:val="003E60D1"/>
    <w:rsid w:val="003E6360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7085"/>
    <w:rsid w:val="0040060E"/>
    <w:rsid w:val="00400C11"/>
    <w:rsid w:val="004010A8"/>
    <w:rsid w:val="00401DED"/>
    <w:rsid w:val="00402680"/>
    <w:rsid w:val="00402C40"/>
    <w:rsid w:val="00404325"/>
    <w:rsid w:val="00404546"/>
    <w:rsid w:val="00406097"/>
    <w:rsid w:val="00406C7B"/>
    <w:rsid w:val="00407182"/>
    <w:rsid w:val="004078E5"/>
    <w:rsid w:val="00407FE4"/>
    <w:rsid w:val="00412F68"/>
    <w:rsid w:val="0041311D"/>
    <w:rsid w:val="00413243"/>
    <w:rsid w:val="00413CAA"/>
    <w:rsid w:val="00413FFD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CD5"/>
    <w:rsid w:val="00421E9D"/>
    <w:rsid w:val="00422784"/>
    <w:rsid w:val="00423EE9"/>
    <w:rsid w:val="004258FE"/>
    <w:rsid w:val="00425998"/>
    <w:rsid w:val="00425EC2"/>
    <w:rsid w:val="00427187"/>
    <w:rsid w:val="00427696"/>
    <w:rsid w:val="00427FB8"/>
    <w:rsid w:val="004306A4"/>
    <w:rsid w:val="00431253"/>
    <w:rsid w:val="00431CDE"/>
    <w:rsid w:val="00432066"/>
    <w:rsid w:val="004330BE"/>
    <w:rsid w:val="00435D37"/>
    <w:rsid w:val="00436469"/>
    <w:rsid w:val="00436FB4"/>
    <w:rsid w:val="004375C6"/>
    <w:rsid w:val="004379FA"/>
    <w:rsid w:val="0044041E"/>
    <w:rsid w:val="00442E20"/>
    <w:rsid w:val="0044465C"/>
    <w:rsid w:val="0044519A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61324"/>
    <w:rsid w:val="0046148B"/>
    <w:rsid w:val="00461657"/>
    <w:rsid w:val="00461995"/>
    <w:rsid w:val="00461BB0"/>
    <w:rsid w:val="00462BC8"/>
    <w:rsid w:val="00463225"/>
    <w:rsid w:val="004634E4"/>
    <w:rsid w:val="00463506"/>
    <w:rsid w:val="004639A5"/>
    <w:rsid w:val="004647F3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E2A"/>
    <w:rsid w:val="004725CB"/>
    <w:rsid w:val="0047278D"/>
    <w:rsid w:val="00472CF3"/>
    <w:rsid w:val="004732BC"/>
    <w:rsid w:val="00475763"/>
    <w:rsid w:val="00475BE2"/>
    <w:rsid w:val="00480082"/>
    <w:rsid w:val="00483B9D"/>
    <w:rsid w:val="0048470D"/>
    <w:rsid w:val="004848E8"/>
    <w:rsid w:val="00484EA7"/>
    <w:rsid w:val="004864AA"/>
    <w:rsid w:val="004865CE"/>
    <w:rsid w:val="004868F5"/>
    <w:rsid w:val="0048699B"/>
    <w:rsid w:val="00487296"/>
    <w:rsid w:val="0049070F"/>
    <w:rsid w:val="00491368"/>
    <w:rsid w:val="0049250B"/>
    <w:rsid w:val="00492CE5"/>
    <w:rsid w:val="004932C1"/>
    <w:rsid w:val="00493B63"/>
    <w:rsid w:val="00493F77"/>
    <w:rsid w:val="004940E0"/>
    <w:rsid w:val="00496006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0B47"/>
    <w:rsid w:val="004B1C2A"/>
    <w:rsid w:val="004B1ECF"/>
    <w:rsid w:val="004B32A5"/>
    <w:rsid w:val="004B378C"/>
    <w:rsid w:val="004B41B2"/>
    <w:rsid w:val="004B50C6"/>
    <w:rsid w:val="004B533B"/>
    <w:rsid w:val="004B5F63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659C"/>
    <w:rsid w:val="004D40C6"/>
    <w:rsid w:val="004D49A0"/>
    <w:rsid w:val="004D4E0F"/>
    <w:rsid w:val="004D6472"/>
    <w:rsid w:val="004D7775"/>
    <w:rsid w:val="004E02D3"/>
    <w:rsid w:val="004E0DE7"/>
    <w:rsid w:val="004E12DB"/>
    <w:rsid w:val="004E28B9"/>
    <w:rsid w:val="004E366C"/>
    <w:rsid w:val="004E4063"/>
    <w:rsid w:val="004E40DA"/>
    <w:rsid w:val="004E475F"/>
    <w:rsid w:val="004E5F03"/>
    <w:rsid w:val="004E6169"/>
    <w:rsid w:val="004E6ACE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C17"/>
    <w:rsid w:val="004F5DA8"/>
    <w:rsid w:val="004F62C2"/>
    <w:rsid w:val="004F731B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07D4D"/>
    <w:rsid w:val="00507FBA"/>
    <w:rsid w:val="00511F1F"/>
    <w:rsid w:val="0051201B"/>
    <w:rsid w:val="0051345D"/>
    <w:rsid w:val="005157FF"/>
    <w:rsid w:val="005161CB"/>
    <w:rsid w:val="00516264"/>
    <w:rsid w:val="00516511"/>
    <w:rsid w:val="00517175"/>
    <w:rsid w:val="00517B19"/>
    <w:rsid w:val="00521DE6"/>
    <w:rsid w:val="005221F4"/>
    <w:rsid w:val="00522282"/>
    <w:rsid w:val="00522A1E"/>
    <w:rsid w:val="00524587"/>
    <w:rsid w:val="0052511E"/>
    <w:rsid w:val="0052531F"/>
    <w:rsid w:val="005253C0"/>
    <w:rsid w:val="005253D1"/>
    <w:rsid w:val="005264EC"/>
    <w:rsid w:val="00526611"/>
    <w:rsid w:val="00526AFB"/>
    <w:rsid w:val="0053016A"/>
    <w:rsid w:val="005308B0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453"/>
    <w:rsid w:val="00541D70"/>
    <w:rsid w:val="005426C0"/>
    <w:rsid w:val="005429A2"/>
    <w:rsid w:val="005436E2"/>
    <w:rsid w:val="00543A1F"/>
    <w:rsid w:val="00543F14"/>
    <w:rsid w:val="00543F2D"/>
    <w:rsid w:val="00544E2A"/>
    <w:rsid w:val="00545372"/>
    <w:rsid w:val="005468F5"/>
    <w:rsid w:val="00546967"/>
    <w:rsid w:val="00547212"/>
    <w:rsid w:val="005479C8"/>
    <w:rsid w:val="00547B34"/>
    <w:rsid w:val="00547C53"/>
    <w:rsid w:val="005523CF"/>
    <w:rsid w:val="00552402"/>
    <w:rsid w:val="00552F77"/>
    <w:rsid w:val="0055364A"/>
    <w:rsid w:val="00553E61"/>
    <w:rsid w:val="0055409D"/>
    <w:rsid w:val="0055411D"/>
    <w:rsid w:val="00554387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716"/>
    <w:rsid w:val="00561992"/>
    <w:rsid w:val="00562086"/>
    <w:rsid w:val="005636A8"/>
    <w:rsid w:val="00564436"/>
    <w:rsid w:val="005644BB"/>
    <w:rsid w:val="0056509E"/>
    <w:rsid w:val="00565662"/>
    <w:rsid w:val="00565D84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80172"/>
    <w:rsid w:val="00580203"/>
    <w:rsid w:val="00580859"/>
    <w:rsid w:val="00581749"/>
    <w:rsid w:val="005818A8"/>
    <w:rsid w:val="00581D4E"/>
    <w:rsid w:val="005829D9"/>
    <w:rsid w:val="00583591"/>
    <w:rsid w:val="005838F0"/>
    <w:rsid w:val="0058458E"/>
    <w:rsid w:val="00584669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2DF3"/>
    <w:rsid w:val="00593B25"/>
    <w:rsid w:val="00595DA2"/>
    <w:rsid w:val="00596079"/>
    <w:rsid w:val="005966E6"/>
    <w:rsid w:val="005A0061"/>
    <w:rsid w:val="005A054F"/>
    <w:rsid w:val="005A0B3D"/>
    <w:rsid w:val="005A13E6"/>
    <w:rsid w:val="005A17DE"/>
    <w:rsid w:val="005A1C61"/>
    <w:rsid w:val="005A2BD0"/>
    <w:rsid w:val="005A2CA1"/>
    <w:rsid w:val="005A47F5"/>
    <w:rsid w:val="005A4AB8"/>
    <w:rsid w:val="005A5064"/>
    <w:rsid w:val="005A5229"/>
    <w:rsid w:val="005B0DB1"/>
    <w:rsid w:val="005B155D"/>
    <w:rsid w:val="005B18F4"/>
    <w:rsid w:val="005B25F8"/>
    <w:rsid w:val="005B2BF5"/>
    <w:rsid w:val="005B2E65"/>
    <w:rsid w:val="005B2F26"/>
    <w:rsid w:val="005B32A9"/>
    <w:rsid w:val="005B5CB7"/>
    <w:rsid w:val="005B5F21"/>
    <w:rsid w:val="005B7040"/>
    <w:rsid w:val="005C19AB"/>
    <w:rsid w:val="005C2D8D"/>
    <w:rsid w:val="005C363C"/>
    <w:rsid w:val="005C3727"/>
    <w:rsid w:val="005C3915"/>
    <w:rsid w:val="005C3D3E"/>
    <w:rsid w:val="005C4CBE"/>
    <w:rsid w:val="005C4DBD"/>
    <w:rsid w:val="005C4E87"/>
    <w:rsid w:val="005C5F38"/>
    <w:rsid w:val="005C7786"/>
    <w:rsid w:val="005D07D1"/>
    <w:rsid w:val="005D0E14"/>
    <w:rsid w:val="005D2F3D"/>
    <w:rsid w:val="005D483A"/>
    <w:rsid w:val="005D48A0"/>
    <w:rsid w:val="005D4BC4"/>
    <w:rsid w:val="005D5D14"/>
    <w:rsid w:val="005D5E2D"/>
    <w:rsid w:val="005D6EEB"/>
    <w:rsid w:val="005D751B"/>
    <w:rsid w:val="005D7FE7"/>
    <w:rsid w:val="005E0358"/>
    <w:rsid w:val="005E038B"/>
    <w:rsid w:val="005E150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50EA"/>
    <w:rsid w:val="005F568D"/>
    <w:rsid w:val="005F599A"/>
    <w:rsid w:val="005F66B5"/>
    <w:rsid w:val="005F7FD7"/>
    <w:rsid w:val="006006C6"/>
    <w:rsid w:val="0060487F"/>
    <w:rsid w:val="0060509D"/>
    <w:rsid w:val="006050EA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A53"/>
    <w:rsid w:val="00612A74"/>
    <w:rsid w:val="00612DDA"/>
    <w:rsid w:val="00612F5E"/>
    <w:rsid w:val="00613445"/>
    <w:rsid w:val="00613676"/>
    <w:rsid w:val="006139C9"/>
    <w:rsid w:val="006142D5"/>
    <w:rsid w:val="006152FB"/>
    <w:rsid w:val="0061569F"/>
    <w:rsid w:val="00616B6E"/>
    <w:rsid w:val="00617CA0"/>
    <w:rsid w:val="0062060B"/>
    <w:rsid w:val="00620ACF"/>
    <w:rsid w:val="00620FA4"/>
    <w:rsid w:val="0062188F"/>
    <w:rsid w:val="00621B53"/>
    <w:rsid w:val="0062271A"/>
    <w:rsid w:val="00622F10"/>
    <w:rsid w:val="00622FAC"/>
    <w:rsid w:val="0062363A"/>
    <w:rsid w:val="00623BC4"/>
    <w:rsid w:val="00624C12"/>
    <w:rsid w:val="00625243"/>
    <w:rsid w:val="00630010"/>
    <w:rsid w:val="006304FD"/>
    <w:rsid w:val="00632692"/>
    <w:rsid w:val="00634B74"/>
    <w:rsid w:val="006357BA"/>
    <w:rsid w:val="0063610A"/>
    <w:rsid w:val="006364A1"/>
    <w:rsid w:val="00642A13"/>
    <w:rsid w:val="00642F40"/>
    <w:rsid w:val="006435D8"/>
    <w:rsid w:val="006442DC"/>
    <w:rsid w:val="0064542D"/>
    <w:rsid w:val="00645ED4"/>
    <w:rsid w:val="00647463"/>
    <w:rsid w:val="00647B12"/>
    <w:rsid w:val="006509EE"/>
    <w:rsid w:val="00650AC3"/>
    <w:rsid w:val="00650FF3"/>
    <w:rsid w:val="00651027"/>
    <w:rsid w:val="0065108A"/>
    <w:rsid w:val="006526F3"/>
    <w:rsid w:val="006534C5"/>
    <w:rsid w:val="0065398C"/>
    <w:rsid w:val="00653CF3"/>
    <w:rsid w:val="0065416C"/>
    <w:rsid w:val="00654A8A"/>
    <w:rsid w:val="0065518C"/>
    <w:rsid w:val="0065597E"/>
    <w:rsid w:val="00655E97"/>
    <w:rsid w:val="0065608E"/>
    <w:rsid w:val="0065775B"/>
    <w:rsid w:val="00657F58"/>
    <w:rsid w:val="00661339"/>
    <w:rsid w:val="00661C7E"/>
    <w:rsid w:val="00661E40"/>
    <w:rsid w:val="00662030"/>
    <w:rsid w:val="00663690"/>
    <w:rsid w:val="00663FF0"/>
    <w:rsid w:val="00664211"/>
    <w:rsid w:val="00664DEB"/>
    <w:rsid w:val="00665DCB"/>
    <w:rsid w:val="00666EFC"/>
    <w:rsid w:val="0066756D"/>
    <w:rsid w:val="00670373"/>
    <w:rsid w:val="006705D4"/>
    <w:rsid w:val="00670C5E"/>
    <w:rsid w:val="00670C6E"/>
    <w:rsid w:val="00671200"/>
    <w:rsid w:val="006717A8"/>
    <w:rsid w:val="00671844"/>
    <w:rsid w:val="00671961"/>
    <w:rsid w:val="006719B2"/>
    <w:rsid w:val="00671C11"/>
    <w:rsid w:val="006723F0"/>
    <w:rsid w:val="00672DCB"/>
    <w:rsid w:val="00673787"/>
    <w:rsid w:val="006751BF"/>
    <w:rsid w:val="006752C1"/>
    <w:rsid w:val="006754D2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1351"/>
    <w:rsid w:val="006817D4"/>
    <w:rsid w:val="00681A9E"/>
    <w:rsid w:val="00682718"/>
    <w:rsid w:val="00684818"/>
    <w:rsid w:val="00684902"/>
    <w:rsid w:val="00685393"/>
    <w:rsid w:val="006900D2"/>
    <w:rsid w:val="0069095E"/>
    <w:rsid w:val="00690A2B"/>
    <w:rsid w:val="00690D87"/>
    <w:rsid w:val="00690EA9"/>
    <w:rsid w:val="006910F4"/>
    <w:rsid w:val="00691EB2"/>
    <w:rsid w:val="00692810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97FE4"/>
    <w:rsid w:val="006A0B4A"/>
    <w:rsid w:val="006A144B"/>
    <w:rsid w:val="006A174E"/>
    <w:rsid w:val="006A1C8D"/>
    <w:rsid w:val="006A290B"/>
    <w:rsid w:val="006A469E"/>
    <w:rsid w:val="006A478E"/>
    <w:rsid w:val="006A4801"/>
    <w:rsid w:val="006A50FA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3C53"/>
    <w:rsid w:val="006B4656"/>
    <w:rsid w:val="006B4777"/>
    <w:rsid w:val="006B48BD"/>
    <w:rsid w:val="006B5211"/>
    <w:rsid w:val="006B5863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4D99"/>
    <w:rsid w:val="006C4E28"/>
    <w:rsid w:val="006C5096"/>
    <w:rsid w:val="006C5919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C44"/>
    <w:rsid w:val="006D2D6C"/>
    <w:rsid w:val="006D3720"/>
    <w:rsid w:val="006D3727"/>
    <w:rsid w:val="006D3763"/>
    <w:rsid w:val="006D42F8"/>
    <w:rsid w:val="006D4A5C"/>
    <w:rsid w:val="006D53D7"/>
    <w:rsid w:val="006D5B24"/>
    <w:rsid w:val="006D6988"/>
    <w:rsid w:val="006D6A98"/>
    <w:rsid w:val="006D7398"/>
    <w:rsid w:val="006D74DB"/>
    <w:rsid w:val="006E11AC"/>
    <w:rsid w:val="006E11E0"/>
    <w:rsid w:val="006E2834"/>
    <w:rsid w:val="006E4128"/>
    <w:rsid w:val="006E4746"/>
    <w:rsid w:val="006E4A03"/>
    <w:rsid w:val="006E4B91"/>
    <w:rsid w:val="006E5637"/>
    <w:rsid w:val="006E6751"/>
    <w:rsid w:val="006E7282"/>
    <w:rsid w:val="006E7A12"/>
    <w:rsid w:val="006F0752"/>
    <w:rsid w:val="006F1525"/>
    <w:rsid w:val="006F1AFE"/>
    <w:rsid w:val="006F2861"/>
    <w:rsid w:val="006F4259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505"/>
    <w:rsid w:val="00703B0B"/>
    <w:rsid w:val="00703D19"/>
    <w:rsid w:val="00705089"/>
    <w:rsid w:val="007055C9"/>
    <w:rsid w:val="00705D44"/>
    <w:rsid w:val="007067B2"/>
    <w:rsid w:val="00706A33"/>
    <w:rsid w:val="00706CF0"/>
    <w:rsid w:val="00707D50"/>
    <w:rsid w:val="00707E96"/>
    <w:rsid w:val="007107A8"/>
    <w:rsid w:val="00710BC7"/>
    <w:rsid w:val="0071194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60F"/>
    <w:rsid w:val="00720A33"/>
    <w:rsid w:val="00721947"/>
    <w:rsid w:val="00721DCD"/>
    <w:rsid w:val="007227E1"/>
    <w:rsid w:val="00722A4C"/>
    <w:rsid w:val="007234B4"/>
    <w:rsid w:val="007249F7"/>
    <w:rsid w:val="00725D07"/>
    <w:rsid w:val="00725E16"/>
    <w:rsid w:val="00727967"/>
    <w:rsid w:val="00727BED"/>
    <w:rsid w:val="007307C9"/>
    <w:rsid w:val="0073095F"/>
    <w:rsid w:val="007319C8"/>
    <w:rsid w:val="00731BF4"/>
    <w:rsid w:val="007326D7"/>
    <w:rsid w:val="007335DB"/>
    <w:rsid w:val="00733BCB"/>
    <w:rsid w:val="0073431B"/>
    <w:rsid w:val="00734688"/>
    <w:rsid w:val="00734729"/>
    <w:rsid w:val="0073530B"/>
    <w:rsid w:val="007358B7"/>
    <w:rsid w:val="00736A98"/>
    <w:rsid w:val="00736C15"/>
    <w:rsid w:val="00736E76"/>
    <w:rsid w:val="0073706D"/>
    <w:rsid w:val="007375FD"/>
    <w:rsid w:val="00737DB4"/>
    <w:rsid w:val="007406F2"/>
    <w:rsid w:val="007409AF"/>
    <w:rsid w:val="00742C04"/>
    <w:rsid w:val="00743684"/>
    <w:rsid w:val="007452A1"/>
    <w:rsid w:val="007457A9"/>
    <w:rsid w:val="00745BCE"/>
    <w:rsid w:val="00745D7B"/>
    <w:rsid w:val="00745F91"/>
    <w:rsid w:val="00746132"/>
    <w:rsid w:val="007469F9"/>
    <w:rsid w:val="00746E03"/>
    <w:rsid w:val="00747828"/>
    <w:rsid w:val="00750866"/>
    <w:rsid w:val="00750F18"/>
    <w:rsid w:val="007515DA"/>
    <w:rsid w:val="007534AA"/>
    <w:rsid w:val="00753C0A"/>
    <w:rsid w:val="00753E85"/>
    <w:rsid w:val="00754027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42"/>
    <w:rsid w:val="007579F4"/>
    <w:rsid w:val="00757A6C"/>
    <w:rsid w:val="00760D2A"/>
    <w:rsid w:val="0076100C"/>
    <w:rsid w:val="00761287"/>
    <w:rsid w:val="0076182F"/>
    <w:rsid w:val="007618B8"/>
    <w:rsid w:val="00762622"/>
    <w:rsid w:val="007631E2"/>
    <w:rsid w:val="0076365D"/>
    <w:rsid w:val="0076413B"/>
    <w:rsid w:val="00764D09"/>
    <w:rsid w:val="007652FD"/>
    <w:rsid w:val="0076645A"/>
    <w:rsid w:val="00766605"/>
    <w:rsid w:val="007675AF"/>
    <w:rsid w:val="00767AC1"/>
    <w:rsid w:val="00770772"/>
    <w:rsid w:val="00770DAB"/>
    <w:rsid w:val="00771538"/>
    <w:rsid w:val="00771D94"/>
    <w:rsid w:val="007720D7"/>
    <w:rsid w:val="007722BC"/>
    <w:rsid w:val="00772523"/>
    <w:rsid w:val="00772A01"/>
    <w:rsid w:val="00772F45"/>
    <w:rsid w:val="00773C65"/>
    <w:rsid w:val="00775529"/>
    <w:rsid w:val="007759BD"/>
    <w:rsid w:val="00776710"/>
    <w:rsid w:val="00776A67"/>
    <w:rsid w:val="00776DE5"/>
    <w:rsid w:val="00777134"/>
    <w:rsid w:val="00781377"/>
    <w:rsid w:val="00781FAF"/>
    <w:rsid w:val="00782553"/>
    <w:rsid w:val="00783810"/>
    <w:rsid w:val="00783A9F"/>
    <w:rsid w:val="00784166"/>
    <w:rsid w:val="0078476D"/>
    <w:rsid w:val="007847FB"/>
    <w:rsid w:val="00784B89"/>
    <w:rsid w:val="00784BF8"/>
    <w:rsid w:val="00784DAE"/>
    <w:rsid w:val="00784E09"/>
    <w:rsid w:val="00785339"/>
    <w:rsid w:val="00786F50"/>
    <w:rsid w:val="00787851"/>
    <w:rsid w:val="00787A25"/>
    <w:rsid w:val="00787E88"/>
    <w:rsid w:val="0079169B"/>
    <w:rsid w:val="00791DC2"/>
    <w:rsid w:val="00793784"/>
    <w:rsid w:val="00793A27"/>
    <w:rsid w:val="00793F4D"/>
    <w:rsid w:val="007941BB"/>
    <w:rsid w:val="007946DB"/>
    <w:rsid w:val="00794B8C"/>
    <w:rsid w:val="00796ED1"/>
    <w:rsid w:val="007978AC"/>
    <w:rsid w:val="00797B66"/>
    <w:rsid w:val="00797B6A"/>
    <w:rsid w:val="00797BA2"/>
    <w:rsid w:val="007A0816"/>
    <w:rsid w:val="007A1882"/>
    <w:rsid w:val="007A1CFE"/>
    <w:rsid w:val="007A2091"/>
    <w:rsid w:val="007A2838"/>
    <w:rsid w:val="007A299E"/>
    <w:rsid w:val="007A2D7A"/>
    <w:rsid w:val="007A33EE"/>
    <w:rsid w:val="007A3B09"/>
    <w:rsid w:val="007A56A8"/>
    <w:rsid w:val="007A5A5D"/>
    <w:rsid w:val="007A67CB"/>
    <w:rsid w:val="007A6A82"/>
    <w:rsid w:val="007A73EE"/>
    <w:rsid w:val="007A7E1A"/>
    <w:rsid w:val="007B0888"/>
    <w:rsid w:val="007B0B93"/>
    <w:rsid w:val="007B0DD9"/>
    <w:rsid w:val="007B0E60"/>
    <w:rsid w:val="007B3427"/>
    <w:rsid w:val="007B41C4"/>
    <w:rsid w:val="007B5A1B"/>
    <w:rsid w:val="007B5C2E"/>
    <w:rsid w:val="007B6FB1"/>
    <w:rsid w:val="007B7DBE"/>
    <w:rsid w:val="007B7EED"/>
    <w:rsid w:val="007C0AE4"/>
    <w:rsid w:val="007C1EE8"/>
    <w:rsid w:val="007C2107"/>
    <w:rsid w:val="007C2827"/>
    <w:rsid w:val="007C2B1C"/>
    <w:rsid w:val="007C37A1"/>
    <w:rsid w:val="007C43BE"/>
    <w:rsid w:val="007C49FF"/>
    <w:rsid w:val="007C5F96"/>
    <w:rsid w:val="007C601C"/>
    <w:rsid w:val="007C650B"/>
    <w:rsid w:val="007C7AE8"/>
    <w:rsid w:val="007C7E17"/>
    <w:rsid w:val="007D0106"/>
    <w:rsid w:val="007D033B"/>
    <w:rsid w:val="007D0956"/>
    <w:rsid w:val="007D2BA5"/>
    <w:rsid w:val="007D39CD"/>
    <w:rsid w:val="007D410B"/>
    <w:rsid w:val="007D48C4"/>
    <w:rsid w:val="007D4C9D"/>
    <w:rsid w:val="007D4EE7"/>
    <w:rsid w:val="007D5AB1"/>
    <w:rsid w:val="007D6AA1"/>
    <w:rsid w:val="007D7888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5CC1"/>
    <w:rsid w:val="007E5D5E"/>
    <w:rsid w:val="007E7DDD"/>
    <w:rsid w:val="007F182C"/>
    <w:rsid w:val="007F2376"/>
    <w:rsid w:val="007F2783"/>
    <w:rsid w:val="007F33E9"/>
    <w:rsid w:val="007F388B"/>
    <w:rsid w:val="007F4571"/>
    <w:rsid w:val="007F4D55"/>
    <w:rsid w:val="007F589D"/>
    <w:rsid w:val="007F5F68"/>
    <w:rsid w:val="007F5FD8"/>
    <w:rsid w:val="007F61AF"/>
    <w:rsid w:val="007F775F"/>
    <w:rsid w:val="007F7F34"/>
    <w:rsid w:val="0080031F"/>
    <w:rsid w:val="00801411"/>
    <w:rsid w:val="00801C17"/>
    <w:rsid w:val="00801DB8"/>
    <w:rsid w:val="0080291E"/>
    <w:rsid w:val="00802B7F"/>
    <w:rsid w:val="00804F0B"/>
    <w:rsid w:val="00805844"/>
    <w:rsid w:val="00805AF2"/>
    <w:rsid w:val="00805F78"/>
    <w:rsid w:val="00806B4B"/>
    <w:rsid w:val="00807AE7"/>
    <w:rsid w:val="00810837"/>
    <w:rsid w:val="00810CC6"/>
    <w:rsid w:val="00810CDD"/>
    <w:rsid w:val="00811332"/>
    <w:rsid w:val="0081184B"/>
    <w:rsid w:val="00811943"/>
    <w:rsid w:val="00811DF5"/>
    <w:rsid w:val="00812862"/>
    <w:rsid w:val="00812E0B"/>
    <w:rsid w:val="00812E7C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159B"/>
    <w:rsid w:val="00822F67"/>
    <w:rsid w:val="008239BC"/>
    <w:rsid w:val="008251C2"/>
    <w:rsid w:val="0082570B"/>
    <w:rsid w:val="008269CE"/>
    <w:rsid w:val="0082721B"/>
    <w:rsid w:val="0083011C"/>
    <w:rsid w:val="00830A88"/>
    <w:rsid w:val="008312F3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6DA4"/>
    <w:rsid w:val="00847B5B"/>
    <w:rsid w:val="00847C9F"/>
    <w:rsid w:val="00847EBF"/>
    <w:rsid w:val="0085098F"/>
    <w:rsid w:val="0085138D"/>
    <w:rsid w:val="00854098"/>
    <w:rsid w:val="0085497E"/>
    <w:rsid w:val="00855ED0"/>
    <w:rsid w:val="00856102"/>
    <w:rsid w:val="0085673A"/>
    <w:rsid w:val="00856B6A"/>
    <w:rsid w:val="00856DE2"/>
    <w:rsid w:val="008573C7"/>
    <w:rsid w:val="00857B59"/>
    <w:rsid w:val="00860423"/>
    <w:rsid w:val="00860BDB"/>
    <w:rsid w:val="00861096"/>
    <w:rsid w:val="008617B7"/>
    <w:rsid w:val="00861D85"/>
    <w:rsid w:val="00861F52"/>
    <w:rsid w:val="00862A4F"/>
    <w:rsid w:val="00863019"/>
    <w:rsid w:val="008632BF"/>
    <w:rsid w:val="00864891"/>
    <w:rsid w:val="00864D7E"/>
    <w:rsid w:val="008654E2"/>
    <w:rsid w:val="008656F4"/>
    <w:rsid w:val="00865ABB"/>
    <w:rsid w:val="00865DAA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6420"/>
    <w:rsid w:val="008770B1"/>
    <w:rsid w:val="00877642"/>
    <w:rsid w:val="00877FE9"/>
    <w:rsid w:val="00880646"/>
    <w:rsid w:val="00881C0B"/>
    <w:rsid w:val="00881E8E"/>
    <w:rsid w:val="00882650"/>
    <w:rsid w:val="00882703"/>
    <w:rsid w:val="00882CDA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605"/>
    <w:rsid w:val="00890A93"/>
    <w:rsid w:val="0089194A"/>
    <w:rsid w:val="0089243B"/>
    <w:rsid w:val="00892AFB"/>
    <w:rsid w:val="0089368B"/>
    <w:rsid w:val="00893A0A"/>
    <w:rsid w:val="0089561D"/>
    <w:rsid w:val="0089702D"/>
    <w:rsid w:val="00897403"/>
    <w:rsid w:val="008A11A0"/>
    <w:rsid w:val="008A1A51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5F69"/>
    <w:rsid w:val="008A68EC"/>
    <w:rsid w:val="008A73B0"/>
    <w:rsid w:val="008B24DD"/>
    <w:rsid w:val="008B285E"/>
    <w:rsid w:val="008B2B3C"/>
    <w:rsid w:val="008B4A2E"/>
    <w:rsid w:val="008B58DE"/>
    <w:rsid w:val="008B599F"/>
    <w:rsid w:val="008B6202"/>
    <w:rsid w:val="008B665D"/>
    <w:rsid w:val="008B6D0D"/>
    <w:rsid w:val="008B6F16"/>
    <w:rsid w:val="008C01EB"/>
    <w:rsid w:val="008C15C8"/>
    <w:rsid w:val="008C215C"/>
    <w:rsid w:val="008C2299"/>
    <w:rsid w:val="008C2443"/>
    <w:rsid w:val="008C2522"/>
    <w:rsid w:val="008C2CD3"/>
    <w:rsid w:val="008C2FA8"/>
    <w:rsid w:val="008C34B7"/>
    <w:rsid w:val="008C3941"/>
    <w:rsid w:val="008C4151"/>
    <w:rsid w:val="008C5163"/>
    <w:rsid w:val="008C5984"/>
    <w:rsid w:val="008C5E67"/>
    <w:rsid w:val="008C730F"/>
    <w:rsid w:val="008C7C7F"/>
    <w:rsid w:val="008D0308"/>
    <w:rsid w:val="008D0998"/>
    <w:rsid w:val="008D1539"/>
    <w:rsid w:val="008D20A3"/>
    <w:rsid w:val="008D27EB"/>
    <w:rsid w:val="008D2C8B"/>
    <w:rsid w:val="008D30AF"/>
    <w:rsid w:val="008D3CDF"/>
    <w:rsid w:val="008D4618"/>
    <w:rsid w:val="008D47EA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3EA"/>
    <w:rsid w:val="008E3805"/>
    <w:rsid w:val="008E3D20"/>
    <w:rsid w:val="008E4582"/>
    <w:rsid w:val="008E462B"/>
    <w:rsid w:val="008E58D2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34CB"/>
    <w:rsid w:val="008F3986"/>
    <w:rsid w:val="008F4F59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9D1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7FE0"/>
    <w:rsid w:val="00910CBD"/>
    <w:rsid w:val="0091144B"/>
    <w:rsid w:val="00912260"/>
    <w:rsid w:val="009126D6"/>
    <w:rsid w:val="0091298D"/>
    <w:rsid w:val="00912ADF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448"/>
    <w:rsid w:val="00925536"/>
    <w:rsid w:val="00925FF2"/>
    <w:rsid w:val="009271A2"/>
    <w:rsid w:val="009309A2"/>
    <w:rsid w:val="00930CF7"/>
    <w:rsid w:val="00930D10"/>
    <w:rsid w:val="009329C9"/>
    <w:rsid w:val="00933305"/>
    <w:rsid w:val="0093378D"/>
    <w:rsid w:val="0093484E"/>
    <w:rsid w:val="00935A21"/>
    <w:rsid w:val="00935A48"/>
    <w:rsid w:val="009377BC"/>
    <w:rsid w:val="00937C0F"/>
    <w:rsid w:val="00940467"/>
    <w:rsid w:val="009404CE"/>
    <w:rsid w:val="00940D56"/>
    <w:rsid w:val="00941319"/>
    <w:rsid w:val="00941C71"/>
    <w:rsid w:val="00941E99"/>
    <w:rsid w:val="0094299F"/>
    <w:rsid w:val="00942C49"/>
    <w:rsid w:val="00944E9D"/>
    <w:rsid w:val="009472A1"/>
    <w:rsid w:val="00947A04"/>
    <w:rsid w:val="00947B02"/>
    <w:rsid w:val="00947E4E"/>
    <w:rsid w:val="009508FA"/>
    <w:rsid w:val="009519B0"/>
    <w:rsid w:val="00951A56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DB5"/>
    <w:rsid w:val="009611F6"/>
    <w:rsid w:val="00961D65"/>
    <w:rsid w:val="00961F4C"/>
    <w:rsid w:val="00962311"/>
    <w:rsid w:val="00962341"/>
    <w:rsid w:val="00962426"/>
    <w:rsid w:val="009636C3"/>
    <w:rsid w:val="00963732"/>
    <w:rsid w:val="009637F1"/>
    <w:rsid w:val="009647DB"/>
    <w:rsid w:val="00965B35"/>
    <w:rsid w:val="00965C70"/>
    <w:rsid w:val="00965E55"/>
    <w:rsid w:val="00965FCD"/>
    <w:rsid w:val="009667E4"/>
    <w:rsid w:val="00966C86"/>
    <w:rsid w:val="00966CC3"/>
    <w:rsid w:val="009674E4"/>
    <w:rsid w:val="00967750"/>
    <w:rsid w:val="00967D5B"/>
    <w:rsid w:val="009707F3"/>
    <w:rsid w:val="00970817"/>
    <w:rsid w:val="0097121E"/>
    <w:rsid w:val="009729C4"/>
    <w:rsid w:val="00972CD2"/>
    <w:rsid w:val="00972F5D"/>
    <w:rsid w:val="00973022"/>
    <w:rsid w:val="0097377E"/>
    <w:rsid w:val="0097384A"/>
    <w:rsid w:val="00974320"/>
    <w:rsid w:val="00974AD2"/>
    <w:rsid w:val="00974F42"/>
    <w:rsid w:val="00975511"/>
    <w:rsid w:val="0097614F"/>
    <w:rsid w:val="00976263"/>
    <w:rsid w:val="00980D4F"/>
    <w:rsid w:val="0098296F"/>
    <w:rsid w:val="00982E62"/>
    <w:rsid w:val="009836D7"/>
    <w:rsid w:val="0098375C"/>
    <w:rsid w:val="00983E2A"/>
    <w:rsid w:val="009842D5"/>
    <w:rsid w:val="00984FFD"/>
    <w:rsid w:val="009851E4"/>
    <w:rsid w:val="0098562F"/>
    <w:rsid w:val="00985BF6"/>
    <w:rsid w:val="00985C9B"/>
    <w:rsid w:val="009860B5"/>
    <w:rsid w:val="009869DC"/>
    <w:rsid w:val="009869F0"/>
    <w:rsid w:val="00991300"/>
    <w:rsid w:val="00991897"/>
    <w:rsid w:val="00991AE1"/>
    <w:rsid w:val="00992420"/>
    <w:rsid w:val="00992B90"/>
    <w:rsid w:val="00993C8B"/>
    <w:rsid w:val="00993E5A"/>
    <w:rsid w:val="00994161"/>
    <w:rsid w:val="0099417D"/>
    <w:rsid w:val="00994D96"/>
    <w:rsid w:val="009960CD"/>
    <w:rsid w:val="00997454"/>
    <w:rsid w:val="009A0736"/>
    <w:rsid w:val="009A077D"/>
    <w:rsid w:val="009A1376"/>
    <w:rsid w:val="009A19E2"/>
    <w:rsid w:val="009A24E1"/>
    <w:rsid w:val="009A2EA5"/>
    <w:rsid w:val="009A4C61"/>
    <w:rsid w:val="009A4CA6"/>
    <w:rsid w:val="009A5015"/>
    <w:rsid w:val="009A547A"/>
    <w:rsid w:val="009A5640"/>
    <w:rsid w:val="009A63D0"/>
    <w:rsid w:val="009A66BD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320B"/>
    <w:rsid w:val="009B37AE"/>
    <w:rsid w:val="009B43DB"/>
    <w:rsid w:val="009B5779"/>
    <w:rsid w:val="009B65AF"/>
    <w:rsid w:val="009B6603"/>
    <w:rsid w:val="009B6985"/>
    <w:rsid w:val="009B75F3"/>
    <w:rsid w:val="009C0493"/>
    <w:rsid w:val="009C162D"/>
    <w:rsid w:val="009C1D43"/>
    <w:rsid w:val="009C1DC4"/>
    <w:rsid w:val="009C406B"/>
    <w:rsid w:val="009C41DE"/>
    <w:rsid w:val="009C42D7"/>
    <w:rsid w:val="009C4652"/>
    <w:rsid w:val="009C4D32"/>
    <w:rsid w:val="009C4EAF"/>
    <w:rsid w:val="009C5011"/>
    <w:rsid w:val="009C5462"/>
    <w:rsid w:val="009C5A68"/>
    <w:rsid w:val="009C62C0"/>
    <w:rsid w:val="009C6D28"/>
    <w:rsid w:val="009C6DF3"/>
    <w:rsid w:val="009C7459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86A"/>
    <w:rsid w:val="009E3E79"/>
    <w:rsid w:val="009E510B"/>
    <w:rsid w:val="009E51BC"/>
    <w:rsid w:val="009E58AC"/>
    <w:rsid w:val="009E5D48"/>
    <w:rsid w:val="009E6747"/>
    <w:rsid w:val="009E70C1"/>
    <w:rsid w:val="009E7177"/>
    <w:rsid w:val="009F0EB0"/>
    <w:rsid w:val="009F1090"/>
    <w:rsid w:val="009F150B"/>
    <w:rsid w:val="009F17D9"/>
    <w:rsid w:val="009F18E0"/>
    <w:rsid w:val="009F216B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261"/>
    <w:rsid w:val="009F4E29"/>
    <w:rsid w:val="009F74C6"/>
    <w:rsid w:val="00A00218"/>
    <w:rsid w:val="00A0022E"/>
    <w:rsid w:val="00A0035B"/>
    <w:rsid w:val="00A01261"/>
    <w:rsid w:val="00A0131C"/>
    <w:rsid w:val="00A01975"/>
    <w:rsid w:val="00A0226B"/>
    <w:rsid w:val="00A040F6"/>
    <w:rsid w:val="00A049F4"/>
    <w:rsid w:val="00A04FBF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221E"/>
    <w:rsid w:val="00A145D0"/>
    <w:rsid w:val="00A14996"/>
    <w:rsid w:val="00A16685"/>
    <w:rsid w:val="00A16C9B"/>
    <w:rsid w:val="00A1707D"/>
    <w:rsid w:val="00A17447"/>
    <w:rsid w:val="00A178C8"/>
    <w:rsid w:val="00A20571"/>
    <w:rsid w:val="00A2097F"/>
    <w:rsid w:val="00A209F6"/>
    <w:rsid w:val="00A20D1B"/>
    <w:rsid w:val="00A223E6"/>
    <w:rsid w:val="00A22776"/>
    <w:rsid w:val="00A22911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121D"/>
    <w:rsid w:val="00A319E4"/>
    <w:rsid w:val="00A31B1A"/>
    <w:rsid w:val="00A324D0"/>
    <w:rsid w:val="00A324F2"/>
    <w:rsid w:val="00A32588"/>
    <w:rsid w:val="00A33860"/>
    <w:rsid w:val="00A34BB6"/>
    <w:rsid w:val="00A34CEB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406"/>
    <w:rsid w:val="00A3689A"/>
    <w:rsid w:val="00A36F39"/>
    <w:rsid w:val="00A37526"/>
    <w:rsid w:val="00A3777A"/>
    <w:rsid w:val="00A40D24"/>
    <w:rsid w:val="00A4133A"/>
    <w:rsid w:val="00A419CE"/>
    <w:rsid w:val="00A423C3"/>
    <w:rsid w:val="00A423CC"/>
    <w:rsid w:val="00A429F2"/>
    <w:rsid w:val="00A4482B"/>
    <w:rsid w:val="00A44F75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6E75"/>
    <w:rsid w:val="00A478AD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AE3"/>
    <w:rsid w:val="00A57CDB"/>
    <w:rsid w:val="00A6119A"/>
    <w:rsid w:val="00A6220E"/>
    <w:rsid w:val="00A6246A"/>
    <w:rsid w:val="00A62711"/>
    <w:rsid w:val="00A63167"/>
    <w:rsid w:val="00A63DB2"/>
    <w:rsid w:val="00A664C8"/>
    <w:rsid w:val="00A66869"/>
    <w:rsid w:val="00A66994"/>
    <w:rsid w:val="00A66BEC"/>
    <w:rsid w:val="00A67103"/>
    <w:rsid w:val="00A67F78"/>
    <w:rsid w:val="00A719D1"/>
    <w:rsid w:val="00A71AEE"/>
    <w:rsid w:val="00A72B22"/>
    <w:rsid w:val="00A73828"/>
    <w:rsid w:val="00A738C7"/>
    <w:rsid w:val="00A73F8B"/>
    <w:rsid w:val="00A74590"/>
    <w:rsid w:val="00A75004"/>
    <w:rsid w:val="00A76078"/>
    <w:rsid w:val="00A76BD3"/>
    <w:rsid w:val="00A80523"/>
    <w:rsid w:val="00A8105B"/>
    <w:rsid w:val="00A8196A"/>
    <w:rsid w:val="00A81A72"/>
    <w:rsid w:val="00A81DD8"/>
    <w:rsid w:val="00A82E03"/>
    <w:rsid w:val="00A84EF6"/>
    <w:rsid w:val="00A85168"/>
    <w:rsid w:val="00A85320"/>
    <w:rsid w:val="00A85322"/>
    <w:rsid w:val="00A862EE"/>
    <w:rsid w:val="00A86AE2"/>
    <w:rsid w:val="00A87A73"/>
    <w:rsid w:val="00A90070"/>
    <w:rsid w:val="00A90134"/>
    <w:rsid w:val="00A919D2"/>
    <w:rsid w:val="00A91C99"/>
    <w:rsid w:val="00A92A57"/>
    <w:rsid w:val="00A92C88"/>
    <w:rsid w:val="00A93193"/>
    <w:rsid w:val="00A94105"/>
    <w:rsid w:val="00A9414F"/>
    <w:rsid w:val="00A94444"/>
    <w:rsid w:val="00A944B7"/>
    <w:rsid w:val="00A95390"/>
    <w:rsid w:val="00A95F41"/>
    <w:rsid w:val="00A96249"/>
    <w:rsid w:val="00A965E6"/>
    <w:rsid w:val="00A96B95"/>
    <w:rsid w:val="00A975A4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576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A8"/>
    <w:rsid w:val="00AC4D78"/>
    <w:rsid w:val="00AC4E44"/>
    <w:rsid w:val="00AC5FC3"/>
    <w:rsid w:val="00AC7151"/>
    <w:rsid w:val="00AC717C"/>
    <w:rsid w:val="00AC7CE7"/>
    <w:rsid w:val="00AD02E0"/>
    <w:rsid w:val="00AD0474"/>
    <w:rsid w:val="00AD0892"/>
    <w:rsid w:val="00AD0FC1"/>
    <w:rsid w:val="00AD1B16"/>
    <w:rsid w:val="00AD1CF2"/>
    <w:rsid w:val="00AD20A3"/>
    <w:rsid w:val="00AD2612"/>
    <w:rsid w:val="00AD2C28"/>
    <w:rsid w:val="00AD308A"/>
    <w:rsid w:val="00AD314C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32A"/>
    <w:rsid w:val="00AE3B29"/>
    <w:rsid w:val="00AE3EC8"/>
    <w:rsid w:val="00AE46D2"/>
    <w:rsid w:val="00AE745C"/>
    <w:rsid w:val="00AF16EF"/>
    <w:rsid w:val="00AF2879"/>
    <w:rsid w:val="00AF29C0"/>
    <w:rsid w:val="00AF2A35"/>
    <w:rsid w:val="00AF2BEB"/>
    <w:rsid w:val="00AF39C0"/>
    <w:rsid w:val="00AF3F13"/>
    <w:rsid w:val="00AF62DF"/>
    <w:rsid w:val="00AF6471"/>
    <w:rsid w:val="00AF71DC"/>
    <w:rsid w:val="00AF7929"/>
    <w:rsid w:val="00AF7CF3"/>
    <w:rsid w:val="00AF7E83"/>
    <w:rsid w:val="00B012FF"/>
    <w:rsid w:val="00B022B2"/>
    <w:rsid w:val="00B02D66"/>
    <w:rsid w:val="00B03435"/>
    <w:rsid w:val="00B039A4"/>
    <w:rsid w:val="00B0449D"/>
    <w:rsid w:val="00B063C0"/>
    <w:rsid w:val="00B06824"/>
    <w:rsid w:val="00B10371"/>
    <w:rsid w:val="00B1225C"/>
    <w:rsid w:val="00B12463"/>
    <w:rsid w:val="00B12E31"/>
    <w:rsid w:val="00B12FFF"/>
    <w:rsid w:val="00B13932"/>
    <w:rsid w:val="00B1410C"/>
    <w:rsid w:val="00B144B8"/>
    <w:rsid w:val="00B14CA8"/>
    <w:rsid w:val="00B15B7B"/>
    <w:rsid w:val="00B16A6B"/>
    <w:rsid w:val="00B1724F"/>
    <w:rsid w:val="00B17E2D"/>
    <w:rsid w:val="00B20DEE"/>
    <w:rsid w:val="00B215A7"/>
    <w:rsid w:val="00B21B23"/>
    <w:rsid w:val="00B22227"/>
    <w:rsid w:val="00B2229B"/>
    <w:rsid w:val="00B2262C"/>
    <w:rsid w:val="00B2447D"/>
    <w:rsid w:val="00B2654F"/>
    <w:rsid w:val="00B271CF"/>
    <w:rsid w:val="00B27D61"/>
    <w:rsid w:val="00B30BC0"/>
    <w:rsid w:val="00B3132A"/>
    <w:rsid w:val="00B31F68"/>
    <w:rsid w:val="00B336D1"/>
    <w:rsid w:val="00B351C1"/>
    <w:rsid w:val="00B355D6"/>
    <w:rsid w:val="00B36D48"/>
    <w:rsid w:val="00B40133"/>
    <w:rsid w:val="00B41E7A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329A"/>
    <w:rsid w:val="00B53433"/>
    <w:rsid w:val="00B554D3"/>
    <w:rsid w:val="00B5629A"/>
    <w:rsid w:val="00B57358"/>
    <w:rsid w:val="00B57E89"/>
    <w:rsid w:val="00B600D9"/>
    <w:rsid w:val="00B603E6"/>
    <w:rsid w:val="00B62D9E"/>
    <w:rsid w:val="00B6394D"/>
    <w:rsid w:val="00B63FBA"/>
    <w:rsid w:val="00B64606"/>
    <w:rsid w:val="00B6467B"/>
    <w:rsid w:val="00B6519A"/>
    <w:rsid w:val="00B663B8"/>
    <w:rsid w:val="00B669C4"/>
    <w:rsid w:val="00B66E0F"/>
    <w:rsid w:val="00B67014"/>
    <w:rsid w:val="00B71665"/>
    <w:rsid w:val="00B71C0B"/>
    <w:rsid w:val="00B72332"/>
    <w:rsid w:val="00B72446"/>
    <w:rsid w:val="00B73D36"/>
    <w:rsid w:val="00B73FD4"/>
    <w:rsid w:val="00B74693"/>
    <w:rsid w:val="00B74947"/>
    <w:rsid w:val="00B7548F"/>
    <w:rsid w:val="00B7591E"/>
    <w:rsid w:val="00B75991"/>
    <w:rsid w:val="00B760A2"/>
    <w:rsid w:val="00B76838"/>
    <w:rsid w:val="00B77D13"/>
    <w:rsid w:val="00B801BF"/>
    <w:rsid w:val="00B80711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D36"/>
    <w:rsid w:val="00B92746"/>
    <w:rsid w:val="00B92D47"/>
    <w:rsid w:val="00B96894"/>
    <w:rsid w:val="00B969AC"/>
    <w:rsid w:val="00B9719C"/>
    <w:rsid w:val="00BA06C1"/>
    <w:rsid w:val="00BA0B65"/>
    <w:rsid w:val="00BA1E04"/>
    <w:rsid w:val="00BA1F78"/>
    <w:rsid w:val="00BA2E14"/>
    <w:rsid w:val="00BA4E3C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F6"/>
    <w:rsid w:val="00BB4C6C"/>
    <w:rsid w:val="00BB573E"/>
    <w:rsid w:val="00BB5FE7"/>
    <w:rsid w:val="00BB60B2"/>
    <w:rsid w:val="00BB68A6"/>
    <w:rsid w:val="00BB6C77"/>
    <w:rsid w:val="00BB7001"/>
    <w:rsid w:val="00BB785F"/>
    <w:rsid w:val="00BB7878"/>
    <w:rsid w:val="00BB7D3F"/>
    <w:rsid w:val="00BB7F73"/>
    <w:rsid w:val="00BC05DD"/>
    <w:rsid w:val="00BC188E"/>
    <w:rsid w:val="00BC1B61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972"/>
    <w:rsid w:val="00BD0C9A"/>
    <w:rsid w:val="00BD0F4E"/>
    <w:rsid w:val="00BD18F0"/>
    <w:rsid w:val="00BD251F"/>
    <w:rsid w:val="00BD2B67"/>
    <w:rsid w:val="00BD30D2"/>
    <w:rsid w:val="00BE1624"/>
    <w:rsid w:val="00BE20AC"/>
    <w:rsid w:val="00BE2ABD"/>
    <w:rsid w:val="00BE2E1E"/>
    <w:rsid w:val="00BE3029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6AAD"/>
    <w:rsid w:val="00BF7150"/>
    <w:rsid w:val="00BF72CE"/>
    <w:rsid w:val="00C00142"/>
    <w:rsid w:val="00C00FED"/>
    <w:rsid w:val="00C0135E"/>
    <w:rsid w:val="00C01F4F"/>
    <w:rsid w:val="00C025D3"/>
    <w:rsid w:val="00C0337D"/>
    <w:rsid w:val="00C06AB7"/>
    <w:rsid w:val="00C07170"/>
    <w:rsid w:val="00C077DA"/>
    <w:rsid w:val="00C0788A"/>
    <w:rsid w:val="00C07EBB"/>
    <w:rsid w:val="00C11266"/>
    <w:rsid w:val="00C123A0"/>
    <w:rsid w:val="00C12BC9"/>
    <w:rsid w:val="00C131FA"/>
    <w:rsid w:val="00C13F58"/>
    <w:rsid w:val="00C13F76"/>
    <w:rsid w:val="00C14571"/>
    <w:rsid w:val="00C1491F"/>
    <w:rsid w:val="00C14ED8"/>
    <w:rsid w:val="00C15137"/>
    <w:rsid w:val="00C15748"/>
    <w:rsid w:val="00C157D1"/>
    <w:rsid w:val="00C15E22"/>
    <w:rsid w:val="00C15F7A"/>
    <w:rsid w:val="00C16FE2"/>
    <w:rsid w:val="00C20050"/>
    <w:rsid w:val="00C20226"/>
    <w:rsid w:val="00C20BFE"/>
    <w:rsid w:val="00C20E5A"/>
    <w:rsid w:val="00C22E55"/>
    <w:rsid w:val="00C23729"/>
    <w:rsid w:val="00C237D7"/>
    <w:rsid w:val="00C25367"/>
    <w:rsid w:val="00C2679E"/>
    <w:rsid w:val="00C26844"/>
    <w:rsid w:val="00C26B0A"/>
    <w:rsid w:val="00C2734A"/>
    <w:rsid w:val="00C309B8"/>
    <w:rsid w:val="00C31ABA"/>
    <w:rsid w:val="00C31D0E"/>
    <w:rsid w:val="00C321B7"/>
    <w:rsid w:val="00C32335"/>
    <w:rsid w:val="00C32B54"/>
    <w:rsid w:val="00C32DED"/>
    <w:rsid w:val="00C34184"/>
    <w:rsid w:val="00C34787"/>
    <w:rsid w:val="00C34A4A"/>
    <w:rsid w:val="00C34AC1"/>
    <w:rsid w:val="00C34C00"/>
    <w:rsid w:val="00C35CAA"/>
    <w:rsid w:val="00C36610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2D"/>
    <w:rsid w:val="00C41E50"/>
    <w:rsid w:val="00C42122"/>
    <w:rsid w:val="00C427B1"/>
    <w:rsid w:val="00C42838"/>
    <w:rsid w:val="00C43371"/>
    <w:rsid w:val="00C43EA1"/>
    <w:rsid w:val="00C44313"/>
    <w:rsid w:val="00C45B6B"/>
    <w:rsid w:val="00C45B95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5D2F"/>
    <w:rsid w:val="00C565D2"/>
    <w:rsid w:val="00C56A3A"/>
    <w:rsid w:val="00C576EA"/>
    <w:rsid w:val="00C5774D"/>
    <w:rsid w:val="00C57CD2"/>
    <w:rsid w:val="00C603DE"/>
    <w:rsid w:val="00C6164F"/>
    <w:rsid w:val="00C62171"/>
    <w:rsid w:val="00C62E16"/>
    <w:rsid w:val="00C6348A"/>
    <w:rsid w:val="00C63916"/>
    <w:rsid w:val="00C63D3F"/>
    <w:rsid w:val="00C63FC1"/>
    <w:rsid w:val="00C6406C"/>
    <w:rsid w:val="00C64636"/>
    <w:rsid w:val="00C646AC"/>
    <w:rsid w:val="00C64C5D"/>
    <w:rsid w:val="00C652CE"/>
    <w:rsid w:val="00C6630B"/>
    <w:rsid w:val="00C663B6"/>
    <w:rsid w:val="00C672D1"/>
    <w:rsid w:val="00C701AF"/>
    <w:rsid w:val="00C7054F"/>
    <w:rsid w:val="00C70D2D"/>
    <w:rsid w:val="00C72651"/>
    <w:rsid w:val="00C72C89"/>
    <w:rsid w:val="00C73B10"/>
    <w:rsid w:val="00C74B05"/>
    <w:rsid w:val="00C75A66"/>
    <w:rsid w:val="00C75F0D"/>
    <w:rsid w:val="00C75F73"/>
    <w:rsid w:val="00C7630E"/>
    <w:rsid w:val="00C77503"/>
    <w:rsid w:val="00C80520"/>
    <w:rsid w:val="00C80EF3"/>
    <w:rsid w:val="00C81007"/>
    <w:rsid w:val="00C810AD"/>
    <w:rsid w:val="00C83BDD"/>
    <w:rsid w:val="00C83E8F"/>
    <w:rsid w:val="00C84A12"/>
    <w:rsid w:val="00C84D6D"/>
    <w:rsid w:val="00C84E32"/>
    <w:rsid w:val="00C85EA2"/>
    <w:rsid w:val="00C86D6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C39"/>
    <w:rsid w:val="00C961DD"/>
    <w:rsid w:val="00C9626E"/>
    <w:rsid w:val="00C97975"/>
    <w:rsid w:val="00CA1C2A"/>
    <w:rsid w:val="00CA211C"/>
    <w:rsid w:val="00CA2C46"/>
    <w:rsid w:val="00CA2DC5"/>
    <w:rsid w:val="00CA3070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5D4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16C7"/>
    <w:rsid w:val="00CC199B"/>
    <w:rsid w:val="00CC2AAE"/>
    <w:rsid w:val="00CC504A"/>
    <w:rsid w:val="00CC51BF"/>
    <w:rsid w:val="00CC53C4"/>
    <w:rsid w:val="00CC577F"/>
    <w:rsid w:val="00CC5A14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3C0D"/>
    <w:rsid w:val="00CE4165"/>
    <w:rsid w:val="00CE518B"/>
    <w:rsid w:val="00CE69B5"/>
    <w:rsid w:val="00CE6CFC"/>
    <w:rsid w:val="00CE7444"/>
    <w:rsid w:val="00CF0291"/>
    <w:rsid w:val="00CF0D75"/>
    <w:rsid w:val="00CF15D8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D00156"/>
    <w:rsid w:val="00D004D6"/>
    <w:rsid w:val="00D0057C"/>
    <w:rsid w:val="00D00D24"/>
    <w:rsid w:val="00D0131E"/>
    <w:rsid w:val="00D01C27"/>
    <w:rsid w:val="00D01E6B"/>
    <w:rsid w:val="00D02C61"/>
    <w:rsid w:val="00D0344E"/>
    <w:rsid w:val="00D0409E"/>
    <w:rsid w:val="00D04EE0"/>
    <w:rsid w:val="00D050C1"/>
    <w:rsid w:val="00D05BDB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43"/>
    <w:rsid w:val="00D21899"/>
    <w:rsid w:val="00D222E7"/>
    <w:rsid w:val="00D2271A"/>
    <w:rsid w:val="00D253F6"/>
    <w:rsid w:val="00D259D6"/>
    <w:rsid w:val="00D26913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81"/>
    <w:rsid w:val="00D34827"/>
    <w:rsid w:val="00D35983"/>
    <w:rsid w:val="00D3631D"/>
    <w:rsid w:val="00D36486"/>
    <w:rsid w:val="00D3717C"/>
    <w:rsid w:val="00D4058D"/>
    <w:rsid w:val="00D40A23"/>
    <w:rsid w:val="00D41AE3"/>
    <w:rsid w:val="00D4336D"/>
    <w:rsid w:val="00D44ED9"/>
    <w:rsid w:val="00D45256"/>
    <w:rsid w:val="00D47D6A"/>
    <w:rsid w:val="00D501DA"/>
    <w:rsid w:val="00D506A3"/>
    <w:rsid w:val="00D50FD4"/>
    <w:rsid w:val="00D51C00"/>
    <w:rsid w:val="00D51E0A"/>
    <w:rsid w:val="00D524A2"/>
    <w:rsid w:val="00D526DB"/>
    <w:rsid w:val="00D527AF"/>
    <w:rsid w:val="00D52AB9"/>
    <w:rsid w:val="00D52F3D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D95"/>
    <w:rsid w:val="00D710FD"/>
    <w:rsid w:val="00D71690"/>
    <w:rsid w:val="00D719A0"/>
    <w:rsid w:val="00D733AC"/>
    <w:rsid w:val="00D736AA"/>
    <w:rsid w:val="00D737CD"/>
    <w:rsid w:val="00D73AA8"/>
    <w:rsid w:val="00D75F50"/>
    <w:rsid w:val="00D765A3"/>
    <w:rsid w:val="00D76A94"/>
    <w:rsid w:val="00D7718A"/>
    <w:rsid w:val="00D778E1"/>
    <w:rsid w:val="00D77F3E"/>
    <w:rsid w:val="00D800B5"/>
    <w:rsid w:val="00D8039D"/>
    <w:rsid w:val="00D803C1"/>
    <w:rsid w:val="00D80FC5"/>
    <w:rsid w:val="00D834E8"/>
    <w:rsid w:val="00D848EE"/>
    <w:rsid w:val="00D85C94"/>
    <w:rsid w:val="00D85F1E"/>
    <w:rsid w:val="00D8651E"/>
    <w:rsid w:val="00D90631"/>
    <w:rsid w:val="00D90D26"/>
    <w:rsid w:val="00D91904"/>
    <w:rsid w:val="00D928AF"/>
    <w:rsid w:val="00D92C91"/>
    <w:rsid w:val="00D943CE"/>
    <w:rsid w:val="00D94466"/>
    <w:rsid w:val="00D96335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6330"/>
    <w:rsid w:val="00DB00DC"/>
    <w:rsid w:val="00DB0D61"/>
    <w:rsid w:val="00DB2D7B"/>
    <w:rsid w:val="00DB2EE2"/>
    <w:rsid w:val="00DB3E5E"/>
    <w:rsid w:val="00DB3ED2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C5D"/>
    <w:rsid w:val="00DC006E"/>
    <w:rsid w:val="00DC0241"/>
    <w:rsid w:val="00DC04AD"/>
    <w:rsid w:val="00DC1184"/>
    <w:rsid w:val="00DC19DD"/>
    <w:rsid w:val="00DC3690"/>
    <w:rsid w:val="00DC3FF1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016"/>
    <w:rsid w:val="00DD1A3B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4B55"/>
    <w:rsid w:val="00DE587D"/>
    <w:rsid w:val="00DE63E8"/>
    <w:rsid w:val="00DE7609"/>
    <w:rsid w:val="00DF1409"/>
    <w:rsid w:val="00DF1C86"/>
    <w:rsid w:val="00DF1ED1"/>
    <w:rsid w:val="00DF228E"/>
    <w:rsid w:val="00DF2695"/>
    <w:rsid w:val="00DF27B1"/>
    <w:rsid w:val="00DF2AA3"/>
    <w:rsid w:val="00DF2C31"/>
    <w:rsid w:val="00DF3850"/>
    <w:rsid w:val="00DF4F9D"/>
    <w:rsid w:val="00DF5B2A"/>
    <w:rsid w:val="00DF698C"/>
    <w:rsid w:val="00DF6B9D"/>
    <w:rsid w:val="00DF7783"/>
    <w:rsid w:val="00E00EA3"/>
    <w:rsid w:val="00E00EAA"/>
    <w:rsid w:val="00E00F3A"/>
    <w:rsid w:val="00E01B04"/>
    <w:rsid w:val="00E01F45"/>
    <w:rsid w:val="00E0269D"/>
    <w:rsid w:val="00E0276A"/>
    <w:rsid w:val="00E02E82"/>
    <w:rsid w:val="00E03367"/>
    <w:rsid w:val="00E03F48"/>
    <w:rsid w:val="00E04E50"/>
    <w:rsid w:val="00E0598B"/>
    <w:rsid w:val="00E05C49"/>
    <w:rsid w:val="00E06824"/>
    <w:rsid w:val="00E06855"/>
    <w:rsid w:val="00E0706D"/>
    <w:rsid w:val="00E072B7"/>
    <w:rsid w:val="00E074E4"/>
    <w:rsid w:val="00E07C08"/>
    <w:rsid w:val="00E10677"/>
    <w:rsid w:val="00E11F76"/>
    <w:rsid w:val="00E1390E"/>
    <w:rsid w:val="00E139E6"/>
    <w:rsid w:val="00E143F2"/>
    <w:rsid w:val="00E146CB"/>
    <w:rsid w:val="00E1484A"/>
    <w:rsid w:val="00E14901"/>
    <w:rsid w:val="00E157D0"/>
    <w:rsid w:val="00E16763"/>
    <w:rsid w:val="00E17454"/>
    <w:rsid w:val="00E20800"/>
    <w:rsid w:val="00E2133B"/>
    <w:rsid w:val="00E21DD8"/>
    <w:rsid w:val="00E22571"/>
    <w:rsid w:val="00E2307A"/>
    <w:rsid w:val="00E2362B"/>
    <w:rsid w:val="00E237D9"/>
    <w:rsid w:val="00E249A9"/>
    <w:rsid w:val="00E25472"/>
    <w:rsid w:val="00E27740"/>
    <w:rsid w:val="00E27F19"/>
    <w:rsid w:val="00E30184"/>
    <w:rsid w:val="00E301CE"/>
    <w:rsid w:val="00E3083C"/>
    <w:rsid w:val="00E30F05"/>
    <w:rsid w:val="00E31062"/>
    <w:rsid w:val="00E313FC"/>
    <w:rsid w:val="00E318AD"/>
    <w:rsid w:val="00E32169"/>
    <w:rsid w:val="00E32881"/>
    <w:rsid w:val="00E328B1"/>
    <w:rsid w:val="00E33A62"/>
    <w:rsid w:val="00E34692"/>
    <w:rsid w:val="00E34A15"/>
    <w:rsid w:val="00E35767"/>
    <w:rsid w:val="00E35972"/>
    <w:rsid w:val="00E35BCC"/>
    <w:rsid w:val="00E36E18"/>
    <w:rsid w:val="00E37149"/>
    <w:rsid w:val="00E37A47"/>
    <w:rsid w:val="00E40915"/>
    <w:rsid w:val="00E41355"/>
    <w:rsid w:val="00E42290"/>
    <w:rsid w:val="00E42CCB"/>
    <w:rsid w:val="00E43D7A"/>
    <w:rsid w:val="00E44BCC"/>
    <w:rsid w:val="00E44FC4"/>
    <w:rsid w:val="00E453FC"/>
    <w:rsid w:val="00E456CD"/>
    <w:rsid w:val="00E461A4"/>
    <w:rsid w:val="00E46823"/>
    <w:rsid w:val="00E4745C"/>
    <w:rsid w:val="00E474C1"/>
    <w:rsid w:val="00E50BCF"/>
    <w:rsid w:val="00E51282"/>
    <w:rsid w:val="00E523EF"/>
    <w:rsid w:val="00E527EE"/>
    <w:rsid w:val="00E53239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6286"/>
    <w:rsid w:val="00E671BD"/>
    <w:rsid w:val="00E70D2B"/>
    <w:rsid w:val="00E72541"/>
    <w:rsid w:val="00E72808"/>
    <w:rsid w:val="00E72ABE"/>
    <w:rsid w:val="00E72F93"/>
    <w:rsid w:val="00E734B7"/>
    <w:rsid w:val="00E73E27"/>
    <w:rsid w:val="00E740C2"/>
    <w:rsid w:val="00E75796"/>
    <w:rsid w:val="00E75F1B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7A9"/>
    <w:rsid w:val="00E86C6C"/>
    <w:rsid w:val="00E86FF2"/>
    <w:rsid w:val="00E8761C"/>
    <w:rsid w:val="00E876BD"/>
    <w:rsid w:val="00E87BA7"/>
    <w:rsid w:val="00E901F6"/>
    <w:rsid w:val="00E9031B"/>
    <w:rsid w:val="00E9050A"/>
    <w:rsid w:val="00E90903"/>
    <w:rsid w:val="00E90B13"/>
    <w:rsid w:val="00E9108B"/>
    <w:rsid w:val="00E91311"/>
    <w:rsid w:val="00E91ED3"/>
    <w:rsid w:val="00E92380"/>
    <w:rsid w:val="00E95A95"/>
    <w:rsid w:val="00E95F4E"/>
    <w:rsid w:val="00E979C0"/>
    <w:rsid w:val="00EA0BE5"/>
    <w:rsid w:val="00EA1B4B"/>
    <w:rsid w:val="00EA1B59"/>
    <w:rsid w:val="00EA262B"/>
    <w:rsid w:val="00EA2D02"/>
    <w:rsid w:val="00EA2FB5"/>
    <w:rsid w:val="00EA36C4"/>
    <w:rsid w:val="00EA43D5"/>
    <w:rsid w:val="00EA5738"/>
    <w:rsid w:val="00EA5E4B"/>
    <w:rsid w:val="00EA60A7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7CD3"/>
    <w:rsid w:val="00EB7CD9"/>
    <w:rsid w:val="00EC0C1D"/>
    <w:rsid w:val="00EC0D33"/>
    <w:rsid w:val="00EC1003"/>
    <w:rsid w:val="00EC128A"/>
    <w:rsid w:val="00EC2A70"/>
    <w:rsid w:val="00EC3691"/>
    <w:rsid w:val="00EC3842"/>
    <w:rsid w:val="00EC3B14"/>
    <w:rsid w:val="00EC4680"/>
    <w:rsid w:val="00EC6854"/>
    <w:rsid w:val="00EC70BD"/>
    <w:rsid w:val="00ED05BC"/>
    <w:rsid w:val="00ED0E4C"/>
    <w:rsid w:val="00ED19D2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E0167"/>
    <w:rsid w:val="00EE0860"/>
    <w:rsid w:val="00EE096D"/>
    <w:rsid w:val="00EE0F98"/>
    <w:rsid w:val="00EE2019"/>
    <w:rsid w:val="00EE219A"/>
    <w:rsid w:val="00EE2426"/>
    <w:rsid w:val="00EE30BF"/>
    <w:rsid w:val="00EE337A"/>
    <w:rsid w:val="00EE400A"/>
    <w:rsid w:val="00EE4F3A"/>
    <w:rsid w:val="00EE5F9C"/>
    <w:rsid w:val="00EE725A"/>
    <w:rsid w:val="00EE7773"/>
    <w:rsid w:val="00EF0EF4"/>
    <w:rsid w:val="00EF10E3"/>
    <w:rsid w:val="00EF282D"/>
    <w:rsid w:val="00EF3CD5"/>
    <w:rsid w:val="00EF3CFD"/>
    <w:rsid w:val="00EF4511"/>
    <w:rsid w:val="00EF490F"/>
    <w:rsid w:val="00EF5EA4"/>
    <w:rsid w:val="00EF668F"/>
    <w:rsid w:val="00EF6766"/>
    <w:rsid w:val="00EF6D1A"/>
    <w:rsid w:val="00EF737D"/>
    <w:rsid w:val="00EF7691"/>
    <w:rsid w:val="00EF7D63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53FC"/>
    <w:rsid w:val="00F05610"/>
    <w:rsid w:val="00F05776"/>
    <w:rsid w:val="00F061DD"/>
    <w:rsid w:val="00F063AE"/>
    <w:rsid w:val="00F064DC"/>
    <w:rsid w:val="00F076BD"/>
    <w:rsid w:val="00F07EA0"/>
    <w:rsid w:val="00F10750"/>
    <w:rsid w:val="00F10EBC"/>
    <w:rsid w:val="00F1178A"/>
    <w:rsid w:val="00F11F0D"/>
    <w:rsid w:val="00F1270D"/>
    <w:rsid w:val="00F13923"/>
    <w:rsid w:val="00F13EE1"/>
    <w:rsid w:val="00F1493B"/>
    <w:rsid w:val="00F16281"/>
    <w:rsid w:val="00F166B1"/>
    <w:rsid w:val="00F16D4D"/>
    <w:rsid w:val="00F16DB0"/>
    <w:rsid w:val="00F176FB"/>
    <w:rsid w:val="00F17E2E"/>
    <w:rsid w:val="00F20B19"/>
    <w:rsid w:val="00F21847"/>
    <w:rsid w:val="00F21D60"/>
    <w:rsid w:val="00F21F03"/>
    <w:rsid w:val="00F22301"/>
    <w:rsid w:val="00F225BD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45C4"/>
    <w:rsid w:val="00F351EA"/>
    <w:rsid w:val="00F35863"/>
    <w:rsid w:val="00F36375"/>
    <w:rsid w:val="00F37361"/>
    <w:rsid w:val="00F37681"/>
    <w:rsid w:val="00F37E59"/>
    <w:rsid w:val="00F37F75"/>
    <w:rsid w:val="00F40003"/>
    <w:rsid w:val="00F409E5"/>
    <w:rsid w:val="00F41321"/>
    <w:rsid w:val="00F4195C"/>
    <w:rsid w:val="00F41ABF"/>
    <w:rsid w:val="00F42E77"/>
    <w:rsid w:val="00F43051"/>
    <w:rsid w:val="00F44108"/>
    <w:rsid w:val="00F44671"/>
    <w:rsid w:val="00F45FFE"/>
    <w:rsid w:val="00F4794F"/>
    <w:rsid w:val="00F500C1"/>
    <w:rsid w:val="00F52077"/>
    <w:rsid w:val="00F52271"/>
    <w:rsid w:val="00F522C9"/>
    <w:rsid w:val="00F52987"/>
    <w:rsid w:val="00F54342"/>
    <w:rsid w:val="00F54BF8"/>
    <w:rsid w:val="00F54EEB"/>
    <w:rsid w:val="00F550CB"/>
    <w:rsid w:val="00F55573"/>
    <w:rsid w:val="00F55921"/>
    <w:rsid w:val="00F55DC8"/>
    <w:rsid w:val="00F5720E"/>
    <w:rsid w:val="00F5737B"/>
    <w:rsid w:val="00F61509"/>
    <w:rsid w:val="00F619FF"/>
    <w:rsid w:val="00F63463"/>
    <w:rsid w:val="00F6365F"/>
    <w:rsid w:val="00F63D6B"/>
    <w:rsid w:val="00F65299"/>
    <w:rsid w:val="00F653CD"/>
    <w:rsid w:val="00F656E0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6F4"/>
    <w:rsid w:val="00F72EE3"/>
    <w:rsid w:val="00F737D1"/>
    <w:rsid w:val="00F737F3"/>
    <w:rsid w:val="00F73FC6"/>
    <w:rsid w:val="00F74097"/>
    <w:rsid w:val="00F743B0"/>
    <w:rsid w:val="00F76762"/>
    <w:rsid w:val="00F80192"/>
    <w:rsid w:val="00F8076B"/>
    <w:rsid w:val="00F8107E"/>
    <w:rsid w:val="00F81AF7"/>
    <w:rsid w:val="00F81F17"/>
    <w:rsid w:val="00F8261B"/>
    <w:rsid w:val="00F8295C"/>
    <w:rsid w:val="00F82B84"/>
    <w:rsid w:val="00F8300B"/>
    <w:rsid w:val="00F838C5"/>
    <w:rsid w:val="00F83B3C"/>
    <w:rsid w:val="00F84966"/>
    <w:rsid w:val="00F84CEA"/>
    <w:rsid w:val="00F86085"/>
    <w:rsid w:val="00F8680A"/>
    <w:rsid w:val="00F872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4BEB"/>
    <w:rsid w:val="00F967FC"/>
    <w:rsid w:val="00F96C7B"/>
    <w:rsid w:val="00F96E71"/>
    <w:rsid w:val="00FA053C"/>
    <w:rsid w:val="00FA0AE5"/>
    <w:rsid w:val="00FA1BE2"/>
    <w:rsid w:val="00FA2AA4"/>
    <w:rsid w:val="00FA3278"/>
    <w:rsid w:val="00FA3780"/>
    <w:rsid w:val="00FA3E67"/>
    <w:rsid w:val="00FA739B"/>
    <w:rsid w:val="00FB03D2"/>
    <w:rsid w:val="00FB0828"/>
    <w:rsid w:val="00FB33C7"/>
    <w:rsid w:val="00FB33D1"/>
    <w:rsid w:val="00FB3CC6"/>
    <w:rsid w:val="00FB3D41"/>
    <w:rsid w:val="00FB42E2"/>
    <w:rsid w:val="00FB495F"/>
    <w:rsid w:val="00FB54D1"/>
    <w:rsid w:val="00FB55B2"/>
    <w:rsid w:val="00FB6971"/>
    <w:rsid w:val="00FB6B92"/>
    <w:rsid w:val="00FB73F7"/>
    <w:rsid w:val="00FC02E2"/>
    <w:rsid w:val="00FC1555"/>
    <w:rsid w:val="00FC1EDA"/>
    <w:rsid w:val="00FC1FCF"/>
    <w:rsid w:val="00FC2E1D"/>
    <w:rsid w:val="00FC39C8"/>
    <w:rsid w:val="00FC3AFD"/>
    <w:rsid w:val="00FC4259"/>
    <w:rsid w:val="00FC4C8A"/>
    <w:rsid w:val="00FC6E75"/>
    <w:rsid w:val="00FD004E"/>
    <w:rsid w:val="00FD0116"/>
    <w:rsid w:val="00FD0297"/>
    <w:rsid w:val="00FD06B2"/>
    <w:rsid w:val="00FD0AB9"/>
    <w:rsid w:val="00FD1B17"/>
    <w:rsid w:val="00FD1DE9"/>
    <w:rsid w:val="00FD2C51"/>
    <w:rsid w:val="00FD2F04"/>
    <w:rsid w:val="00FD40CE"/>
    <w:rsid w:val="00FD41E4"/>
    <w:rsid w:val="00FD4282"/>
    <w:rsid w:val="00FD6D73"/>
    <w:rsid w:val="00FE0243"/>
    <w:rsid w:val="00FE040C"/>
    <w:rsid w:val="00FE097A"/>
    <w:rsid w:val="00FE138A"/>
    <w:rsid w:val="00FE28DC"/>
    <w:rsid w:val="00FE337F"/>
    <w:rsid w:val="00FE3405"/>
    <w:rsid w:val="00FE4291"/>
    <w:rsid w:val="00FE4F88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068D"/>
    <w:rsid w:val="00FF13A2"/>
    <w:rsid w:val="00FF1463"/>
    <w:rsid w:val="00FF1471"/>
    <w:rsid w:val="00FF2790"/>
    <w:rsid w:val="00FF2BA5"/>
    <w:rsid w:val="00FF2D0B"/>
    <w:rsid w:val="00FF390E"/>
    <w:rsid w:val="00FF3DED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Radovan\Aluminium%20u%20USD%20i%20&#836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My%20Documents\Dropbox\MINISTARSTVO%20FINANSIJA\SEP\02_MMI\MMI_2015%2004\mmi%202015-0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na.obradovic\Dropbox\MINISTARSTVO%20FINANSIJA\SEP\02_MMI\MMI_2015%2004\mmi%202015-0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pravci%20razvoja\Podaci%20CBCG%20koji_se_dostavljaju_Savjetu%20za%20finansijsku%20stabilnost%20mart_2015%20-%20za%20MF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5%20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b="1"/>
            </a:pPr>
            <a:r>
              <a:rPr lang="en-US" sz="1000" b="1"/>
              <a:t>Aluminium</a:t>
            </a:r>
          </a:p>
        </c:rich>
      </c:tx>
      <c:layout>
        <c:manualLayout>
          <c:xMode val="edge"/>
          <c:yMode val="edge"/>
          <c:x val="0.46645743727598582"/>
          <c:y val="4.7834274952919913E-2"/>
        </c:manualLayout>
      </c:layout>
      <c:overlay val="1"/>
    </c:title>
    <c:plotArea>
      <c:layout>
        <c:manualLayout>
          <c:layoutTarget val="inner"/>
          <c:xMode val="edge"/>
          <c:yMode val="edge"/>
          <c:x val="0.22208870967741981"/>
          <c:y val="5.7066993464052564E-2"/>
          <c:w val="0.75515143369176418"/>
          <c:h val="0.66105178907721251"/>
        </c:manualLayout>
      </c:layout>
      <c:lineChart>
        <c:grouping val="standard"/>
        <c:ser>
          <c:idx val="0"/>
          <c:order val="0"/>
          <c:tx>
            <c:v>Al T/USD</c:v>
          </c:tx>
          <c:marker>
            <c:symbol val="none"/>
          </c:marker>
          <c:cat>
            <c:numRef>
              <c:f>Sheet1!$B$3:$B$63</c:f>
              <c:numCache>
                <c:formatCode>mmm/yy</c:formatCode>
                <c:ptCount val="61"/>
                <c:pt idx="0">
                  <c:v>40238</c:v>
                </c:pt>
                <c:pt idx="1">
                  <c:v>40269</c:v>
                </c:pt>
                <c:pt idx="2">
                  <c:v>40299</c:v>
                </c:pt>
                <c:pt idx="3">
                  <c:v>40330</c:v>
                </c:pt>
                <c:pt idx="4">
                  <c:v>40360</c:v>
                </c:pt>
                <c:pt idx="5">
                  <c:v>40391</c:v>
                </c:pt>
                <c:pt idx="6">
                  <c:v>40422</c:v>
                </c:pt>
                <c:pt idx="7">
                  <c:v>40452</c:v>
                </c:pt>
                <c:pt idx="8">
                  <c:v>40483</c:v>
                </c:pt>
                <c:pt idx="9">
                  <c:v>40513</c:v>
                </c:pt>
                <c:pt idx="10">
                  <c:v>40544</c:v>
                </c:pt>
                <c:pt idx="11">
                  <c:v>40575</c:v>
                </c:pt>
                <c:pt idx="12">
                  <c:v>40603</c:v>
                </c:pt>
                <c:pt idx="13">
                  <c:v>40634</c:v>
                </c:pt>
                <c:pt idx="14">
                  <c:v>40664</c:v>
                </c:pt>
                <c:pt idx="15">
                  <c:v>40695</c:v>
                </c:pt>
                <c:pt idx="16">
                  <c:v>40725</c:v>
                </c:pt>
                <c:pt idx="17">
                  <c:v>40756</c:v>
                </c:pt>
                <c:pt idx="18">
                  <c:v>40787</c:v>
                </c:pt>
                <c:pt idx="19">
                  <c:v>40817</c:v>
                </c:pt>
                <c:pt idx="20">
                  <c:v>40848</c:v>
                </c:pt>
                <c:pt idx="21">
                  <c:v>40878</c:v>
                </c:pt>
                <c:pt idx="22">
                  <c:v>40909</c:v>
                </c:pt>
                <c:pt idx="23">
                  <c:v>40940</c:v>
                </c:pt>
                <c:pt idx="24">
                  <c:v>40969</c:v>
                </c:pt>
                <c:pt idx="25">
                  <c:v>41000</c:v>
                </c:pt>
                <c:pt idx="26">
                  <c:v>41030</c:v>
                </c:pt>
                <c:pt idx="27">
                  <c:v>41061</c:v>
                </c:pt>
                <c:pt idx="28">
                  <c:v>41091</c:v>
                </c:pt>
                <c:pt idx="29">
                  <c:v>41122</c:v>
                </c:pt>
                <c:pt idx="30">
                  <c:v>41153</c:v>
                </c:pt>
                <c:pt idx="31">
                  <c:v>41183</c:v>
                </c:pt>
                <c:pt idx="32">
                  <c:v>41214</c:v>
                </c:pt>
                <c:pt idx="33">
                  <c:v>41244</c:v>
                </c:pt>
                <c:pt idx="34">
                  <c:v>41275</c:v>
                </c:pt>
                <c:pt idx="35">
                  <c:v>41306</c:v>
                </c:pt>
                <c:pt idx="36">
                  <c:v>41334</c:v>
                </c:pt>
                <c:pt idx="37">
                  <c:v>41365</c:v>
                </c:pt>
                <c:pt idx="38">
                  <c:v>41395</c:v>
                </c:pt>
                <c:pt idx="39">
                  <c:v>41426</c:v>
                </c:pt>
                <c:pt idx="40">
                  <c:v>41456</c:v>
                </c:pt>
                <c:pt idx="41">
                  <c:v>41487</c:v>
                </c:pt>
                <c:pt idx="42">
                  <c:v>41518</c:v>
                </c:pt>
                <c:pt idx="43">
                  <c:v>41548</c:v>
                </c:pt>
                <c:pt idx="44">
                  <c:v>41579</c:v>
                </c:pt>
                <c:pt idx="45">
                  <c:v>41609</c:v>
                </c:pt>
                <c:pt idx="46">
                  <c:v>41640</c:v>
                </c:pt>
                <c:pt idx="47">
                  <c:v>41671</c:v>
                </c:pt>
                <c:pt idx="48">
                  <c:v>41699</c:v>
                </c:pt>
                <c:pt idx="49">
                  <c:v>41730</c:v>
                </c:pt>
                <c:pt idx="50">
                  <c:v>41760</c:v>
                </c:pt>
                <c:pt idx="51">
                  <c:v>41791</c:v>
                </c:pt>
                <c:pt idx="52">
                  <c:v>41821</c:v>
                </c:pt>
                <c:pt idx="53">
                  <c:v>41852</c:v>
                </c:pt>
                <c:pt idx="54">
                  <c:v>41883</c:v>
                </c:pt>
                <c:pt idx="55">
                  <c:v>41913</c:v>
                </c:pt>
                <c:pt idx="56">
                  <c:v>41944</c:v>
                </c:pt>
                <c:pt idx="57">
                  <c:v>41974</c:v>
                </c:pt>
                <c:pt idx="58">
                  <c:v>42005</c:v>
                </c:pt>
                <c:pt idx="59">
                  <c:v>42036</c:v>
                </c:pt>
                <c:pt idx="60">
                  <c:v>42064</c:v>
                </c:pt>
              </c:numCache>
            </c:numRef>
          </c:cat>
          <c:val>
            <c:numRef>
              <c:f>Sheet1!$C$3:$C$63</c:f>
              <c:numCache>
                <c:formatCode>#,##0.00</c:formatCode>
                <c:ptCount val="61"/>
                <c:pt idx="0">
                  <c:v>2210.5500000000002</c:v>
                </c:pt>
                <c:pt idx="1">
                  <c:v>2314.3100000000022</c:v>
                </c:pt>
                <c:pt idx="2">
                  <c:v>2044.73</c:v>
                </c:pt>
                <c:pt idx="3">
                  <c:v>1929.41</c:v>
                </c:pt>
                <c:pt idx="4">
                  <c:v>1989.05</c:v>
                </c:pt>
                <c:pt idx="5">
                  <c:v>2110.44</c:v>
                </c:pt>
                <c:pt idx="6">
                  <c:v>2171.2399999999998</c:v>
                </c:pt>
                <c:pt idx="7">
                  <c:v>2342.1799999999998</c:v>
                </c:pt>
                <c:pt idx="8">
                  <c:v>2324.0500000000002</c:v>
                </c:pt>
                <c:pt idx="9">
                  <c:v>2356.67</c:v>
                </c:pt>
                <c:pt idx="10">
                  <c:v>2439.6999999999998</c:v>
                </c:pt>
                <c:pt idx="11">
                  <c:v>2515.2599999999998</c:v>
                </c:pt>
                <c:pt idx="12">
                  <c:v>2555.5</c:v>
                </c:pt>
                <c:pt idx="13">
                  <c:v>2667.42</c:v>
                </c:pt>
                <c:pt idx="14">
                  <c:v>2587.21</c:v>
                </c:pt>
                <c:pt idx="15">
                  <c:v>2557.7599999999998</c:v>
                </c:pt>
                <c:pt idx="16">
                  <c:v>2525.4299999999998</c:v>
                </c:pt>
                <c:pt idx="17">
                  <c:v>2380.98</c:v>
                </c:pt>
                <c:pt idx="18">
                  <c:v>2293.46</c:v>
                </c:pt>
                <c:pt idx="19">
                  <c:v>2180.65</c:v>
                </c:pt>
                <c:pt idx="20">
                  <c:v>2079.98</c:v>
                </c:pt>
                <c:pt idx="21">
                  <c:v>2024.3799999999999</c:v>
                </c:pt>
                <c:pt idx="22">
                  <c:v>2151.3300000000022</c:v>
                </c:pt>
                <c:pt idx="23">
                  <c:v>2207.92</c:v>
                </c:pt>
                <c:pt idx="24">
                  <c:v>2184.16</c:v>
                </c:pt>
                <c:pt idx="25">
                  <c:v>2048.5100000000002</c:v>
                </c:pt>
                <c:pt idx="26">
                  <c:v>2002.52</c:v>
                </c:pt>
                <c:pt idx="27">
                  <c:v>1885.51</c:v>
                </c:pt>
                <c:pt idx="28">
                  <c:v>1876.25</c:v>
                </c:pt>
                <c:pt idx="29">
                  <c:v>1843.33</c:v>
                </c:pt>
                <c:pt idx="30">
                  <c:v>2064.12</c:v>
                </c:pt>
                <c:pt idx="31">
                  <c:v>1974.3</c:v>
                </c:pt>
                <c:pt idx="32">
                  <c:v>1948.83</c:v>
                </c:pt>
                <c:pt idx="33">
                  <c:v>2086.7599999999998</c:v>
                </c:pt>
                <c:pt idx="34">
                  <c:v>2037.61</c:v>
                </c:pt>
                <c:pt idx="35">
                  <c:v>2053.6</c:v>
                </c:pt>
                <c:pt idx="36">
                  <c:v>1911.28</c:v>
                </c:pt>
                <c:pt idx="37">
                  <c:v>1861.02</c:v>
                </c:pt>
                <c:pt idx="38">
                  <c:v>1832.57</c:v>
                </c:pt>
                <c:pt idx="39">
                  <c:v>1814.54</c:v>
                </c:pt>
                <c:pt idx="40">
                  <c:v>1769.61</c:v>
                </c:pt>
                <c:pt idx="41">
                  <c:v>1816.24</c:v>
                </c:pt>
                <c:pt idx="42">
                  <c:v>1761.3</c:v>
                </c:pt>
                <c:pt idx="43">
                  <c:v>1814.58</c:v>
                </c:pt>
                <c:pt idx="44">
                  <c:v>1747.96</c:v>
                </c:pt>
                <c:pt idx="45">
                  <c:v>1739.81</c:v>
                </c:pt>
                <c:pt idx="46">
                  <c:v>1727.41</c:v>
                </c:pt>
                <c:pt idx="47">
                  <c:v>1695.1699999999998</c:v>
                </c:pt>
                <c:pt idx="48">
                  <c:v>1705.37</c:v>
                </c:pt>
                <c:pt idx="49">
                  <c:v>1810.6799999999998</c:v>
                </c:pt>
                <c:pt idx="50">
                  <c:v>1751.05</c:v>
                </c:pt>
                <c:pt idx="51">
                  <c:v>1838.95</c:v>
                </c:pt>
                <c:pt idx="52">
                  <c:v>1948.3</c:v>
                </c:pt>
                <c:pt idx="53">
                  <c:v>2030.49</c:v>
                </c:pt>
                <c:pt idx="54">
                  <c:v>1990.43</c:v>
                </c:pt>
                <c:pt idx="55">
                  <c:v>1946.1899999999998</c:v>
                </c:pt>
                <c:pt idx="56">
                  <c:v>2055.56</c:v>
                </c:pt>
                <c:pt idx="57">
                  <c:v>1909.46</c:v>
                </c:pt>
                <c:pt idx="58">
                  <c:v>1814.72</c:v>
                </c:pt>
                <c:pt idx="59">
                  <c:v>1817.82</c:v>
                </c:pt>
                <c:pt idx="60">
                  <c:v>1773.86</c:v>
                </c:pt>
              </c:numCache>
            </c:numRef>
          </c:val>
        </c:ser>
        <c:ser>
          <c:idx val="1"/>
          <c:order val="1"/>
          <c:tx>
            <c:v>AL T/EUR</c:v>
          </c:tx>
          <c:spPr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marker>
            <c:symbol val="none"/>
          </c:marker>
          <c:val>
            <c:numRef>
              <c:f>Sheet1!$F$3:$F$63</c:f>
              <c:numCache>
                <c:formatCode>General</c:formatCode>
                <c:ptCount val="61"/>
                <c:pt idx="0">
                  <c:v>1627.86007275</c:v>
                </c:pt>
                <c:pt idx="1">
                  <c:v>1721.6499236499999</c:v>
                </c:pt>
                <c:pt idx="2">
                  <c:v>1620.9597075000001</c:v>
                </c:pt>
                <c:pt idx="3">
                  <c:v>1579.7333786499998</c:v>
                </c:pt>
                <c:pt idx="4">
                  <c:v>1559.4848167499999</c:v>
                </c:pt>
                <c:pt idx="5">
                  <c:v>1634.6518541999999</c:v>
                </c:pt>
                <c:pt idx="6">
                  <c:v>1666.9477976000107</c:v>
                </c:pt>
                <c:pt idx="7">
                  <c:v>1685.7255005000011</c:v>
                </c:pt>
                <c:pt idx="8">
                  <c:v>1697.3931579999999</c:v>
                </c:pt>
                <c:pt idx="9">
                  <c:v>1783.3864558</c:v>
                </c:pt>
                <c:pt idx="10">
                  <c:v>1827.4084910000001</c:v>
                </c:pt>
                <c:pt idx="11">
                  <c:v>1843.1196464999998</c:v>
                </c:pt>
                <c:pt idx="12">
                  <c:v>1825.1764324999888</c:v>
                </c:pt>
                <c:pt idx="13">
                  <c:v>1847.8418678999999</c:v>
                </c:pt>
                <c:pt idx="14">
                  <c:v>1804.4237424000003</c:v>
                </c:pt>
                <c:pt idx="15">
                  <c:v>1778.4105280000001</c:v>
                </c:pt>
                <c:pt idx="16">
                  <c:v>1765.2250614000166</c:v>
                </c:pt>
                <c:pt idx="17">
                  <c:v>1659.888302099989</c:v>
                </c:pt>
                <c:pt idx="18">
                  <c:v>1661.8067141000001</c:v>
                </c:pt>
                <c:pt idx="19">
                  <c:v>1592.0271455</c:v>
                </c:pt>
                <c:pt idx="20">
                  <c:v>1530.9588791000126</c:v>
                </c:pt>
                <c:pt idx="21">
                  <c:v>1535.5124738000002</c:v>
                </c:pt>
                <c:pt idx="22">
                  <c:v>1668.58230464999</c:v>
                </c:pt>
                <c:pt idx="23">
                  <c:v>1670.01549</c:v>
                </c:pt>
                <c:pt idx="24">
                  <c:v>1653.0705752000001</c:v>
                </c:pt>
                <c:pt idx="25">
                  <c:v>1555.3926727999999</c:v>
                </c:pt>
                <c:pt idx="26">
                  <c:v>1559.9230296000001</c:v>
                </c:pt>
                <c:pt idx="27">
                  <c:v>1504.1656025</c:v>
                </c:pt>
                <c:pt idx="28">
                  <c:v>1524.3874562499998</c:v>
                </c:pt>
                <c:pt idx="29">
                  <c:v>1488.4705417000011</c:v>
                </c:pt>
                <c:pt idx="30">
                  <c:v>1606.0504896</c:v>
                </c:pt>
                <c:pt idx="31">
                  <c:v>1522.2741434999998</c:v>
                </c:pt>
                <c:pt idx="32">
                  <c:v>1519.2299148</c:v>
                </c:pt>
                <c:pt idx="33">
                  <c:v>1592.2813504000001</c:v>
                </c:pt>
                <c:pt idx="34">
                  <c:v>1534.5648431999998</c:v>
                </c:pt>
                <c:pt idx="35">
                  <c:v>1534.6039399999895</c:v>
                </c:pt>
                <c:pt idx="36">
                  <c:v>1472.9470448</c:v>
                </c:pt>
                <c:pt idx="37">
                  <c:v>1430.0449884</c:v>
                </c:pt>
                <c:pt idx="38">
                  <c:v>1411.4729025499998</c:v>
                </c:pt>
                <c:pt idx="39">
                  <c:v>1377.2812234999999</c:v>
                </c:pt>
                <c:pt idx="40">
                  <c:v>1353.63662535</c:v>
                </c:pt>
                <c:pt idx="41">
                  <c:v>1363.5603423999855</c:v>
                </c:pt>
                <c:pt idx="42">
                  <c:v>1319.9886720000011</c:v>
                </c:pt>
                <c:pt idx="43">
                  <c:v>1330.8492635999999</c:v>
                </c:pt>
                <c:pt idx="44">
                  <c:v>1295.2296202000002</c:v>
                </c:pt>
                <c:pt idx="45">
                  <c:v>1270.4092620000001</c:v>
                </c:pt>
                <c:pt idx="46">
                  <c:v>1267.0034126999876</c:v>
                </c:pt>
                <c:pt idx="47">
                  <c:v>1242.3816171500002</c:v>
                </c:pt>
                <c:pt idx="48">
                  <c:v>1233.5111746999999</c:v>
                </c:pt>
                <c:pt idx="49">
                  <c:v>1311.4483638000011</c:v>
                </c:pt>
                <c:pt idx="50">
                  <c:v>1274.1953087499999</c:v>
                </c:pt>
                <c:pt idx="51">
                  <c:v>1352.2167140000001</c:v>
                </c:pt>
                <c:pt idx="52">
                  <c:v>1437.7869510000107</c:v>
                </c:pt>
                <c:pt idx="53">
                  <c:v>1523.4157322999999</c:v>
                </c:pt>
                <c:pt idx="54">
                  <c:v>1541.8069823000001</c:v>
                </c:pt>
                <c:pt idx="55">
                  <c:v>1535.8066456500001</c:v>
                </c:pt>
                <c:pt idx="56">
                  <c:v>1647.4696732000011</c:v>
                </c:pt>
                <c:pt idx="57">
                  <c:v>1549.9277766000093</c:v>
                </c:pt>
                <c:pt idx="58">
                  <c:v>1556.3220191999999</c:v>
                </c:pt>
                <c:pt idx="59">
                  <c:v>1601.1722123999843</c:v>
                </c:pt>
                <c:pt idx="60">
                  <c:v>1636.7583605999998</c:v>
                </c:pt>
              </c:numCache>
            </c:numRef>
          </c:val>
        </c:ser>
        <c:marker val="1"/>
        <c:axId val="65755008"/>
        <c:axId val="66070400"/>
      </c:lineChart>
      <c:dateAx>
        <c:axId val="6575500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66070400"/>
        <c:crosses val="autoZero"/>
        <c:auto val="1"/>
        <c:lblOffset val="100"/>
      </c:dateAx>
      <c:valAx>
        <c:axId val="66070400"/>
        <c:scaling>
          <c:orientation val="minMax"/>
          <c:min val="1200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  <a:prstDash val="sysDot"/>
            </a:ln>
          </c:spPr>
        </c:majorGridlines>
        <c:numFmt formatCode="#,##0.0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657550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6507706093189992"/>
          <c:y val="0.9135428436911488"/>
          <c:w val="0.6812258064516199"/>
          <c:h val="8.6457156308851243E-2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Industrija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v>industrija-ukupno</c:v>
          </c:tx>
          <c:spPr>
            <a:ln w="38100">
              <a:solidFill>
                <a:srgbClr val="1933F3"/>
              </a:solidFill>
            </a:ln>
          </c:spPr>
          <c:marker>
            <c:symbol val="none"/>
          </c:marker>
          <c:cat>
            <c:strRef>
              <c:f>'Makroekonomski indikatori'!$AQ$36:$BC$36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2015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indikatori'!$AQ$12:$BC$12</c:f>
              <c:numCache>
                <c:formatCode>General</c:formatCode>
                <c:ptCount val="13"/>
                <c:pt idx="0">
                  <c:v>-20.6</c:v>
                </c:pt>
                <c:pt idx="1">
                  <c:v>-27.9</c:v>
                </c:pt>
                <c:pt idx="2">
                  <c:v>-23.4</c:v>
                </c:pt>
                <c:pt idx="3">
                  <c:v>-26.4</c:v>
                </c:pt>
                <c:pt idx="4">
                  <c:v>-16.5</c:v>
                </c:pt>
                <c:pt idx="5">
                  <c:v>-12.7</c:v>
                </c:pt>
                <c:pt idx="6">
                  <c:v>7.5</c:v>
                </c:pt>
                <c:pt idx="7">
                  <c:v>8.2000000000000011</c:v>
                </c:pt>
                <c:pt idx="8">
                  <c:v>-19.8</c:v>
                </c:pt>
                <c:pt idx="9" formatCode="0.0">
                  <c:v>-7</c:v>
                </c:pt>
                <c:pt idx="10">
                  <c:v>-3.4</c:v>
                </c:pt>
                <c:pt idx="11">
                  <c:v>5.9</c:v>
                </c:pt>
                <c:pt idx="12">
                  <c:v>19.3</c:v>
                </c:pt>
              </c:numCache>
            </c:numRef>
          </c:val>
          <c:smooth val="1"/>
        </c:ser>
        <c:ser>
          <c:idx val="1"/>
          <c:order val="1"/>
          <c:tx>
            <c:v>električna energija</c:v>
          </c:tx>
          <c:spPr>
            <a:ln>
              <a:solidFill>
                <a:srgbClr val="E626B4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indikatori'!$AQ$36:$BC$36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2015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indikatori'!$AQ$16:$BC$16</c:f>
              <c:numCache>
                <c:formatCode>General</c:formatCode>
                <c:ptCount val="13"/>
                <c:pt idx="0">
                  <c:v>-48.1</c:v>
                </c:pt>
                <c:pt idx="1">
                  <c:v>-44.9</c:v>
                </c:pt>
                <c:pt idx="2">
                  <c:v>-43.8</c:v>
                </c:pt>
                <c:pt idx="3">
                  <c:v>-56.5</c:v>
                </c:pt>
                <c:pt idx="4">
                  <c:v>-3.7</c:v>
                </c:pt>
                <c:pt idx="5">
                  <c:v>-3.7</c:v>
                </c:pt>
                <c:pt idx="6">
                  <c:v>51.9</c:v>
                </c:pt>
                <c:pt idx="7">
                  <c:v>16.3</c:v>
                </c:pt>
                <c:pt idx="8">
                  <c:v>-28.8</c:v>
                </c:pt>
                <c:pt idx="9">
                  <c:v>8.7000000000000011</c:v>
                </c:pt>
                <c:pt idx="10">
                  <c:v>5.8</c:v>
                </c:pt>
                <c:pt idx="11" formatCode="0.0">
                  <c:v>-2</c:v>
                </c:pt>
                <c:pt idx="12">
                  <c:v>31.7</c:v>
                </c:pt>
              </c:numCache>
            </c:numRef>
          </c:val>
          <c:smooth val="1"/>
        </c:ser>
        <c:marker val="1"/>
        <c:axId val="100217984"/>
        <c:axId val="100219520"/>
      </c:lineChart>
      <c:catAx>
        <c:axId val="100217984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0219520"/>
        <c:crosses val="autoZero"/>
        <c:auto val="1"/>
        <c:lblAlgn val="ctr"/>
        <c:lblOffset val="100"/>
      </c:catAx>
      <c:valAx>
        <c:axId val="10021952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0217984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CPI</a:t>
            </a:r>
          </a:p>
        </c:rich>
      </c:tx>
      <c:layout>
        <c:manualLayout>
          <c:xMode val="edge"/>
          <c:yMode val="edge"/>
          <c:x val="0.4736146443233058"/>
          <c:y val="3.3588400568871621E-2"/>
        </c:manualLayout>
      </c:layout>
    </c:title>
    <c:plotArea>
      <c:layout>
        <c:manualLayout>
          <c:layoutTarget val="inner"/>
          <c:xMode val="edge"/>
          <c:yMode val="edge"/>
          <c:x val="0.1434534050179232"/>
          <c:y val="0.14341577060931901"/>
          <c:w val="0.8167168458781362"/>
          <c:h val="0.62397222222222271"/>
        </c:manualLayout>
      </c:layout>
      <c:lineChart>
        <c:grouping val="standard"/>
        <c:ser>
          <c:idx val="0"/>
          <c:order val="0"/>
          <c:tx>
            <c:v>CPI</c:v>
          </c:tx>
          <c:spPr>
            <a:ln w="38100">
              <a:solidFill>
                <a:srgbClr val="5E31DB"/>
              </a:solidFill>
            </a:ln>
          </c:spPr>
          <c:marker>
            <c:symbol val="none"/>
          </c:marker>
          <c:cat>
            <c:strRef>
              <c:f>'Makroekonomski indikatori'!$AQ$36:$BC$36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2015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indikatori'!$AQ$24:$BC$24</c:f>
              <c:numCache>
                <c:formatCode>0.0</c:formatCode>
                <c:ptCount val="13"/>
                <c:pt idx="0">
                  <c:v>-0.9</c:v>
                </c:pt>
                <c:pt idx="1">
                  <c:v>-1.4</c:v>
                </c:pt>
                <c:pt idx="2">
                  <c:v>-1.3</c:v>
                </c:pt>
                <c:pt idx="3">
                  <c:v>-0.1</c:v>
                </c:pt>
                <c:pt idx="4">
                  <c:v>-1.2</c:v>
                </c:pt>
                <c:pt idx="5">
                  <c:v>-1.1000000000000001</c:v>
                </c:pt>
                <c:pt idx="6">
                  <c:v>-0.70000000000000062</c:v>
                </c:pt>
                <c:pt idx="7">
                  <c:v>-0.5</c:v>
                </c:pt>
                <c:pt idx="8">
                  <c:v>0</c:v>
                </c:pt>
                <c:pt idx="9">
                  <c:v>-0.30000000000000032</c:v>
                </c:pt>
                <c:pt idx="10">
                  <c:v>0.2</c:v>
                </c:pt>
                <c:pt idx="11">
                  <c:v>0.60000000000000064</c:v>
                </c:pt>
                <c:pt idx="12" formatCode="General">
                  <c:v>1.6</c:v>
                </c:pt>
              </c:numCache>
            </c:numRef>
          </c:val>
          <c:smooth val="1"/>
        </c:ser>
        <c:ser>
          <c:idx val="1"/>
          <c:order val="1"/>
          <c:tx>
            <c:v>hrana i bezalkoholna pića</c:v>
          </c:tx>
          <c:spPr>
            <a:ln>
              <a:solidFill>
                <a:srgbClr val="EB21E1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indikatori'!$AQ$36:$BC$36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2015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indikatori'!$AQ$26:$BC$26</c:f>
              <c:numCache>
                <c:formatCode>0.0</c:formatCode>
                <c:ptCount val="13"/>
                <c:pt idx="0">
                  <c:v>-1.2</c:v>
                </c:pt>
                <c:pt idx="1">
                  <c:v>-3.4</c:v>
                </c:pt>
                <c:pt idx="2">
                  <c:v>-3.6</c:v>
                </c:pt>
                <c:pt idx="3">
                  <c:v>-1.6</c:v>
                </c:pt>
                <c:pt idx="4">
                  <c:v>-3.2</c:v>
                </c:pt>
                <c:pt idx="5">
                  <c:v>-2.2999999999999998</c:v>
                </c:pt>
                <c:pt idx="6">
                  <c:v>-1</c:v>
                </c:pt>
                <c:pt idx="7">
                  <c:v>-0.2</c:v>
                </c:pt>
                <c:pt idx="8">
                  <c:v>1</c:v>
                </c:pt>
                <c:pt idx="9">
                  <c:v>0.8</c:v>
                </c:pt>
                <c:pt idx="10">
                  <c:v>1.8</c:v>
                </c:pt>
                <c:pt idx="11">
                  <c:v>2.1</c:v>
                </c:pt>
                <c:pt idx="12" formatCode="General">
                  <c:v>3.3</c:v>
                </c:pt>
              </c:numCache>
            </c:numRef>
          </c:val>
        </c:ser>
        <c:marker val="1"/>
        <c:axId val="52144768"/>
        <c:axId val="52208000"/>
      </c:lineChart>
      <c:catAx>
        <c:axId val="52144768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2208000"/>
        <c:crosses val="autoZero"/>
        <c:auto val="1"/>
        <c:lblAlgn val="ctr"/>
        <c:lblOffset val="100"/>
      </c:catAx>
      <c:valAx>
        <c:axId val="52208000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21447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9999775669066986E-2"/>
          <c:y val="0.91506931677593151"/>
          <c:w val="0.9"/>
          <c:h val="8.4930683224068354E-2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6886714610877893"/>
          <c:y val="0.13976689389262087"/>
          <c:w val="0.68213834238090787"/>
          <c:h val="0.6723052303970386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indikatori'!$AP$10:$BB$10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2015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indikatori'!$AP$22:$BB$22</c:f>
              <c:numCache>
                <c:formatCode>#,##0</c:formatCode>
                <c:ptCount val="13"/>
                <c:pt idx="0">
                  <c:v>170177</c:v>
                </c:pt>
                <c:pt idx="1">
                  <c:v>172202</c:v>
                </c:pt>
                <c:pt idx="2">
                  <c:v>174917</c:v>
                </c:pt>
                <c:pt idx="3">
                  <c:v>179774</c:v>
                </c:pt>
                <c:pt idx="4">
                  <c:v>181408</c:v>
                </c:pt>
                <c:pt idx="5">
                  <c:v>178558</c:v>
                </c:pt>
                <c:pt idx="6">
                  <c:v>173942</c:v>
                </c:pt>
                <c:pt idx="7">
                  <c:v>172306</c:v>
                </c:pt>
                <c:pt idx="8">
                  <c:v>172273</c:v>
                </c:pt>
                <c:pt idx="9">
                  <c:v>171158</c:v>
                </c:pt>
                <c:pt idx="10">
                  <c:v>169719</c:v>
                </c:pt>
                <c:pt idx="11">
                  <c:v>170486</c:v>
                </c:pt>
                <c:pt idx="12">
                  <c:v>171855</c:v>
                </c:pt>
              </c:numCache>
            </c:numRef>
          </c:val>
        </c:ser>
        <c:marker val="1"/>
        <c:axId val="52811648"/>
        <c:axId val="52813184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indikatori'!$AP$10:$BB$10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2015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indikatori'!$AP$23:$BB$23</c:f>
              <c:numCache>
                <c:formatCode>#,##0</c:formatCode>
                <c:ptCount val="13"/>
                <c:pt idx="0">
                  <c:v>34671</c:v>
                </c:pt>
                <c:pt idx="1">
                  <c:v>33906</c:v>
                </c:pt>
                <c:pt idx="2">
                  <c:v>32763</c:v>
                </c:pt>
                <c:pt idx="3">
                  <c:v>31548</c:v>
                </c:pt>
                <c:pt idx="4">
                  <c:v>31115</c:v>
                </c:pt>
                <c:pt idx="5">
                  <c:v>31163</c:v>
                </c:pt>
                <c:pt idx="6">
                  <c:v>31548</c:v>
                </c:pt>
                <c:pt idx="7">
                  <c:v>33744</c:v>
                </c:pt>
                <c:pt idx="8">
                  <c:v>34733</c:v>
                </c:pt>
                <c:pt idx="9">
                  <c:v>34687</c:v>
                </c:pt>
                <c:pt idx="10">
                  <c:v>35152</c:v>
                </c:pt>
                <c:pt idx="11">
                  <c:v>35172</c:v>
                </c:pt>
                <c:pt idx="12">
                  <c:v>34903</c:v>
                </c:pt>
              </c:numCache>
            </c:numRef>
          </c:val>
        </c:ser>
        <c:marker val="1"/>
        <c:axId val="53022080"/>
        <c:axId val="53020160"/>
      </c:lineChart>
      <c:catAx>
        <c:axId val="5281164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2813184"/>
        <c:crosses val="autoZero"/>
        <c:auto val="1"/>
        <c:lblAlgn val="ctr"/>
        <c:lblOffset val="100"/>
      </c:catAx>
      <c:valAx>
        <c:axId val="52813184"/>
        <c:scaling>
          <c:orientation val="minMax"/>
          <c:min val="164000"/>
        </c:scaling>
        <c:axPos val="l"/>
        <c:majorGridlines>
          <c:spPr>
            <a:ln>
              <a:solidFill>
                <a:schemeClr val="accent1">
                  <a:lumMod val="40000"/>
                  <a:lumOff val="60000"/>
                </a:schemeClr>
              </a:solidFill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2811648"/>
        <c:crosses val="autoZero"/>
        <c:crossBetween val="between"/>
        <c:dispUnits>
          <c:builtInUnit val="thousands"/>
        </c:dispUnits>
      </c:valAx>
      <c:valAx>
        <c:axId val="53020160"/>
        <c:scaling>
          <c:orientation val="maxMin"/>
          <c:max val="355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3022080"/>
        <c:crosses val="max"/>
        <c:crossBetween val="between"/>
        <c:dispUnits>
          <c:builtInUnit val="thousands"/>
        </c:dispUnits>
      </c:valAx>
      <c:catAx>
        <c:axId val="53022080"/>
        <c:scaling>
          <c:orientation val="minMax"/>
        </c:scaling>
        <c:delete val="1"/>
        <c:axPos val="t"/>
        <c:tickLblPos val="none"/>
        <c:crossAx val="5302016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2116885389326336"/>
          <c:y val="5.1400554097404488E-2"/>
          <c:w val="0.61361186921524813"/>
          <c:h val="0.68233483635060521"/>
        </c:manualLayout>
      </c:layout>
      <c:barChart>
        <c:barDir val="col"/>
        <c:grouping val="clustered"/>
        <c:ser>
          <c:idx val="2"/>
          <c:order val="2"/>
          <c:tx>
            <c:v>suficit/deficit budžeta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indikatori'!$AD$3:$AP$3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'Fiskalni indikatori'!$AD$17:$AP$17</c:f>
              <c:numCache>
                <c:formatCode>0.00,,</c:formatCode>
                <c:ptCount val="13"/>
                <c:pt idx="0">
                  <c:v>-17021409.079999968</c:v>
                </c:pt>
                <c:pt idx="1">
                  <c:v>-14958813.710000005</c:v>
                </c:pt>
                <c:pt idx="2">
                  <c:v>-5517055.7200000286</c:v>
                </c:pt>
                <c:pt idx="3">
                  <c:v>-5364283.7200000435</c:v>
                </c:pt>
                <c:pt idx="4">
                  <c:v>2502365.0199999809</c:v>
                </c:pt>
                <c:pt idx="5">
                  <c:v>10463853.719999975</c:v>
                </c:pt>
                <c:pt idx="6">
                  <c:v>-4187715.1499999911</c:v>
                </c:pt>
                <c:pt idx="7">
                  <c:v>-1436809.9499999583</c:v>
                </c:pt>
                <c:pt idx="8">
                  <c:v>-12887782.269999981</c:v>
                </c:pt>
                <c:pt idx="9">
                  <c:v>-18669590.289999932</c:v>
                </c:pt>
                <c:pt idx="10">
                  <c:v>-21958810.370000035</c:v>
                </c:pt>
                <c:pt idx="11">
                  <c:v>-21306460.860000044</c:v>
                </c:pt>
                <c:pt idx="12">
                  <c:v>-8387628.0700000534</c:v>
                </c:pt>
              </c:numCache>
            </c:numRef>
          </c:val>
        </c:ser>
        <c:axId val="53061504"/>
        <c:axId val="53059968"/>
      </c:barChart>
      <c:lineChart>
        <c:grouping val="standard"/>
        <c:ser>
          <c:idx val="0"/>
          <c:order val="0"/>
          <c:tx>
            <c:v>prihodi budžeta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indikatori'!$AD$3:$AP$3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'Fiskalni indikatori'!$AD$4:$AP$4</c:f>
              <c:numCache>
                <c:formatCode>0.00,,</c:formatCode>
                <c:ptCount val="13"/>
                <c:pt idx="0">
                  <c:v>100708163.93000002</c:v>
                </c:pt>
                <c:pt idx="1">
                  <c:v>109084385.14999999</c:v>
                </c:pt>
                <c:pt idx="2">
                  <c:v>102078548.78</c:v>
                </c:pt>
                <c:pt idx="3">
                  <c:v>109931818.73999999</c:v>
                </c:pt>
                <c:pt idx="4">
                  <c:v>120720236.03</c:v>
                </c:pt>
                <c:pt idx="5">
                  <c:v>126556297.33</c:v>
                </c:pt>
                <c:pt idx="6">
                  <c:v>117901924.08</c:v>
                </c:pt>
                <c:pt idx="7">
                  <c:v>158210534.23999998</c:v>
                </c:pt>
                <c:pt idx="8">
                  <c:v>98496460.13000001</c:v>
                </c:pt>
                <c:pt idx="9">
                  <c:v>155249038.93000001</c:v>
                </c:pt>
                <c:pt idx="10">
                  <c:v>71181389.560000002</c:v>
                </c:pt>
                <c:pt idx="11">
                  <c:v>86772014.340000033</c:v>
                </c:pt>
                <c:pt idx="12">
                  <c:v>100279648.52</c:v>
                </c:pt>
              </c:numCache>
            </c:numRef>
          </c:val>
          <c:smooth val="1"/>
        </c:ser>
        <c:ser>
          <c:idx val="1"/>
          <c:order val="1"/>
          <c:tx>
            <c:v>rashodi budžeta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indikatori'!$AD$3:$AP$3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'Fiskalni indikatori'!$AD$10:$AP$10</c:f>
              <c:numCache>
                <c:formatCode>0.00,,</c:formatCode>
                <c:ptCount val="13"/>
                <c:pt idx="0">
                  <c:v>117729573.00999999</c:v>
                </c:pt>
                <c:pt idx="1">
                  <c:v>124043198.86</c:v>
                </c:pt>
                <c:pt idx="2">
                  <c:v>107595604.50000003</c:v>
                </c:pt>
                <c:pt idx="3">
                  <c:v>115296102.46000005</c:v>
                </c:pt>
                <c:pt idx="4">
                  <c:v>118217871.01000002</c:v>
                </c:pt>
                <c:pt idx="5">
                  <c:v>116092443.61000001</c:v>
                </c:pt>
                <c:pt idx="6">
                  <c:v>122089639.22999999</c:v>
                </c:pt>
                <c:pt idx="7">
                  <c:v>159647344.19</c:v>
                </c:pt>
                <c:pt idx="8">
                  <c:v>111384242.39999999</c:v>
                </c:pt>
                <c:pt idx="9">
                  <c:v>173918629.21999988</c:v>
                </c:pt>
                <c:pt idx="10">
                  <c:v>93119537.460000023</c:v>
                </c:pt>
                <c:pt idx="11">
                  <c:v>108057426.51000005</c:v>
                </c:pt>
                <c:pt idx="12">
                  <c:v>108671593.11000001</c:v>
                </c:pt>
              </c:numCache>
            </c:numRef>
          </c:val>
          <c:smooth val="1"/>
        </c:ser>
        <c:marker val="1"/>
        <c:axId val="53052544"/>
        <c:axId val="53054080"/>
      </c:lineChart>
      <c:catAx>
        <c:axId val="5305254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53054080"/>
        <c:crosses val="autoZero"/>
        <c:auto val="1"/>
        <c:lblAlgn val="ctr"/>
        <c:lblOffset val="100"/>
        <c:tickLblSkip val="3"/>
      </c:catAx>
      <c:valAx>
        <c:axId val="53054080"/>
        <c:scaling>
          <c:orientation val="minMax"/>
          <c:max val="18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,,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3052544"/>
        <c:crosses val="autoZero"/>
        <c:crossBetween val="between"/>
        <c:majorUnit val="30000000"/>
      </c:valAx>
      <c:valAx>
        <c:axId val="53059968"/>
        <c:scaling>
          <c:orientation val="minMax"/>
          <c:max val="60000000"/>
          <c:min val="-30000000"/>
        </c:scaling>
        <c:axPos val="r"/>
        <c:numFmt formatCode="0.00,," sourceLinked="1"/>
        <c:tickLblPos val="high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3061504"/>
        <c:crosses val="max"/>
        <c:crossBetween val="between"/>
        <c:majorUnit val="20000000"/>
      </c:valAx>
      <c:catAx>
        <c:axId val="53061504"/>
        <c:scaling>
          <c:orientation val="minMax"/>
        </c:scaling>
        <c:delete val="1"/>
        <c:axPos val="b"/>
        <c:numFmt formatCode="General" sourceLinked="1"/>
        <c:tickLblPos val="none"/>
        <c:crossAx val="53059968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841E-2"/>
          <c:y val="0.83278473993567703"/>
          <c:w val="0.97443747833408945"/>
          <c:h val="0.16721526006432724"/>
        </c:manualLayout>
      </c:layout>
      <c:txPr>
        <a:bodyPr/>
        <a:lstStyle/>
        <a:p>
          <a:pPr>
            <a:defRPr lang="sr-Latn-CS" sz="8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1000"/>
            </a:pPr>
            <a:r>
              <a:rPr lang="x-none" sz="1000"/>
              <a:t>Finansijski rezultat banaka na agregatnom nivou</a:t>
            </a:r>
            <a:endParaRPr lang="en-US" sz="1000"/>
          </a:p>
        </c:rich>
      </c:tx>
    </c:title>
    <c:plotArea>
      <c:layout>
        <c:manualLayout>
          <c:layoutTarget val="inner"/>
          <c:xMode val="edge"/>
          <c:yMode val="edge"/>
          <c:x val="0.19150537634408588"/>
          <c:y val="0.29298429319371955"/>
          <c:w val="0.74935483870968034"/>
          <c:h val="0.51550425306784298"/>
        </c:manualLayout>
      </c:layout>
      <c:barChart>
        <c:barDir val="col"/>
        <c:grouping val="clustered"/>
        <c:ser>
          <c:idx val="0"/>
          <c:order val="0"/>
          <c:tx>
            <c:v>profit banaka</c:v>
          </c:tx>
          <c:spPr>
            <a:solidFill>
              <a:schemeClr val="accent6"/>
            </a:solidFill>
          </c:spPr>
          <c:cat>
            <c:strRef>
              <c:f>'Agregatni BU banaka'!$BC$4:$BO$4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'Agregatni BU banaka'!$BC$26:$BO$26</c:f>
              <c:numCache>
                <c:formatCode>#,##0</c:formatCode>
                <c:ptCount val="13"/>
                <c:pt idx="0">
                  <c:v>9665</c:v>
                </c:pt>
                <c:pt idx="1">
                  <c:v>11856</c:v>
                </c:pt>
                <c:pt idx="2">
                  <c:v>13372</c:v>
                </c:pt>
                <c:pt idx="3">
                  <c:v>14508</c:v>
                </c:pt>
                <c:pt idx="4">
                  <c:v>17019</c:v>
                </c:pt>
                <c:pt idx="5">
                  <c:v>20712</c:v>
                </c:pt>
                <c:pt idx="6">
                  <c:v>20850</c:v>
                </c:pt>
                <c:pt idx="7">
                  <c:v>22583</c:v>
                </c:pt>
                <c:pt idx="8">
                  <c:v>23138</c:v>
                </c:pt>
                <c:pt idx="9">
                  <c:v>23786</c:v>
                </c:pt>
                <c:pt idx="10">
                  <c:v>856</c:v>
                </c:pt>
                <c:pt idx="11">
                  <c:v>2227</c:v>
                </c:pt>
                <c:pt idx="12">
                  <c:v>2304</c:v>
                </c:pt>
              </c:numCache>
            </c:numRef>
          </c:val>
        </c:ser>
        <c:gapWidth val="59"/>
        <c:axId val="53045120"/>
        <c:axId val="53046656"/>
      </c:barChart>
      <c:catAx>
        <c:axId val="5304512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53046656"/>
        <c:crosses val="autoZero"/>
        <c:auto val="1"/>
        <c:lblAlgn val="ctr"/>
        <c:lblOffset val="100"/>
      </c:catAx>
      <c:valAx>
        <c:axId val="53046656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53045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127889255778703"/>
          <c:y val="0.9115719173846758"/>
          <c:w val="0.33744221488443205"/>
          <c:h val="8.144727982300641E-2"/>
        </c:manualLayout>
      </c:layout>
      <c:txPr>
        <a:bodyPr/>
        <a:lstStyle/>
        <a:p>
          <a:pPr>
            <a:defRPr lang="en-US"/>
          </a:pPr>
          <a:endParaRPr lang="sr-Latn-C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sr-Latn-C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1000"/>
            </a:pPr>
            <a:r>
              <a:rPr lang="sr-Latn-CS" sz="1000"/>
              <a:t>Spoljnotrgovinska razmjena</a:t>
            </a:r>
            <a:r>
              <a:rPr lang="en-US" sz="1000"/>
              <a:t>                 Crne Gore</a:t>
            </a:r>
            <a:r>
              <a:rPr lang="sr-Latn-CS" sz="1000"/>
              <a:t> (mil.€)</a:t>
            </a:r>
            <a:endParaRPr lang="en-US" sz="10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'Makroekonomski indikatori'!$BC$113</c:f>
              <c:strCache>
                <c:ptCount val="1"/>
                <c:pt idx="0">
                  <c:v>Izvoz</c:v>
                </c:pt>
              </c:strCache>
            </c:strRef>
          </c:tx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sr-Latn-CS"/>
              </a:p>
            </c:txPr>
            <c:showVal val="1"/>
          </c:dLbls>
          <c:cat>
            <c:strRef>
              <c:f>'Makroekonomski indikatori'!$BD$112:$BE$112</c:f>
              <c:strCache>
                <c:ptCount val="2"/>
                <c:pt idx="0">
                  <c:v>Q1 2014</c:v>
                </c:pt>
                <c:pt idx="1">
                  <c:v>Q1 2015</c:v>
                </c:pt>
              </c:strCache>
            </c:strRef>
          </c:cat>
          <c:val>
            <c:numRef>
              <c:f>'Makroekonomski indikatori'!$BD$113:$BE$113</c:f>
              <c:numCache>
                <c:formatCode>#,##0.00</c:formatCode>
                <c:ptCount val="2"/>
                <c:pt idx="0">
                  <c:v>69.433999999999997</c:v>
                </c:pt>
                <c:pt idx="1">
                  <c:v>74.462000000000003</c:v>
                </c:pt>
              </c:numCache>
            </c:numRef>
          </c:val>
        </c:ser>
        <c:ser>
          <c:idx val="1"/>
          <c:order val="1"/>
          <c:tx>
            <c:strRef>
              <c:f>'Makroekonomski indikatori'!$BC$114</c:f>
              <c:strCache>
                <c:ptCount val="1"/>
                <c:pt idx="0">
                  <c:v>Uvoz</c:v>
                </c:pt>
              </c:strCache>
            </c:strRef>
          </c:tx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sr-Latn-CS"/>
              </a:p>
            </c:txPr>
            <c:showVal val="1"/>
          </c:dLbls>
          <c:cat>
            <c:strRef>
              <c:f>'Makroekonomski indikatori'!$BD$112:$BE$112</c:f>
              <c:strCache>
                <c:ptCount val="2"/>
                <c:pt idx="0">
                  <c:v>Q1 2014</c:v>
                </c:pt>
                <c:pt idx="1">
                  <c:v>Q1 2015</c:v>
                </c:pt>
              </c:strCache>
            </c:strRef>
          </c:cat>
          <c:val>
            <c:numRef>
              <c:f>'Makroekonomski indikatori'!$BD$114:$BE$114</c:f>
              <c:numCache>
                <c:formatCode>#,##0.00</c:formatCode>
                <c:ptCount val="2"/>
                <c:pt idx="0">
                  <c:v>341.60199999999969</c:v>
                </c:pt>
                <c:pt idx="1">
                  <c:v>356.75700000000001</c:v>
                </c:pt>
              </c:numCache>
            </c:numRef>
          </c:val>
        </c:ser>
        <c:ser>
          <c:idx val="2"/>
          <c:order val="2"/>
          <c:tx>
            <c:strRef>
              <c:f>'Makroekonomski indikatori'!$BC$116</c:f>
              <c:strCache>
                <c:ptCount val="1"/>
                <c:pt idx="0">
                  <c:v>Trgovinski bilans</c:v>
                </c:pt>
              </c:strCache>
            </c:strRef>
          </c:tx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sr-Latn-CS"/>
              </a:p>
            </c:txPr>
            <c:showVal val="1"/>
          </c:dLbls>
          <c:cat>
            <c:strRef>
              <c:f>'Makroekonomski indikatori'!$BD$112:$BE$112</c:f>
              <c:strCache>
                <c:ptCount val="2"/>
                <c:pt idx="0">
                  <c:v>Q1 2014</c:v>
                </c:pt>
                <c:pt idx="1">
                  <c:v>Q1 2015</c:v>
                </c:pt>
              </c:strCache>
            </c:strRef>
          </c:cat>
          <c:val>
            <c:numRef>
              <c:f>'Makroekonomski indikatori'!$BD$116:$BE$116</c:f>
              <c:numCache>
                <c:formatCode>#,##0.00</c:formatCode>
                <c:ptCount val="2"/>
                <c:pt idx="0">
                  <c:v>-272.16800000000001</c:v>
                </c:pt>
                <c:pt idx="1">
                  <c:v>-282.29499999999899</c:v>
                </c:pt>
              </c:numCache>
            </c:numRef>
          </c:val>
        </c:ser>
        <c:dLbls>
          <c:showVal val="1"/>
        </c:dLbls>
        <c:gapWidth val="75"/>
        <c:axId val="53179520"/>
        <c:axId val="53181056"/>
      </c:barChart>
      <c:catAx>
        <c:axId val="531795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800" b="1"/>
            </a:pPr>
            <a:endParaRPr lang="sr-Latn-CS"/>
          </a:p>
        </c:txPr>
        <c:crossAx val="53181056"/>
        <c:crosses val="autoZero"/>
        <c:lblAlgn val="ctr"/>
        <c:lblOffset val="100"/>
      </c:catAx>
      <c:valAx>
        <c:axId val="53181056"/>
        <c:scaling>
          <c:orientation val="minMax"/>
        </c:scaling>
        <c:axPos val="l"/>
        <c:numFmt formatCode="0.0" sourceLinked="0"/>
        <c:majorTickMark val="none"/>
        <c:tickLblPos val="nextTo"/>
        <c:txPr>
          <a:bodyPr/>
          <a:lstStyle/>
          <a:p>
            <a:pPr>
              <a:defRPr lang="x-none" sz="600"/>
            </a:pPr>
            <a:endParaRPr lang="sr-Latn-CS"/>
          </a:p>
        </c:txPr>
        <c:crossAx val="53179520"/>
        <c:crosses val="autoZero"/>
        <c:crossBetween val="between"/>
      </c:valAx>
    </c:plotArea>
    <c:legend>
      <c:legendPos val="b"/>
      <c:txPr>
        <a:bodyPr/>
        <a:lstStyle/>
        <a:p>
          <a:pPr>
            <a:defRPr lang="x-none" sz="800"/>
          </a:pPr>
          <a:endParaRPr lang="sr-Latn-CS"/>
        </a:p>
      </c:txPr>
    </c:legend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0.50667</cdr:x>
      <cdr:y>0.21</cdr:y>
    </cdr:from>
    <cdr:to>
      <cdr:x>0.70667</cdr:x>
      <cdr:y>0.30975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149498" y="416653"/>
          <a:ext cx="453749" cy="1979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0.20291</cdr:x>
      <cdr:y>0.65214</cdr:y>
    </cdr:from>
    <cdr:to>
      <cdr:x>0.65571</cdr:x>
      <cdr:y>0.78395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60359" y="1293895"/>
          <a:ext cx="1027289" cy="2615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nezaposlenih</a:t>
          </a:r>
          <a:endParaRPr lang="sr-Latn-C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07A58-2C34-41CF-96C5-B8FDA044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radovan.zivkovic</cp:lastModifiedBy>
  <cp:revision>2</cp:revision>
  <cp:lastPrinted>2015-01-22T09:17:00Z</cp:lastPrinted>
  <dcterms:created xsi:type="dcterms:W3CDTF">2015-05-08T12:12:00Z</dcterms:created>
  <dcterms:modified xsi:type="dcterms:W3CDTF">2015-05-08T12:12:00Z</dcterms:modified>
</cp:coreProperties>
</file>