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70B" w:rsidRPr="00715429" w:rsidRDefault="007B41C4" w:rsidP="00D61692">
      <w:pPr>
        <w:spacing w:after="0" w:line="240" w:lineRule="auto"/>
        <w:jc w:val="center"/>
        <w:rPr>
          <w:rFonts w:ascii="Cambria" w:hAnsi="Cambria" w:cs="Cambria"/>
          <w:b/>
          <w:bCs/>
          <w:noProof/>
          <w:sz w:val="28"/>
          <w:szCs w:val="28"/>
          <w:lang w:val="hr-BA"/>
        </w:rPr>
      </w:pPr>
      <w:r w:rsidRPr="00715429">
        <w:rPr>
          <w:rFonts w:ascii="Cambria" w:hAnsi="Cambria" w:cs="Cambria"/>
          <w:noProof/>
        </w:rPr>
        <w:drawing>
          <wp:inline distT="0" distB="0" distL="0" distR="0">
            <wp:extent cx="675640" cy="8121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75640" cy="812165"/>
                    </a:xfrm>
                    <a:prstGeom prst="rect">
                      <a:avLst/>
                    </a:prstGeom>
                    <a:noFill/>
                    <a:ln w="9525">
                      <a:noFill/>
                      <a:miter lim="800000"/>
                      <a:headEnd/>
                      <a:tailEnd/>
                    </a:ln>
                  </pic:spPr>
                </pic:pic>
              </a:graphicData>
            </a:graphic>
          </wp:inline>
        </w:drawing>
      </w:r>
    </w:p>
    <w:p w:rsidR="0082570B" w:rsidRPr="00715429" w:rsidRDefault="0082570B" w:rsidP="0002564B">
      <w:pPr>
        <w:pStyle w:val="NoSpacing"/>
        <w:jc w:val="center"/>
        <w:outlineLvl w:val="0"/>
        <w:rPr>
          <w:b/>
          <w:bCs/>
          <w:noProof/>
          <w:sz w:val="28"/>
          <w:szCs w:val="28"/>
          <w:lang w:val="hr-BA"/>
        </w:rPr>
      </w:pPr>
      <w:r w:rsidRPr="00715429">
        <w:rPr>
          <w:b/>
          <w:bCs/>
          <w:noProof/>
          <w:sz w:val="28"/>
          <w:szCs w:val="28"/>
          <w:lang w:val="hr-BA"/>
        </w:rPr>
        <w:t>CRNA GORA</w:t>
      </w:r>
    </w:p>
    <w:p w:rsidR="0082570B" w:rsidRPr="00715429" w:rsidRDefault="0082570B" w:rsidP="0002564B">
      <w:pPr>
        <w:pStyle w:val="NoSpacing"/>
        <w:jc w:val="center"/>
        <w:outlineLvl w:val="0"/>
        <w:rPr>
          <w:b/>
          <w:bCs/>
          <w:noProof/>
          <w:sz w:val="28"/>
          <w:szCs w:val="28"/>
          <w:lang w:val="hr-BA"/>
        </w:rPr>
      </w:pPr>
      <w:r w:rsidRPr="00715429">
        <w:rPr>
          <w:b/>
          <w:bCs/>
          <w:noProof/>
          <w:sz w:val="28"/>
          <w:szCs w:val="28"/>
          <w:lang w:val="hr-BA"/>
        </w:rPr>
        <w:t>MINISTARSTVO FINANSIJA</w:t>
      </w:r>
    </w:p>
    <w:p w:rsidR="0082570B" w:rsidRPr="00715429" w:rsidRDefault="00DC4AD1" w:rsidP="0002564B">
      <w:pPr>
        <w:pStyle w:val="NoSpacing"/>
        <w:jc w:val="center"/>
        <w:outlineLvl w:val="0"/>
        <w:rPr>
          <w:b/>
          <w:bCs/>
          <w:noProof/>
          <w:sz w:val="28"/>
          <w:szCs w:val="28"/>
          <w:lang w:val="hr-BA"/>
        </w:rPr>
      </w:pPr>
      <w:r w:rsidRPr="00715429">
        <w:rPr>
          <w:b/>
          <w:bCs/>
          <w:noProof/>
          <w:sz w:val="28"/>
          <w:szCs w:val="28"/>
          <w:lang w:val="hr-BA"/>
        </w:rPr>
        <w:t>Direktorat</w:t>
      </w:r>
      <w:r w:rsidR="0082570B" w:rsidRPr="00715429">
        <w:rPr>
          <w:b/>
          <w:bCs/>
          <w:noProof/>
          <w:sz w:val="28"/>
          <w:szCs w:val="28"/>
          <w:lang w:val="hr-BA"/>
        </w:rPr>
        <w:t xml:space="preserve"> za ekonomsku politiku i razvoj</w:t>
      </w:r>
    </w:p>
    <w:p w:rsidR="0082570B" w:rsidRPr="00715429" w:rsidRDefault="0082570B" w:rsidP="00D61692">
      <w:pPr>
        <w:rPr>
          <w:rFonts w:cs="Calibri"/>
          <w:noProof/>
          <w:lang w:val="hr-BA"/>
        </w:rPr>
      </w:pPr>
    </w:p>
    <w:p w:rsidR="0082570B" w:rsidRPr="00715429" w:rsidRDefault="0082570B" w:rsidP="00D61692">
      <w:pPr>
        <w:jc w:val="center"/>
        <w:rPr>
          <w:rFonts w:cs="Calibri"/>
          <w:b/>
          <w:bCs/>
          <w:i/>
          <w:iCs/>
          <w:noProof/>
          <w:sz w:val="36"/>
          <w:szCs w:val="36"/>
          <w:lang w:val="hr-BA"/>
        </w:rPr>
      </w:pPr>
    </w:p>
    <w:p w:rsidR="0082570B" w:rsidRPr="00715429" w:rsidRDefault="0082570B" w:rsidP="000F756E">
      <w:pPr>
        <w:rPr>
          <w:rFonts w:cs="Calibri"/>
          <w:b/>
          <w:bCs/>
          <w:i/>
          <w:iCs/>
          <w:noProof/>
          <w:sz w:val="36"/>
          <w:szCs w:val="36"/>
          <w:lang w:val="hr-BA"/>
        </w:rPr>
      </w:pPr>
    </w:p>
    <w:p w:rsidR="0082570B" w:rsidRPr="00715429" w:rsidRDefault="0082570B" w:rsidP="000F756E">
      <w:pPr>
        <w:rPr>
          <w:rFonts w:cs="Calibri"/>
          <w:b/>
          <w:bCs/>
          <w:i/>
          <w:iCs/>
          <w:noProof/>
          <w:sz w:val="36"/>
          <w:szCs w:val="36"/>
          <w:lang w:val="hr-BA"/>
        </w:rPr>
      </w:pPr>
    </w:p>
    <w:p w:rsidR="0082570B" w:rsidRPr="00715429" w:rsidRDefault="0082570B" w:rsidP="0002564B">
      <w:pPr>
        <w:spacing w:line="240" w:lineRule="auto"/>
        <w:jc w:val="center"/>
        <w:outlineLvl w:val="0"/>
        <w:rPr>
          <w:rFonts w:cs="Calibri"/>
          <w:b/>
          <w:bCs/>
          <w:iCs/>
          <w:noProof/>
          <w:sz w:val="52"/>
          <w:szCs w:val="52"/>
          <w:lang w:val="hr-BA"/>
        </w:rPr>
      </w:pPr>
      <w:r w:rsidRPr="00715429">
        <w:rPr>
          <w:rFonts w:cs="Calibri"/>
          <w:b/>
          <w:bCs/>
          <w:iCs/>
          <w:noProof/>
          <w:sz w:val="52"/>
          <w:szCs w:val="52"/>
          <w:lang w:val="hr-BA"/>
        </w:rPr>
        <w:t>MJESEČNI MAKROEKONOMSKI INDIKATORI</w:t>
      </w:r>
    </w:p>
    <w:p w:rsidR="0082570B" w:rsidRPr="00715429" w:rsidRDefault="0083011C" w:rsidP="0002564B">
      <w:pPr>
        <w:spacing w:line="240" w:lineRule="auto"/>
        <w:jc w:val="center"/>
        <w:outlineLvl w:val="0"/>
        <w:rPr>
          <w:rFonts w:cs="Calibri"/>
          <w:b/>
          <w:bCs/>
          <w:noProof/>
          <w:sz w:val="32"/>
          <w:szCs w:val="32"/>
          <w:lang w:val="hr-BA"/>
        </w:rPr>
      </w:pPr>
      <w:r>
        <w:rPr>
          <w:rFonts w:cs="Calibri"/>
          <w:b/>
          <w:bCs/>
          <w:noProof/>
          <w:sz w:val="32"/>
          <w:szCs w:val="32"/>
          <w:lang w:val="hr-BA"/>
        </w:rPr>
        <w:t>Maj</w:t>
      </w:r>
      <w:r w:rsidR="007D0106" w:rsidRPr="00715429">
        <w:rPr>
          <w:rFonts w:cs="Calibri"/>
          <w:b/>
          <w:bCs/>
          <w:noProof/>
          <w:sz w:val="32"/>
          <w:szCs w:val="32"/>
          <w:lang w:val="hr-BA"/>
        </w:rPr>
        <w:t xml:space="preserve"> </w:t>
      </w:r>
      <w:r w:rsidR="006D2B20" w:rsidRPr="00715429">
        <w:rPr>
          <w:rFonts w:cs="Calibri"/>
          <w:b/>
          <w:bCs/>
          <w:noProof/>
          <w:sz w:val="32"/>
          <w:szCs w:val="32"/>
          <w:lang w:val="hr-BA"/>
        </w:rPr>
        <w:t>2014</w:t>
      </w:r>
      <w:r w:rsidR="0082570B" w:rsidRPr="00715429">
        <w:rPr>
          <w:rFonts w:cs="Calibri"/>
          <w:b/>
          <w:bCs/>
          <w:noProof/>
          <w:sz w:val="32"/>
          <w:szCs w:val="32"/>
          <w:lang w:val="hr-BA"/>
        </w:rPr>
        <w:t>.</w:t>
      </w:r>
    </w:p>
    <w:p w:rsidR="0082570B" w:rsidRPr="00715429" w:rsidRDefault="0082570B" w:rsidP="00D61692">
      <w:pPr>
        <w:spacing w:after="0" w:line="240" w:lineRule="auto"/>
        <w:rPr>
          <w:rFonts w:cs="Calibri"/>
          <w:b/>
          <w:bCs/>
          <w:noProof/>
          <w:sz w:val="28"/>
          <w:szCs w:val="28"/>
          <w:lang w:val="hr-BA"/>
        </w:rPr>
      </w:pPr>
    </w:p>
    <w:p w:rsidR="0082570B" w:rsidRPr="00715429" w:rsidRDefault="0082570B" w:rsidP="00D61692">
      <w:pPr>
        <w:spacing w:after="0" w:line="240" w:lineRule="auto"/>
        <w:rPr>
          <w:rFonts w:cs="Calibri"/>
          <w:b/>
          <w:bCs/>
          <w:noProof/>
          <w:sz w:val="28"/>
          <w:szCs w:val="28"/>
          <w:lang w:val="hr-BA"/>
        </w:rPr>
      </w:pPr>
    </w:p>
    <w:p w:rsidR="0082570B" w:rsidRPr="00715429" w:rsidRDefault="00060FA7" w:rsidP="00D20CDA">
      <w:pPr>
        <w:spacing w:after="0" w:line="240" w:lineRule="auto"/>
        <w:rPr>
          <w:rFonts w:cs="Calibri"/>
          <w:bCs/>
          <w:noProof/>
          <w:sz w:val="28"/>
          <w:szCs w:val="28"/>
          <w:lang w:val="hr-BA"/>
        </w:rPr>
      </w:pPr>
      <w:r w:rsidRPr="00060FA7">
        <w:rPr>
          <w:noProof/>
          <w:lang w:val="hr-B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11pt;margin-top:363pt;width:234.35pt;height:338pt;rotation:-360;z-index:-251658240;mso-position-horizontal-relative:margin;mso-position-vertical-relative:margin" wrapcoords="1315 -107 900 -53 -138 587 -138 20747 277 21227 277 21333 1038 21653 1246 21653 20285 21653 20423 21653 21392 21227 21738 20480 21738 1440 21669 587 20769 0 20285 -107 1315 -107" o:allowincell="f" adj="1739" fillcolor="#943634" strokecolor="#548dd4 [1951]" strokeweight="3pt">
            <v:imagedata embosscolor="shadow add(51)"/>
            <v:shadow type="emboss" color="lineOrFill darken(153)" color2="shadow add(102)" offset="1pt,1pt"/>
            <v:textbox style="mso-next-textbox:#_x0000_s1026" inset="3.6pt,,3.6pt">
              <w:txbxContent>
                <w:p w:rsidR="003C7061" w:rsidRDefault="003C7061" w:rsidP="00BE47BD">
                  <w:pPr>
                    <w:pStyle w:val="NoSpacing"/>
                    <w:jc w:val="center"/>
                    <w:rPr>
                      <w:b/>
                      <w:bCs/>
                      <w:color w:val="000000"/>
                      <w:sz w:val="40"/>
                      <w:szCs w:val="40"/>
                      <w:lang w:val="pl-PL"/>
                    </w:rPr>
                  </w:pPr>
                  <w:r w:rsidRPr="003A5C77">
                    <w:rPr>
                      <w:b/>
                      <w:bCs/>
                      <w:color w:val="000000"/>
                      <w:sz w:val="40"/>
                      <w:szCs w:val="40"/>
                      <w:lang w:val="pl-PL"/>
                    </w:rPr>
                    <w:t>KLJUČNE PORUKE</w:t>
                  </w:r>
                </w:p>
                <w:p w:rsidR="003C7061" w:rsidRDefault="003C7061" w:rsidP="00E2362B">
                  <w:pPr>
                    <w:pStyle w:val="NoSpacing"/>
                    <w:ind w:left="851"/>
                    <w:rPr>
                      <w:b/>
                      <w:bCs/>
                      <w:color w:val="000000"/>
                      <w:sz w:val="24"/>
                      <w:szCs w:val="40"/>
                      <w:lang w:val="pl-PL"/>
                    </w:rPr>
                  </w:pPr>
                </w:p>
                <w:p w:rsidR="003C7061" w:rsidRPr="003C7061" w:rsidRDefault="003C7061" w:rsidP="003C7061">
                  <w:pPr>
                    <w:pStyle w:val="NoSpacing"/>
                    <w:numPr>
                      <w:ilvl w:val="0"/>
                      <w:numId w:val="27"/>
                    </w:numPr>
                    <w:spacing w:after="120"/>
                    <w:ind w:left="567" w:hanging="578"/>
                    <w:rPr>
                      <w:b/>
                    </w:rPr>
                  </w:pPr>
                  <w:r w:rsidRPr="003C7061">
                    <w:rPr>
                      <w:b/>
                    </w:rPr>
                    <w:t>Inflacija u Eurozoni je u maju 2014. godine pala na 0,5%</w:t>
                  </w:r>
                </w:p>
                <w:p w:rsidR="003C7061" w:rsidRPr="003C7061" w:rsidRDefault="003C7061" w:rsidP="003C7061">
                  <w:pPr>
                    <w:pStyle w:val="NoSpacing"/>
                    <w:numPr>
                      <w:ilvl w:val="0"/>
                      <w:numId w:val="27"/>
                    </w:numPr>
                    <w:spacing w:after="120"/>
                    <w:ind w:left="567" w:hanging="578"/>
                    <w:rPr>
                      <w:b/>
                    </w:rPr>
                  </w:pPr>
                  <w:r w:rsidRPr="003C7061">
                    <w:rPr>
                      <w:b/>
                    </w:rPr>
                    <w:t>Promet u trgovini na malo u aprilu g-n-g, bilježi rast u tekućim cijenama od 3,1%</w:t>
                  </w:r>
                </w:p>
                <w:p w:rsidR="003C7061" w:rsidRPr="003C7061" w:rsidRDefault="003C7061" w:rsidP="003C7061">
                  <w:pPr>
                    <w:pStyle w:val="NoSpacing"/>
                    <w:numPr>
                      <w:ilvl w:val="0"/>
                      <w:numId w:val="27"/>
                    </w:numPr>
                    <w:ind w:left="567" w:hanging="567"/>
                    <w:rPr>
                      <w:szCs w:val="20"/>
                      <w:lang w:val="sr-Latn-CS"/>
                    </w:rPr>
                  </w:pPr>
                  <w:r w:rsidRPr="003C7061">
                    <w:rPr>
                      <w:b/>
                      <w:bCs/>
                      <w:szCs w:val="20"/>
                      <w:lang w:val="sr-Latn-CS"/>
                    </w:rPr>
                    <w:t xml:space="preserve">Izvorni prihodi budžeta Crne Gore </w:t>
                  </w:r>
                  <w:r>
                    <w:rPr>
                      <w:b/>
                      <w:bCs/>
                      <w:szCs w:val="20"/>
                      <w:lang w:val="sr-Latn-CS"/>
                    </w:rPr>
                    <w:t xml:space="preserve">u aprilu 2014. godine iznosili  108,7 mil. € </w:t>
                  </w:r>
                  <w:r w:rsidRPr="003C7061">
                    <w:rPr>
                      <w:b/>
                      <w:bCs/>
                      <w:szCs w:val="20"/>
                      <w:lang w:val="sr-Latn-CS"/>
                    </w:rPr>
                    <w:t xml:space="preserve"> veći za 4,5% u odnosu na april 2013. godine, u odnosu na plan za 1,6 %.</w:t>
                  </w:r>
                  <w:r w:rsidRPr="003C7061">
                    <w:rPr>
                      <w:szCs w:val="20"/>
                      <w:lang w:val="sr-Latn-CS"/>
                    </w:rPr>
                    <w:t> </w:t>
                  </w:r>
                </w:p>
                <w:p w:rsidR="003C7061" w:rsidRPr="003C7061" w:rsidRDefault="003C7061" w:rsidP="003C7061">
                  <w:pPr>
                    <w:pStyle w:val="NoSpacing"/>
                    <w:numPr>
                      <w:ilvl w:val="0"/>
                      <w:numId w:val="27"/>
                    </w:numPr>
                    <w:ind w:left="567" w:hanging="567"/>
                    <w:rPr>
                      <w:b/>
                      <w:noProof/>
                      <w:szCs w:val="20"/>
                    </w:rPr>
                  </w:pPr>
                  <w:r w:rsidRPr="003C7061">
                    <w:rPr>
                      <w:b/>
                      <w:noProof/>
                      <w:szCs w:val="20"/>
                    </w:rPr>
                    <w:t>Monetarna kretanja u aprilu je obilježio rasta ukupnih depozita i smanjenje kreditne</w:t>
                  </w:r>
                  <w:r w:rsidRPr="003C7061">
                    <w:rPr>
                      <w:noProof/>
                      <w:szCs w:val="20"/>
                    </w:rPr>
                    <w:t xml:space="preserve"> </w:t>
                  </w:r>
                  <w:r w:rsidRPr="003C7061">
                    <w:rPr>
                      <w:b/>
                      <w:noProof/>
                      <w:szCs w:val="20"/>
                    </w:rPr>
                    <w:t>aktivnosti</w:t>
                  </w:r>
                </w:p>
                <w:p w:rsidR="003C7061" w:rsidRPr="003C7061" w:rsidRDefault="003C7061" w:rsidP="003C7061">
                  <w:pPr>
                    <w:pStyle w:val="NoSpacing"/>
                    <w:numPr>
                      <w:ilvl w:val="0"/>
                      <w:numId w:val="27"/>
                    </w:numPr>
                    <w:ind w:left="567" w:hanging="567"/>
                    <w:rPr>
                      <w:b/>
                    </w:rPr>
                  </w:pPr>
                  <w:r w:rsidRPr="003C7061">
                    <w:rPr>
                      <w:b/>
                      <w:szCs w:val="18"/>
                    </w:rPr>
                    <w:t>Spoljnotrgovinski promet Crne Gore u periodu januar – april 2014.  smanjen, usljed pada izvozne proizvodnje metalske industrije, negativnog energetskog bilansa, kao i smanjene agregatne tražnje</w:t>
                  </w:r>
                </w:p>
                <w:p w:rsidR="003C7061" w:rsidRDefault="003C7061" w:rsidP="003C7061">
                  <w:pPr>
                    <w:pStyle w:val="NoSpacing"/>
                    <w:ind w:left="567"/>
                    <w:rPr>
                      <w:b/>
                      <w:sz w:val="20"/>
                    </w:rPr>
                  </w:pPr>
                </w:p>
                <w:p w:rsidR="003C7061" w:rsidRPr="00E2362B" w:rsidRDefault="003C7061" w:rsidP="00E2362B">
                  <w:pPr>
                    <w:pStyle w:val="NoSpacing"/>
                    <w:ind w:left="851"/>
                    <w:rPr>
                      <w:b/>
                      <w:bCs/>
                      <w:color w:val="000000"/>
                      <w:sz w:val="24"/>
                      <w:szCs w:val="40"/>
                      <w:lang w:val="pl-PL"/>
                    </w:rPr>
                  </w:pPr>
                </w:p>
              </w:txbxContent>
            </v:textbox>
            <w10:wrap type="tight" anchorx="margin" anchory="margin"/>
          </v:shape>
        </w:pict>
      </w:r>
    </w:p>
    <w:p w:rsidR="0082570B" w:rsidRPr="00715429" w:rsidRDefault="0082570B" w:rsidP="00D20CDA">
      <w:pPr>
        <w:spacing w:after="0" w:line="240" w:lineRule="auto"/>
        <w:rPr>
          <w:rFonts w:cs="Calibri"/>
          <w:bCs/>
          <w:iCs/>
          <w:noProof/>
          <w:sz w:val="26"/>
          <w:szCs w:val="26"/>
          <w:lang w:val="hr-BA"/>
        </w:rPr>
      </w:pPr>
    </w:p>
    <w:p w:rsidR="0082570B" w:rsidRPr="00715429" w:rsidRDefault="0085138D" w:rsidP="00D61692">
      <w:pPr>
        <w:pStyle w:val="NoSpacing"/>
        <w:rPr>
          <w:bCs/>
          <w:iCs/>
          <w:noProof/>
          <w:sz w:val="26"/>
          <w:szCs w:val="26"/>
          <w:lang w:val="hr-BA"/>
        </w:rPr>
      </w:pPr>
      <w:r>
        <w:rPr>
          <w:bCs/>
          <w:iCs/>
          <w:noProof/>
          <w:sz w:val="26"/>
          <w:szCs w:val="26"/>
          <w:lang w:val="hr-BA"/>
        </w:rPr>
        <w:t xml:space="preserve">          </w:t>
      </w:r>
    </w:p>
    <w:p w:rsidR="0082570B" w:rsidRPr="00715429" w:rsidRDefault="0085138D" w:rsidP="00694445">
      <w:pPr>
        <w:pStyle w:val="NoSpacing"/>
        <w:rPr>
          <w:bCs/>
          <w:noProof/>
          <w:sz w:val="28"/>
          <w:szCs w:val="20"/>
          <w:lang w:val="hr-BA"/>
        </w:rPr>
      </w:pPr>
      <w:r>
        <w:rPr>
          <w:bCs/>
          <w:noProof/>
          <w:sz w:val="28"/>
          <w:szCs w:val="20"/>
          <w:lang w:eastAsia="en-US"/>
        </w:rPr>
        <w:drawing>
          <wp:anchor distT="0" distB="0" distL="114300" distR="114300" simplePos="0" relativeHeight="251657216" behindDoc="0" locked="0" layoutInCell="1" allowOverlap="1">
            <wp:simplePos x="0" y="0"/>
            <wp:positionH relativeFrom="column">
              <wp:posOffset>912495</wp:posOffset>
            </wp:positionH>
            <wp:positionV relativeFrom="paragraph">
              <wp:posOffset>136525</wp:posOffset>
            </wp:positionV>
            <wp:extent cx="2238375" cy="2644140"/>
            <wp:effectExtent l="19050" t="0" r="9525" b="0"/>
            <wp:wrapSquare wrapText="bothSides"/>
            <wp:docPr id="13" name="Picture 1" descr="C:\Users\radovan.zivkovic\Desktop\push-t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ovan.zivkovic\Desktop\push-to-vertical.jpg"/>
                    <pic:cNvPicPr>
                      <a:picLocks noChangeAspect="1" noChangeArrowheads="1"/>
                    </pic:cNvPicPr>
                  </pic:nvPicPr>
                  <pic:blipFill>
                    <a:blip r:embed="rId9"/>
                    <a:srcRect/>
                    <a:stretch>
                      <a:fillRect/>
                    </a:stretch>
                  </pic:blipFill>
                  <pic:spPr bwMode="auto">
                    <a:xfrm>
                      <a:off x="0" y="0"/>
                      <a:ext cx="2238375" cy="2644140"/>
                    </a:xfrm>
                    <a:prstGeom prst="rect">
                      <a:avLst/>
                    </a:prstGeom>
                    <a:noFill/>
                    <a:ln w="9525">
                      <a:noFill/>
                      <a:miter lim="800000"/>
                      <a:headEnd/>
                      <a:tailEnd/>
                    </a:ln>
                  </pic:spPr>
                </pic:pic>
              </a:graphicData>
            </a:graphic>
          </wp:anchor>
        </w:drawing>
      </w:r>
    </w:p>
    <w:p w:rsidR="0082570B" w:rsidRPr="00715429" w:rsidRDefault="0082570B" w:rsidP="003324D9">
      <w:pPr>
        <w:pStyle w:val="NoSpacing"/>
        <w:rPr>
          <w:noProof/>
          <w:sz w:val="32"/>
          <w:lang w:val="hr-BA"/>
        </w:rPr>
      </w:pPr>
    </w:p>
    <w:p w:rsidR="0082570B" w:rsidRPr="00715429" w:rsidRDefault="0082570B" w:rsidP="003324D9">
      <w:pPr>
        <w:pStyle w:val="NoSpacing"/>
        <w:rPr>
          <w:noProof/>
          <w:sz w:val="32"/>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noProof/>
          <w:lang w:val="hr-BA"/>
        </w:rPr>
      </w:pPr>
    </w:p>
    <w:p w:rsidR="0082570B" w:rsidRPr="00715429" w:rsidRDefault="0082570B" w:rsidP="003324D9">
      <w:pPr>
        <w:pStyle w:val="NoSpacing"/>
        <w:rPr>
          <w:b/>
          <w:bCs/>
          <w:noProof/>
          <w:color w:val="000000"/>
          <w:sz w:val="16"/>
          <w:szCs w:val="16"/>
          <w:lang w:val="hr-BA"/>
        </w:rPr>
      </w:pPr>
    </w:p>
    <w:p w:rsidR="0082570B" w:rsidRPr="00715429" w:rsidRDefault="0082570B" w:rsidP="003324D9">
      <w:pPr>
        <w:pStyle w:val="NoSpacing"/>
        <w:rPr>
          <w:b/>
          <w:bCs/>
          <w:noProof/>
          <w:color w:val="000000"/>
          <w:sz w:val="16"/>
          <w:szCs w:val="16"/>
          <w:lang w:val="hr-BA"/>
        </w:rPr>
      </w:pPr>
    </w:p>
    <w:p w:rsidR="0082570B" w:rsidRPr="00715429" w:rsidRDefault="0082570B" w:rsidP="00A423C3">
      <w:pPr>
        <w:pStyle w:val="NoSpacing"/>
        <w:outlineLvl w:val="0"/>
        <w:rPr>
          <w:bCs/>
          <w:noProof/>
          <w:color w:val="000000"/>
          <w:sz w:val="16"/>
          <w:szCs w:val="16"/>
          <w:lang w:val="hr-BA"/>
        </w:rPr>
      </w:pPr>
      <w:r w:rsidRPr="00715429">
        <w:rPr>
          <w:b/>
          <w:bCs/>
          <w:noProof/>
          <w:color w:val="000000"/>
          <w:sz w:val="16"/>
          <w:szCs w:val="16"/>
          <w:lang w:val="hr-BA"/>
        </w:rPr>
        <w:t xml:space="preserve">Autori priloga: </w:t>
      </w:r>
      <w:r w:rsidR="00423EE9" w:rsidRPr="00715429">
        <w:rPr>
          <w:bCs/>
          <w:noProof/>
          <w:color w:val="000000"/>
          <w:sz w:val="16"/>
          <w:szCs w:val="16"/>
          <w:lang w:val="hr-BA"/>
        </w:rPr>
        <w:t>Radovan Živković</w:t>
      </w:r>
      <w:r w:rsidR="002A2CED" w:rsidRPr="00715429">
        <w:rPr>
          <w:bCs/>
          <w:noProof/>
          <w:color w:val="000000"/>
          <w:sz w:val="16"/>
          <w:szCs w:val="16"/>
          <w:lang w:val="hr-BA"/>
        </w:rPr>
        <w:t>, Radojka Martinović</w:t>
      </w:r>
      <w:r w:rsidR="00423EE9" w:rsidRPr="00715429">
        <w:rPr>
          <w:bCs/>
          <w:noProof/>
          <w:color w:val="000000"/>
          <w:sz w:val="16"/>
          <w:szCs w:val="16"/>
          <w:lang w:val="hr-BA"/>
        </w:rPr>
        <w:t xml:space="preserve">, Olja Tomanović, </w:t>
      </w:r>
      <w:r w:rsidR="00074D69" w:rsidRPr="00715429">
        <w:rPr>
          <w:bCs/>
          <w:noProof/>
          <w:color w:val="000000"/>
          <w:sz w:val="16"/>
          <w:szCs w:val="16"/>
          <w:lang w:val="hr-BA"/>
        </w:rPr>
        <w:t xml:space="preserve"> </w:t>
      </w:r>
      <w:r w:rsidR="00423EE9" w:rsidRPr="00715429">
        <w:rPr>
          <w:bCs/>
          <w:noProof/>
          <w:color w:val="000000"/>
          <w:sz w:val="16"/>
          <w:szCs w:val="16"/>
          <w:lang w:val="hr-BA"/>
        </w:rPr>
        <w:t>Stanko Jeknić</w:t>
      </w:r>
      <w:r w:rsidR="002A2CED" w:rsidRPr="00715429">
        <w:rPr>
          <w:bCs/>
          <w:noProof/>
          <w:color w:val="000000"/>
          <w:sz w:val="16"/>
          <w:szCs w:val="16"/>
          <w:lang w:val="hr-BA"/>
        </w:rPr>
        <w:t>,</w:t>
      </w:r>
      <w:r w:rsidR="00423EE9" w:rsidRPr="00715429">
        <w:rPr>
          <w:bCs/>
          <w:noProof/>
          <w:color w:val="000000"/>
          <w:sz w:val="16"/>
          <w:szCs w:val="16"/>
          <w:lang w:val="hr-BA"/>
        </w:rPr>
        <w:t xml:space="preserve"> </w:t>
      </w:r>
      <w:r w:rsidR="00C646AC" w:rsidRPr="00715429">
        <w:rPr>
          <w:bCs/>
          <w:noProof/>
          <w:color w:val="000000"/>
          <w:sz w:val="16"/>
          <w:szCs w:val="16"/>
          <w:lang w:val="hr-BA"/>
        </w:rPr>
        <w:t xml:space="preserve"> </w:t>
      </w:r>
      <w:r w:rsidR="00EB54F9">
        <w:rPr>
          <w:bCs/>
          <w:noProof/>
          <w:color w:val="000000"/>
          <w:sz w:val="16"/>
          <w:szCs w:val="16"/>
          <w:lang w:val="hr-BA"/>
        </w:rPr>
        <w:t>Vesna Obradović</w:t>
      </w:r>
      <w:r w:rsidR="004B5F63" w:rsidRPr="00715429">
        <w:rPr>
          <w:bCs/>
          <w:noProof/>
          <w:color w:val="000000"/>
          <w:sz w:val="16"/>
          <w:szCs w:val="16"/>
          <w:lang w:val="hr-BA"/>
        </w:rPr>
        <w:t>, Marija Novosel</w:t>
      </w:r>
      <w:r w:rsidR="00A423C3" w:rsidRPr="00715429">
        <w:rPr>
          <w:bCs/>
          <w:noProof/>
          <w:color w:val="000000"/>
          <w:sz w:val="16"/>
          <w:szCs w:val="16"/>
          <w:lang w:val="hr-BA"/>
        </w:rPr>
        <w:t>,</w:t>
      </w:r>
      <w:r w:rsidR="002A2CED" w:rsidRPr="00715429">
        <w:rPr>
          <w:bCs/>
          <w:noProof/>
          <w:color w:val="000000"/>
          <w:sz w:val="16"/>
          <w:szCs w:val="16"/>
          <w:lang w:val="hr-BA"/>
        </w:rPr>
        <w:t xml:space="preserve"> Zdenka</w:t>
      </w:r>
      <w:r w:rsidR="00F03604" w:rsidRPr="00715429">
        <w:rPr>
          <w:bCs/>
          <w:noProof/>
          <w:color w:val="000000"/>
          <w:sz w:val="16"/>
          <w:szCs w:val="16"/>
          <w:lang w:val="hr-BA"/>
        </w:rPr>
        <w:t xml:space="preserve"> </w:t>
      </w:r>
      <w:r w:rsidR="002A2CED" w:rsidRPr="00715429">
        <w:rPr>
          <w:bCs/>
          <w:noProof/>
          <w:color w:val="000000"/>
          <w:sz w:val="16"/>
          <w:szCs w:val="16"/>
          <w:lang w:val="hr-BA"/>
        </w:rPr>
        <w:t>Dabović</w:t>
      </w:r>
      <w:r w:rsidR="00E2362B">
        <w:rPr>
          <w:bCs/>
          <w:noProof/>
          <w:color w:val="000000"/>
          <w:sz w:val="16"/>
          <w:szCs w:val="16"/>
          <w:lang w:val="hr-BA"/>
        </w:rPr>
        <w:t>, Milanka Jovanović</w:t>
      </w:r>
    </w:p>
    <w:p w:rsidR="00A67F78" w:rsidRPr="00715429" w:rsidRDefault="00A67F78" w:rsidP="00A423C3">
      <w:pPr>
        <w:pStyle w:val="NoSpacing"/>
        <w:outlineLvl w:val="0"/>
        <w:rPr>
          <w:bCs/>
          <w:noProof/>
          <w:color w:val="000000"/>
          <w:sz w:val="16"/>
          <w:szCs w:val="16"/>
          <w:lang w:val="hr-BA"/>
        </w:rPr>
      </w:pPr>
    </w:p>
    <w:p w:rsidR="00A67F78" w:rsidRPr="00715429" w:rsidRDefault="00A67F78" w:rsidP="00A423C3">
      <w:pPr>
        <w:pStyle w:val="NoSpacing"/>
        <w:outlineLvl w:val="0"/>
        <w:rPr>
          <w:bCs/>
          <w:noProof/>
          <w:color w:val="000000"/>
          <w:sz w:val="16"/>
          <w:szCs w:val="16"/>
          <w:lang w:val="hr-BA"/>
        </w:rPr>
      </w:pPr>
    </w:p>
    <w:p w:rsidR="00A67F78" w:rsidRPr="00715429" w:rsidRDefault="00A67F78" w:rsidP="00A423C3">
      <w:pPr>
        <w:pStyle w:val="NoSpacing"/>
        <w:outlineLvl w:val="0"/>
        <w:rPr>
          <w:bCs/>
          <w:noProof/>
          <w:color w:val="000000"/>
          <w:sz w:val="16"/>
          <w:szCs w:val="16"/>
          <w:lang w:val="hr-BA"/>
        </w:rPr>
      </w:pPr>
    </w:p>
    <w:p w:rsidR="00A67F78" w:rsidRPr="00715429" w:rsidRDefault="00A67F78" w:rsidP="00A423C3">
      <w:pPr>
        <w:pStyle w:val="NoSpacing"/>
        <w:outlineLvl w:val="0"/>
        <w:rPr>
          <w:noProof/>
          <w:lang w:val="hr-BA"/>
        </w:rPr>
      </w:pPr>
    </w:p>
    <w:tbl>
      <w:tblPr>
        <w:tblpPr w:leftFromText="180" w:rightFromText="180" w:vertAnchor="text" w:tblpX="108" w:tblpY="1"/>
        <w:tblOverlap w:val="never"/>
        <w:tblW w:w="10710" w:type="dxa"/>
        <w:tblBorders>
          <w:top w:val="thinThickSmallGap" w:sz="18" w:space="0" w:color="auto"/>
          <w:bottom w:val="thinThickSmallGap" w:sz="18" w:space="0" w:color="auto"/>
          <w:insideH w:val="thinThickSmallGap" w:sz="18" w:space="0" w:color="auto"/>
        </w:tblBorders>
        <w:tblLayout w:type="fixed"/>
        <w:tblLook w:val="00A0"/>
      </w:tblPr>
      <w:tblGrid>
        <w:gridCol w:w="6946"/>
        <w:gridCol w:w="3652"/>
        <w:gridCol w:w="112"/>
      </w:tblGrid>
      <w:tr w:rsidR="0082570B" w:rsidRPr="00715429" w:rsidTr="00431253">
        <w:trPr>
          <w:gridAfter w:val="1"/>
          <w:wAfter w:w="112" w:type="dxa"/>
        </w:trPr>
        <w:tc>
          <w:tcPr>
            <w:tcW w:w="6946" w:type="dxa"/>
            <w:tcBorders>
              <w:bottom w:val="single" w:sz="4" w:space="0" w:color="auto"/>
            </w:tcBorders>
          </w:tcPr>
          <w:p w:rsidR="0082570B" w:rsidRPr="00715429" w:rsidRDefault="005065E6" w:rsidP="001D21BD">
            <w:pPr>
              <w:pStyle w:val="ListParagraph"/>
              <w:numPr>
                <w:ilvl w:val="0"/>
                <w:numId w:val="1"/>
              </w:numPr>
              <w:spacing w:after="0" w:line="240" w:lineRule="auto"/>
              <w:jc w:val="both"/>
              <w:rPr>
                <w:rFonts w:eastAsia="Times New Roman"/>
                <w:b/>
                <w:noProof/>
                <w:color w:val="000000"/>
                <w:sz w:val="20"/>
                <w:szCs w:val="20"/>
                <w:lang w:val="hr-BA" w:eastAsia="en-US"/>
              </w:rPr>
            </w:pPr>
            <w:r w:rsidRPr="00715429">
              <w:rPr>
                <w:rFonts w:eastAsia="Times New Roman"/>
                <w:b/>
                <w:noProof/>
                <w:color w:val="000000"/>
                <w:sz w:val="20"/>
                <w:szCs w:val="20"/>
                <w:lang w:val="hr-BA" w:eastAsia="en-US"/>
              </w:rPr>
              <w:t>Međunarodno okruženje</w:t>
            </w:r>
          </w:p>
        </w:tc>
        <w:tc>
          <w:tcPr>
            <w:tcW w:w="3652" w:type="dxa"/>
            <w:vMerge w:val="restart"/>
            <w:tcBorders>
              <w:bottom w:val="nil"/>
            </w:tcBorders>
            <w:vAlign w:val="center"/>
          </w:tcPr>
          <w:p w:rsidR="0082570B" w:rsidRPr="00715429" w:rsidRDefault="00C2155E" w:rsidP="001D21BD">
            <w:pPr>
              <w:spacing w:after="0" w:line="240" w:lineRule="auto"/>
              <w:jc w:val="center"/>
              <w:rPr>
                <w:rFonts w:cs="Calibri"/>
                <w:noProof/>
                <w:color w:val="000000"/>
                <w:sz w:val="20"/>
                <w:szCs w:val="20"/>
                <w:lang w:val="hr-BA"/>
              </w:rPr>
            </w:pPr>
            <w:r w:rsidRPr="00C2155E">
              <w:rPr>
                <w:rFonts w:cs="Calibri"/>
                <w:noProof/>
                <w:color w:val="000000"/>
                <w:sz w:val="20"/>
                <w:szCs w:val="20"/>
              </w:rPr>
              <w:drawing>
                <wp:inline distT="0" distB="0" distL="0" distR="0">
                  <wp:extent cx="2305050" cy="2165350"/>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82570B" w:rsidRPr="00715429" w:rsidTr="00715116">
        <w:trPr>
          <w:gridAfter w:val="1"/>
          <w:wAfter w:w="112" w:type="dxa"/>
          <w:trHeight w:hRule="exact" w:val="3402"/>
        </w:trPr>
        <w:tc>
          <w:tcPr>
            <w:tcW w:w="6946" w:type="dxa"/>
            <w:tcBorders>
              <w:top w:val="single" w:sz="4" w:space="0" w:color="auto"/>
            </w:tcBorders>
          </w:tcPr>
          <w:p w:rsidR="000C437B" w:rsidRPr="009F50F5" w:rsidRDefault="000C437B" w:rsidP="00B0595F">
            <w:pPr>
              <w:jc w:val="both"/>
              <w:rPr>
                <w:sz w:val="20"/>
              </w:rPr>
            </w:pPr>
            <w:r w:rsidRPr="00C053D3">
              <w:rPr>
                <w:b/>
                <w:sz w:val="20"/>
              </w:rPr>
              <w:t>Inflacija u Eurozoni je u maju 2014. godine pala na 0,5% sa 0,7% u prethodnom mjesecu</w:t>
            </w:r>
            <w:r w:rsidRPr="009F50F5">
              <w:rPr>
                <w:sz w:val="20"/>
              </w:rPr>
              <w:t xml:space="preserve">. Ovo je </w:t>
            </w:r>
            <w:r w:rsidR="00B0595F">
              <w:rPr>
                <w:sz w:val="20"/>
              </w:rPr>
              <w:t>snažan</w:t>
            </w:r>
            <w:r w:rsidRPr="009F50F5">
              <w:rPr>
                <w:sz w:val="20"/>
              </w:rPr>
              <w:t xml:space="preserve"> </w:t>
            </w:r>
            <w:r w:rsidR="00B0595F">
              <w:rPr>
                <w:sz w:val="20"/>
              </w:rPr>
              <w:t>signal</w:t>
            </w:r>
            <w:r w:rsidRPr="009F50F5">
              <w:rPr>
                <w:sz w:val="20"/>
              </w:rPr>
              <w:t xml:space="preserve"> Savjetu Evropske centralne banke da monetarnim mjerama pokuša da smanji rizike od deflacije i slabog ekonomskog rasta. Pad ili slab rast cijena pods</w:t>
            </w:r>
            <w:r w:rsidR="00715116">
              <w:rPr>
                <w:sz w:val="20"/>
              </w:rPr>
              <w:t>tiču</w:t>
            </w:r>
            <w:r w:rsidRPr="009F50F5">
              <w:rPr>
                <w:sz w:val="20"/>
              </w:rPr>
              <w:t xml:space="preserve"> potrošače da odlažu kupovinu u očekivanju budućih nižih cijena. Kompanije zbog toga odlažu investicije, a to se pretače u slab ekonomski rast ili stagnaciju. Mjere koje su na raspolaganju ECB se odnose na smanjenje osnovne kamatne stope , koja je trenutno vrlo niska 0,25%. Očekuje se da bi stopa na depozite komercijalnih banaka mogla da bude i negativna, a to praktično znači da bi banke plaćale ECB kamatu za držanje sredstava na njenim računima. Smisao ove mjere je da podstakne banke na kreditiranje realnog sektora. Druga mjera je uvođenje šeme „finansiranje za pozajmljivanje“ (funding for lending), kojom banke povlače sredstva po niskim kamatama u slučaju da ih plasiraju u realni sektor.</w:t>
            </w:r>
            <w:r w:rsidR="00715116" w:rsidRPr="009F50F5">
              <w:rPr>
                <w:sz w:val="20"/>
              </w:rPr>
              <w:t xml:space="preserve"> </w:t>
            </w:r>
            <w:r w:rsidRPr="009F50F5">
              <w:rPr>
                <w:sz w:val="20"/>
              </w:rPr>
              <w:t>Quantitative easing) kojima bi ECB otkupljivala obveznice i na taj način ubacila jeftina srestva u kreditne tokove.</w:t>
            </w:r>
          </w:p>
          <w:p w:rsidR="00754D46" w:rsidRPr="00715429" w:rsidRDefault="00754D46" w:rsidP="0083011C">
            <w:pPr>
              <w:spacing w:line="240" w:lineRule="auto"/>
              <w:jc w:val="both"/>
              <w:rPr>
                <w:noProof/>
                <w:sz w:val="20"/>
                <w:szCs w:val="20"/>
                <w:lang w:val="hr-BA"/>
              </w:rPr>
            </w:pPr>
          </w:p>
        </w:tc>
        <w:tc>
          <w:tcPr>
            <w:tcW w:w="3652" w:type="dxa"/>
            <w:vMerge/>
            <w:tcBorders>
              <w:top w:val="nil"/>
            </w:tcBorders>
            <w:vAlign w:val="center"/>
          </w:tcPr>
          <w:p w:rsidR="0082570B" w:rsidRPr="00715429" w:rsidRDefault="0082570B" w:rsidP="001D21BD">
            <w:pPr>
              <w:spacing w:after="0" w:line="240" w:lineRule="auto"/>
              <w:ind w:left="34" w:hanging="34"/>
              <w:rPr>
                <w:rFonts w:cs="Calibri"/>
                <w:noProof/>
                <w:color w:val="000000"/>
                <w:sz w:val="20"/>
                <w:szCs w:val="20"/>
                <w:lang w:val="hr-BA"/>
              </w:rPr>
            </w:pPr>
          </w:p>
        </w:tc>
      </w:tr>
      <w:tr w:rsidR="0082570B" w:rsidRPr="00715429" w:rsidTr="00431253">
        <w:trPr>
          <w:gridAfter w:val="1"/>
          <w:wAfter w:w="112" w:type="dxa"/>
          <w:trHeight w:val="215"/>
        </w:trPr>
        <w:tc>
          <w:tcPr>
            <w:tcW w:w="6946" w:type="dxa"/>
            <w:tcBorders>
              <w:bottom w:val="single" w:sz="4" w:space="0" w:color="auto"/>
            </w:tcBorders>
          </w:tcPr>
          <w:p w:rsidR="0082570B" w:rsidRPr="00715429" w:rsidRDefault="008A31C0" w:rsidP="001D21BD">
            <w:pPr>
              <w:pStyle w:val="ListParagraph"/>
              <w:numPr>
                <w:ilvl w:val="0"/>
                <w:numId w:val="1"/>
              </w:numPr>
              <w:spacing w:after="0" w:line="240" w:lineRule="auto"/>
              <w:rPr>
                <w:rStyle w:val="CaptionChar"/>
                <w:noProof/>
                <w:lang w:val="hr-BA"/>
              </w:rPr>
            </w:pPr>
            <w:r w:rsidRPr="00715429">
              <w:rPr>
                <w:rStyle w:val="CaptionChar"/>
                <w:noProof/>
                <w:lang w:val="hr-BA"/>
              </w:rPr>
              <w:t>Realni sektor</w:t>
            </w:r>
          </w:p>
        </w:tc>
        <w:tc>
          <w:tcPr>
            <w:tcW w:w="3652" w:type="dxa"/>
            <w:vMerge w:val="restart"/>
            <w:vAlign w:val="center"/>
          </w:tcPr>
          <w:p w:rsidR="0082570B" w:rsidRPr="00B0595F" w:rsidRDefault="00632F90" w:rsidP="001D21BD">
            <w:pPr>
              <w:spacing w:after="0" w:line="240" w:lineRule="auto"/>
              <w:ind w:left="-250"/>
              <w:jc w:val="center"/>
              <w:rPr>
                <w:b/>
                <w:noProof/>
                <w:lang w:val="hr-BA"/>
              </w:rPr>
            </w:pPr>
            <w:r w:rsidRPr="00B0595F">
              <w:rPr>
                <w:b/>
                <w:noProof/>
              </w:rPr>
              <w:drawing>
                <wp:inline distT="0" distB="0" distL="0" distR="0">
                  <wp:extent cx="1982081" cy="1659662"/>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7D0106" w:rsidRPr="00715429" w:rsidTr="00005447">
        <w:trPr>
          <w:gridAfter w:val="1"/>
          <w:wAfter w:w="112" w:type="dxa"/>
          <w:trHeight w:hRule="exact" w:val="3126"/>
        </w:trPr>
        <w:tc>
          <w:tcPr>
            <w:tcW w:w="6946" w:type="dxa"/>
            <w:tcBorders>
              <w:top w:val="single" w:sz="4" w:space="0" w:color="auto"/>
            </w:tcBorders>
          </w:tcPr>
          <w:p w:rsidR="00B355D6" w:rsidRPr="00632F90" w:rsidRDefault="00632F90" w:rsidP="00B0595F">
            <w:pPr>
              <w:spacing w:line="240" w:lineRule="auto"/>
              <w:jc w:val="both"/>
              <w:rPr>
                <w:rFonts w:cs="Calibri"/>
                <w:sz w:val="18"/>
                <w:szCs w:val="18"/>
                <w:lang w:val="hr-BA"/>
              </w:rPr>
            </w:pPr>
            <w:r w:rsidRPr="00B0595F">
              <w:rPr>
                <w:b/>
                <w:sz w:val="20"/>
                <w:szCs w:val="18"/>
              </w:rPr>
              <w:t xml:space="preserve">Realni sektor u aprilu </w:t>
            </w:r>
            <w:r w:rsidR="00001E2D" w:rsidRPr="00B0595F">
              <w:rPr>
                <w:b/>
                <w:sz w:val="20"/>
                <w:szCs w:val="18"/>
              </w:rPr>
              <w:t>2014.</w:t>
            </w:r>
            <w:r w:rsidRPr="00B0595F">
              <w:rPr>
                <w:b/>
                <w:sz w:val="20"/>
                <w:szCs w:val="18"/>
              </w:rPr>
              <w:t>karakteriše pad industrijske proizvodnje i blagi rast prometa u turizmu i maloprodaji.</w:t>
            </w:r>
            <w:r w:rsidRPr="00B0595F">
              <w:rPr>
                <w:sz w:val="20"/>
                <w:szCs w:val="18"/>
              </w:rPr>
              <w:t xml:space="preserve"> Pad industrijske proizvodnje u </w:t>
            </w:r>
            <w:r w:rsidR="00F215F0" w:rsidRPr="00B0595F">
              <w:rPr>
                <w:sz w:val="20"/>
                <w:szCs w:val="18"/>
              </w:rPr>
              <w:t xml:space="preserve">aprilu </w:t>
            </w:r>
            <w:r w:rsidRPr="00B0595F">
              <w:rPr>
                <w:sz w:val="20"/>
                <w:szCs w:val="18"/>
              </w:rPr>
              <w:t>g-n-g</w:t>
            </w:r>
            <w:r w:rsidR="00F215F0" w:rsidRPr="00B0595F">
              <w:rPr>
                <w:sz w:val="20"/>
                <w:szCs w:val="18"/>
              </w:rPr>
              <w:t>,</w:t>
            </w:r>
            <w:r w:rsidRPr="00B0595F">
              <w:rPr>
                <w:sz w:val="20"/>
                <w:szCs w:val="18"/>
              </w:rPr>
              <w:t xml:space="preserve"> iznosio je 27,9%, dok je u periodu januar-april g-n-g, zabilježen pad od 11,1%. Gledano po sektorima, „vađenje rude i kamena“</w:t>
            </w:r>
            <w:r w:rsidR="00F215F0" w:rsidRPr="00B0595F">
              <w:rPr>
                <w:sz w:val="20"/>
                <w:szCs w:val="18"/>
              </w:rPr>
              <w:t xml:space="preserve"> u aprilu</w:t>
            </w:r>
            <w:r w:rsidRPr="00B0595F">
              <w:rPr>
                <w:sz w:val="20"/>
                <w:szCs w:val="18"/>
              </w:rPr>
              <w:t xml:space="preserve"> g-n-g, bilježi rast od 114,3. Sektor „prerađivačka industrija“, i pored rasta proizvodnje prehrambenih proizvoda (31,0%) i pića (8,3%) u aprilu 2014. g-n-g, bilježi pad od 12,2%, usljed pada proizvodnje osnovnih metala (16,5%) i farmaceutskih proizvoda (27,2%). Nakon visokog rasta u 2013, sektor „snabdijevanje el.energ, gasom i parom“ ove godine bilježi pad, koji je u aprilu g-n-g, iznosio 44,9%. Promet u trgovini na malo u aprilu g-n-g, bilježi rast u tekućim cijenama od 3,1%, dok je rast u stalnim cijenama iznosio 5,4%, usljed pada maloprodajnih cijena. U aprilu </w:t>
            </w:r>
            <w:r w:rsidR="00984907" w:rsidRPr="00B0595F">
              <w:rPr>
                <w:sz w:val="20"/>
                <w:szCs w:val="18"/>
              </w:rPr>
              <w:t>2014.</w:t>
            </w:r>
            <w:r w:rsidRPr="00B0595F">
              <w:rPr>
                <w:sz w:val="20"/>
                <w:szCs w:val="18"/>
              </w:rPr>
              <w:t xml:space="preserve"> Crnu Goru </w:t>
            </w:r>
            <w:r w:rsidR="00984907" w:rsidRPr="00B0595F">
              <w:rPr>
                <w:sz w:val="20"/>
                <w:szCs w:val="18"/>
              </w:rPr>
              <w:t xml:space="preserve">je </w:t>
            </w:r>
            <w:r w:rsidRPr="00B0595F">
              <w:rPr>
                <w:sz w:val="20"/>
                <w:szCs w:val="18"/>
              </w:rPr>
              <w:t>posjetilo 36,4 hilj.turista i ostvareno 130,4 hilj.noćenja, što je rast od 11,1 i 2,1%</w:t>
            </w:r>
            <w:r w:rsidR="00B0595F">
              <w:rPr>
                <w:sz w:val="20"/>
                <w:szCs w:val="18"/>
              </w:rPr>
              <w:t>.</w:t>
            </w:r>
          </w:p>
        </w:tc>
        <w:tc>
          <w:tcPr>
            <w:tcW w:w="3652" w:type="dxa"/>
            <w:vMerge/>
            <w:vAlign w:val="center"/>
          </w:tcPr>
          <w:p w:rsidR="007D0106" w:rsidRPr="00B0595F" w:rsidRDefault="007D0106" w:rsidP="001D21BD">
            <w:pPr>
              <w:spacing w:after="119" w:line="240" w:lineRule="auto"/>
              <w:jc w:val="center"/>
              <w:rPr>
                <w:b/>
                <w:noProof/>
                <w:lang w:val="hr-BA"/>
              </w:rPr>
            </w:pPr>
          </w:p>
        </w:tc>
      </w:tr>
      <w:tr w:rsidR="007D0106" w:rsidRPr="00715429" w:rsidTr="00431253">
        <w:trPr>
          <w:gridAfter w:val="1"/>
          <w:wAfter w:w="112" w:type="dxa"/>
          <w:trHeight w:val="215"/>
        </w:trPr>
        <w:tc>
          <w:tcPr>
            <w:tcW w:w="6946" w:type="dxa"/>
            <w:tcBorders>
              <w:bottom w:val="single" w:sz="4" w:space="0" w:color="auto"/>
            </w:tcBorders>
          </w:tcPr>
          <w:p w:rsidR="007D0106" w:rsidRPr="00632F90" w:rsidRDefault="008A31C0" w:rsidP="00632F90">
            <w:pPr>
              <w:pStyle w:val="NormalWeb"/>
              <w:numPr>
                <w:ilvl w:val="0"/>
                <w:numId w:val="1"/>
              </w:numPr>
              <w:spacing w:after="0"/>
              <w:jc w:val="both"/>
              <w:rPr>
                <w:rFonts w:ascii="Calibri" w:hAnsi="Calibri" w:cs="Calibri"/>
                <w:b/>
                <w:bCs/>
                <w:noProof/>
                <w:color w:val="000000"/>
                <w:sz w:val="18"/>
                <w:szCs w:val="18"/>
                <w:lang w:val="hr-BA"/>
              </w:rPr>
            </w:pPr>
            <w:r w:rsidRPr="00632F90">
              <w:rPr>
                <w:rFonts w:ascii="Calibri" w:hAnsi="Calibri" w:cs="Calibri"/>
                <w:b/>
                <w:bCs/>
                <w:noProof/>
                <w:color w:val="000000"/>
                <w:sz w:val="18"/>
                <w:szCs w:val="18"/>
                <w:lang w:val="hr-BA"/>
              </w:rPr>
              <w:t>Cijene</w:t>
            </w:r>
          </w:p>
        </w:tc>
        <w:tc>
          <w:tcPr>
            <w:tcW w:w="3652" w:type="dxa"/>
            <w:vMerge w:val="restart"/>
            <w:vAlign w:val="center"/>
          </w:tcPr>
          <w:p w:rsidR="007D0106" w:rsidRPr="00B0595F" w:rsidRDefault="00FA2F08" w:rsidP="001D21BD">
            <w:pPr>
              <w:spacing w:after="0" w:line="240" w:lineRule="auto"/>
              <w:ind w:left="-250"/>
              <w:jc w:val="center"/>
              <w:rPr>
                <w:b/>
                <w:noProof/>
                <w:sz w:val="20"/>
                <w:szCs w:val="20"/>
                <w:lang w:val="hr-BA"/>
              </w:rPr>
            </w:pPr>
            <w:r w:rsidRPr="00B0595F">
              <w:rPr>
                <w:b/>
                <w:noProof/>
                <w:sz w:val="20"/>
                <w:szCs w:val="20"/>
              </w:rPr>
              <w:drawing>
                <wp:inline distT="0" distB="0" distL="0" distR="0">
                  <wp:extent cx="2040222" cy="1723089"/>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7D0106" w:rsidRPr="00715429" w:rsidTr="004F2D36">
        <w:trPr>
          <w:gridAfter w:val="1"/>
          <w:wAfter w:w="112" w:type="dxa"/>
          <w:trHeight w:hRule="exact" w:val="3626"/>
        </w:trPr>
        <w:tc>
          <w:tcPr>
            <w:tcW w:w="6946" w:type="dxa"/>
            <w:tcBorders>
              <w:top w:val="single" w:sz="4" w:space="0" w:color="auto"/>
              <w:bottom w:val="thinThickSmallGap" w:sz="18" w:space="0" w:color="auto"/>
            </w:tcBorders>
          </w:tcPr>
          <w:p w:rsidR="00FA2F08" w:rsidRPr="00CF4446" w:rsidRDefault="00FA2F08" w:rsidP="00B0595F">
            <w:pPr>
              <w:spacing w:line="240" w:lineRule="auto"/>
              <w:jc w:val="both"/>
              <w:rPr>
                <w:rFonts w:asciiTheme="minorHAnsi" w:hAnsiTheme="minorHAnsi"/>
                <w:sz w:val="20"/>
                <w:szCs w:val="20"/>
              </w:rPr>
            </w:pPr>
            <w:r w:rsidRPr="00B0595F">
              <w:rPr>
                <w:rFonts w:asciiTheme="minorHAnsi" w:hAnsiTheme="minorHAnsi"/>
                <w:b/>
                <w:sz w:val="20"/>
                <w:szCs w:val="18"/>
              </w:rPr>
              <w:t xml:space="preserve">Nastavlja se trend pada potrošačkih cijena. </w:t>
            </w:r>
            <w:r w:rsidRPr="00B0595F">
              <w:rPr>
                <w:rFonts w:asciiTheme="minorHAnsi" w:hAnsiTheme="minorHAnsi"/>
                <w:sz w:val="20"/>
                <w:szCs w:val="18"/>
              </w:rPr>
              <w:t>Inflacija mjerena harmonizovanim indeksom (HICP) u aprilu 2014. bilježi pad od 0,1% u odnosu na prethodni mjesec i pad od 0,8% u odnosu na isti mjesec prošle godine.</w:t>
            </w:r>
            <w:r w:rsidRPr="00B0595F">
              <w:rPr>
                <w:rFonts w:asciiTheme="minorHAnsi" w:hAnsiTheme="minorHAnsi"/>
                <w:b/>
                <w:sz w:val="20"/>
                <w:szCs w:val="18"/>
              </w:rPr>
              <w:t xml:space="preserve"> </w:t>
            </w:r>
            <w:r w:rsidRPr="00B0595F">
              <w:rPr>
                <w:rFonts w:asciiTheme="minorHAnsi" w:hAnsiTheme="minorHAnsi"/>
                <w:sz w:val="20"/>
                <w:szCs w:val="18"/>
              </w:rPr>
              <w:t>Najviše pozitivne stope rasta u aprilu</w:t>
            </w:r>
            <w:r w:rsidR="00106C3F" w:rsidRPr="00B0595F">
              <w:rPr>
                <w:rFonts w:asciiTheme="minorHAnsi" w:hAnsiTheme="minorHAnsi"/>
                <w:sz w:val="20"/>
                <w:szCs w:val="18"/>
              </w:rPr>
              <w:t xml:space="preserve"> g-n-g,</w:t>
            </w:r>
            <w:r w:rsidRPr="00B0595F">
              <w:rPr>
                <w:rFonts w:asciiTheme="minorHAnsi" w:hAnsiTheme="minorHAnsi"/>
                <w:sz w:val="20"/>
                <w:szCs w:val="18"/>
              </w:rPr>
              <w:t xml:space="preserve"> zabilježene su u grupama „alkoholna pića i duvan“ (7,0%) usljed rasta cijena duvana od 10,0%, „zdravlje“ (2,5%) usljed rasta cijena farmaceutskih proizvoda od 4,0% i „hoteli i restorani“ (1,3%) usljed rasta cijena usluga smještaja od 3,1%, dok su najveće negativne stope zabilježene u grupama „komunikacije“ (4,3%), „odjeća i obuća“ (3,9%),  „hrana i bezalkoholna pića“ (3,4%), i rekreacija i kultura (2,7%) Najznačajniji uticaj na inflaciju u aprilu</w:t>
            </w:r>
            <w:r w:rsidR="00106C3F" w:rsidRPr="00B0595F">
              <w:rPr>
                <w:rFonts w:asciiTheme="minorHAnsi" w:hAnsiTheme="minorHAnsi"/>
                <w:sz w:val="20"/>
                <w:szCs w:val="18"/>
              </w:rPr>
              <w:t xml:space="preserve"> g-n-g</w:t>
            </w:r>
            <w:r w:rsidRPr="00B0595F">
              <w:rPr>
                <w:rFonts w:asciiTheme="minorHAnsi" w:hAnsiTheme="minorHAnsi"/>
                <w:sz w:val="20"/>
                <w:szCs w:val="18"/>
              </w:rPr>
              <w:t xml:space="preserve">, imale su grupe „hrana i bezalkoholna pića“ (-1,3p.p), „alkoholna pića i duvan“ (0,5p.p), „odjeća i obuća“ (-0,2p.p), „prevoz“ (-0,2p.p), i „hoteli i restorani“ (0,2p.p). Indeks potrošačkih cijena (CPI) u aprilu 2014. </w:t>
            </w:r>
            <w:r w:rsidR="003F08C0" w:rsidRPr="00B0595F">
              <w:rPr>
                <w:rFonts w:asciiTheme="minorHAnsi" w:hAnsiTheme="minorHAnsi"/>
                <w:sz w:val="20"/>
                <w:szCs w:val="18"/>
              </w:rPr>
              <w:t>g-n-g,</w:t>
            </w:r>
            <w:r w:rsidRPr="00B0595F">
              <w:rPr>
                <w:rFonts w:asciiTheme="minorHAnsi" w:hAnsiTheme="minorHAnsi"/>
                <w:sz w:val="20"/>
                <w:szCs w:val="18"/>
              </w:rPr>
              <w:t xml:space="preserve"> pokazuje pad od 1,4%, kao i  blagi pad od 0,2% u odnosu na prethodni mjesec. Cijene proizvođača industrijskih proizvoda u aprilu</w:t>
            </w:r>
            <w:r w:rsidR="003F08C0" w:rsidRPr="00B0595F">
              <w:rPr>
                <w:rFonts w:asciiTheme="minorHAnsi" w:hAnsiTheme="minorHAnsi"/>
                <w:sz w:val="20"/>
                <w:szCs w:val="18"/>
              </w:rPr>
              <w:t xml:space="preserve"> 2014. g-n-g,</w:t>
            </w:r>
            <w:r w:rsidRPr="00B0595F">
              <w:rPr>
                <w:rFonts w:asciiTheme="minorHAnsi" w:hAnsiTheme="minorHAnsi"/>
                <w:sz w:val="20"/>
                <w:szCs w:val="18"/>
              </w:rPr>
              <w:t xml:space="preserve"> niže su za 0,2</w:t>
            </w:r>
            <w:r w:rsidR="00B0595F">
              <w:rPr>
                <w:rFonts w:asciiTheme="minorHAnsi" w:hAnsiTheme="minorHAnsi"/>
                <w:sz w:val="20"/>
                <w:szCs w:val="18"/>
              </w:rPr>
              <w:t>%</w:t>
            </w:r>
            <w:r w:rsidR="00B0595F" w:rsidRPr="00B0595F">
              <w:rPr>
                <w:rFonts w:asciiTheme="minorHAnsi" w:hAnsiTheme="minorHAnsi"/>
                <w:sz w:val="20"/>
                <w:szCs w:val="18"/>
              </w:rPr>
              <w:t>.</w:t>
            </w:r>
            <w:r w:rsidRPr="00B0595F">
              <w:rPr>
                <w:rFonts w:asciiTheme="minorHAnsi" w:hAnsiTheme="minorHAnsi"/>
                <w:szCs w:val="18"/>
              </w:rPr>
              <w:t xml:space="preserve"> </w:t>
            </w:r>
          </w:p>
          <w:p w:rsidR="00CC51BF" w:rsidRDefault="00CC51BF" w:rsidP="00CC51BF"/>
          <w:p w:rsidR="00E0598B" w:rsidRPr="00CF4446" w:rsidRDefault="00E0598B" w:rsidP="00E0598B">
            <w:pPr>
              <w:pStyle w:val="Default"/>
              <w:jc w:val="both"/>
              <w:rPr>
                <w:rFonts w:asciiTheme="minorHAnsi" w:hAnsiTheme="minorHAnsi"/>
                <w:sz w:val="20"/>
                <w:szCs w:val="20"/>
              </w:rPr>
            </w:pPr>
          </w:p>
          <w:p w:rsidR="00124730" w:rsidRPr="00715429" w:rsidRDefault="00124730" w:rsidP="00E0598B">
            <w:pPr>
              <w:spacing w:line="240" w:lineRule="auto"/>
              <w:jc w:val="both"/>
              <w:rPr>
                <w:rFonts w:asciiTheme="minorHAnsi" w:hAnsiTheme="minorHAnsi" w:cs="Arial-ItalicMT"/>
                <w:b/>
                <w:iCs/>
                <w:sz w:val="20"/>
                <w:szCs w:val="20"/>
                <w:lang w:val="hr-BA"/>
              </w:rPr>
            </w:pPr>
          </w:p>
          <w:p w:rsidR="00B355D6" w:rsidRPr="00715429" w:rsidRDefault="00B355D6" w:rsidP="00E0598B">
            <w:pPr>
              <w:spacing w:line="240" w:lineRule="auto"/>
              <w:jc w:val="both"/>
              <w:rPr>
                <w:rFonts w:asciiTheme="minorHAnsi" w:hAnsiTheme="minorHAnsi"/>
                <w:sz w:val="20"/>
                <w:szCs w:val="20"/>
                <w:lang w:val="hr-BA"/>
              </w:rPr>
            </w:pPr>
          </w:p>
        </w:tc>
        <w:tc>
          <w:tcPr>
            <w:tcW w:w="3652" w:type="dxa"/>
            <w:vMerge/>
            <w:tcBorders>
              <w:bottom w:val="thinThickSmallGap" w:sz="18" w:space="0" w:color="auto"/>
            </w:tcBorders>
            <w:vAlign w:val="center"/>
          </w:tcPr>
          <w:p w:rsidR="007D0106" w:rsidRPr="00715429" w:rsidRDefault="007D0106" w:rsidP="001D21BD">
            <w:pPr>
              <w:pStyle w:val="NoSpacing"/>
              <w:jc w:val="both"/>
              <w:rPr>
                <w:noProof/>
                <w:sz w:val="20"/>
                <w:szCs w:val="20"/>
                <w:lang w:val="hr-BA"/>
              </w:rPr>
            </w:pPr>
          </w:p>
        </w:tc>
      </w:tr>
      <w:tr w:rsidR="00422784" w:rsidRPr="00715429" w:rsidTr="00715116">
        <w:trPr>
          <w:gridAfter w:val="1"/>
          <w:wAfter w:w="112" w:type="dxa"/>
          <w:trHeight w:hRule="exact" w:val="3799"/>
        </w:trPr>
        <w:tc>
          <w:tcPr>
            <w:tcW w:w="6946" w:type="dxa"/>
            <w:tcBorders>
              <w:top w:val="single" w:sz="4" w:space="0" w:color="auto"/>
              <w:bottom w:val="thinThickSmallGap" w:sz="18" w:space="0" w:color="auto"/>
            </w:tcBorders>
          </w:tcPr>
          <w:p w:rsidR="00A3560C" w:rsidRPr="00A3560C" w:rsidRDefault="002A1639" w:rsidP="00A3560C">
            <w:pPr>
              <w:pStyle w:val="NormalWeb"/>
              <w:numPr>
                <w:ilvl w:val="0"/>
                <w:numId w:val="1"/>
              </w:numPr>
              <w:spacing w:before="0" w:beforeAutospacing="0" w:after="0"/>
              <w:ind w:left="357"/>
              <w:jc w:val="both"/>
              <w:rPr>
                <w:rFonts w:asciiTheme="minorHAnsi" w:hAnsiTheme="minorHAnsi" w:cstheme="minorHAnsi"/>
                <w:b/>
                <w:bCs/>
                <w:noProof/>
                <w:color w:val="000000"/>
                <w:sz w:val="22"/>
                <w:szCs w:val="20"/>
                <w:lang w:val="hr-BA"/>
              </w:rPr>
            </w:pPr>
            <w:r w:rsidRPr="00A3560C">
              <w:rPr>
                <w:rFonts w:ascii="Calibri" w:hAnsi="Calibri" w:cs="Calibri"/>
                <w:b/>
                <w:bCs/>
                <w:noProof/>
                <w:color w:val="000000"/>
                <w:sz w:val="20"/>
                <w:szCs w:val="20"/>
                <w:lang w:val="hr-BA"/>
              </w:rPr>
              <w:t>Zaposlenost i zarad</w:t>
            </w:r>
            <w:r w:rsidR="001141E2" w:rsidRPr="00A3560C">
              <w:rPr>
                <w:rFonts w:ascii="Calibri" w:hAnsi="Calibri" w:cs="Calibri"/>
                <w:b/>
                <w:bCs/>
                <w:noProof/>
                <w:color w:val="000000"/>
                <w:sz w:val="20"/>
                <w:szCs w:val="20"/>
                <w:lang w:val="hr-BA"/>
              </w:rPr>
              <w:t>e</w:t>
            </w:r>
          </w:p>
          <w:p w:rsidR="00B12C9A" w:rsidRDefault="00B12C9A" w:rsidP="00B12C9A">
            <w:pPr>
              <w:pStyle w:val="NormalWeb"/>
              <w:pBdr>
                <w:top w:val="single" w:sz="4" w:space="1" w:color="auto"/>
              </w:pBdr>
              <w:spacing w:before="0" w:beforeAutospacing="0" w:after="0"/>
              <w:jc w:val="both"/>
              <w:rPr>
                <w:rFonts w:asciiTheme="minorHAnsi" w:hAnsiTheme="minorHAnsi"/>
                <w:sz w:val="20"/>
                <w:szCs w:val="20"/>
              </w:rPr>
            </w:pPr>
          </w:p>
          <w:p w:rsidR="00B12C9A" w:rsidRPr="00237D8C" w:rsidRDefault="00B12C9A" w:rsidP="00B12C9A">
            <w:pPr>
              <w:pStyle w:val="NormalWeb"/>
              <w:pBdr>
                <w:top w:val="single" w:sz="4" w:space="1" w:color="auto"/>
              </w:pBdr>
              <w:spacing w:before="0" w:beforeAutospacing="0" w:after="0"/>
              <w:jc w:val="both"/>
              <w:rPr>
                <w:rFonts w:asciiTheme="minorHAnsi" w:hAnsiTheme="minorHAnsi" w:cstheme="minorHAnsi"/>
                <w:b/>
                <w:bCs/>
                <w:noProof/>
                <w:color w:val="000000"/>
                <w:sz w:val="22"/>
                <w:szCs w:val="22"/>
                <w:lang w:val="hr-BA"/>
              </w:rPr>
            </w:pPr>
            <w:r w:rsidRPr="00005447">
              <w:rPr>
                <w:rFonts w:asciiTheme="minorHAnsi" w:hAnsiTheme="minorHAnsi"/>
                <w:b/>
                <w:sz w:val="20"/>
                <w:szCs w:val="20"/>
              </w:rPr>
              <w:t>Broj zaposlenih u aprilu 2014. godine je iznosio 172.202 ili 0,9% više za čitav period, ali istovremeno povećan je i broj nezaposlenih za 6,3%.</w:t>
            </w:r>
            <w:r w:rsidRPr="00E94E18">
              <w:rPr>
                <w:rFonts w:asciiTheme="minorHAnsi" w:hAnsiTheme="minorHAnsi"/>
                <w:sz w:val="20"/>
                <w:szCs w:val="20"/>
              </w:rPr>
              <w:t xml:space="preserve"> </w:t>
            </w:r>
            <w:r w:rsidRPr="00E94E18">
              <w:rPr>
                <w:rFonts w:asciiTheme="minorHAnsi" w:hAnsiTheme="minorHAnsi"/>
                <w:color w:val="000000"/>
                <w:sz w:val="20"/>
                <w:szCs w:val="20"/>
              </w:rPr>
              <w:t>U</w:t>
            </w:r>
            <w:r w:rsidRPr="00E94E18">
              <w:rPr>
                <w:rFonts w:asciiTheme="minorHAnsi" w:hAnsiTheme="minorHAnsi"/>
                <w:sz w:val="20"/>
                <w:szCs w:val="20"/>
              </w:rPr>
              <w:t xml:space="preserve"> aprilu broj nezaposlenih je iznosio 33.906 dok je stopa nezaposlenosti 14,6%, a povećana je u odnosu na april 2013. kada je iznosila 14,1%.</w:t>
            </w:r>
            <w:r w:rsidR="00005447">
              <w:rPr>
                <w:rFonts w:asciiTheme="minorHAnsi" w:hAnsiTheme="minorHAnsi"/>
                <w:sz w:val="20"/>
                <w:szCs w:val="20"/>
              </w:rPr>
              <w:t xml:space="preserve"> </w:t>
            </w:r>
            <w:r w:rsidRPr="00E94E18">
              <w:rPr>
                <w:rFonts w:asciiTheme="minorHAnsi" w:hAnsiTheme="minorHAnsi" w:cs="Calibri"/>
                <w:sz w:val="20"/>
                <w:szCs w:val="20"/>
              </w:rPr>
              <w:t xml:space="preserve">Za četiri mjeseca 2014. broj oglašenih slobodnih radnih mjesta je iznosio 10.555 (povećanje od 10,2% </w:t>
            </w:r>
            <w:r w:rsidR="00005447">
              <w:rPr>
                <w:rFonts w:asciiTheme="minorHAnsi" w:hAnsiTheme="minorHAnsi" w:cs="Calibri"/>
                <w:sz w:val="20"/>
                <w:szCs w:val="20"/>
              </w:rPr>
              <w:t>g-n-g</w:t>
            </w:r>
            <w:r w:rsidR="0002735A">
              <w:rPr>
                <w:rFonts w:asciiTheme="minorHAnsi" w:hAnsiTheme="minorHAnsi" w:cs="Calibri"/>
                <w:sz w:val="20"/>
                <w:szCs w:val="20"/>
              </w:rPr>
              <w:t>)</w:t>
            </w:r>
            <w:r w:rsidRPr="00E94E18">
              <w:rPr>
                <w:rFonts w:asciiTheme="minorHAnsi" w:hAnsiTheme="minorHAnsi" w:cs="Calibri"/>
                <w:sz w:val="20"/>
                <w:szCs w:val="20"/>
              </w:rPr>
              <w:t xml:space="preserve">, dok je istovremeno </w:t>
            </w:r>
            <w:r w:rsidR="00005447">
              <w:rPr>
                <w:rFonts w:asciiTheme="minorHAnsi" w:hAnsiTheme="minorHAnsi" w:cs="Calibri"/>
                <w:sz w:val="20"/>
                <w:szCs w:val="20"/>
              </w:rPr>
              <w:t xml:space="preserve">izdato </w:t>
            </w:r>
            <w:r w:rsidR="00005447" w:rsidRPr="00E94E18">
              <w:rPr>
                <w:rFonts w:asciiTheme="minorHAnsi" w:hAnsiTheme="minorHAnsi" w:cs="Calibri"/>
                <w:sz w:val="20"/>
                <w:szCs w:val="20"/>
              </w:rPr>
              <w:t xml:space="preserve">7.697 </w:t>
            </w:r>
            <w:r w:rsidR="00005447">
              <w:rPr>
                <w:rFonts w:asciiTheme="minorHAnsi" w:hAnsiTheme="minorHAnsi" w:cs="Calibri"/>
                <w:sz w:val="20"/>
                <w:szCs w:val="20"/>
              </w:rPr>
              <w:t xml:space="preserve"> </w:t>
            </w:r>
            <w:r w:rsidRPr="00E94E18">
              <w:rPr>
                <w:rFonts w:asciiTheme="minorHAnsi" w:hAnsiTheme="minorHAnsi" w:cs="Calibri"/>
                <w:sz w:val="20"/>
                <w:szCs w:val="20"/>
              </w:rPr>
              <w:t>radnih dozvola ili 7,9% više. Karakteristično je da je u aprilu 2014. broj oglašenih slobodnih radnih mjesta bio izuzetno visok</w:t>
            </w:r>
            <w:r w:rsidR="009A6A3E">
              <w:rPr>
                <w:rFonts w:asciiTheme="minorHAnsi" w:hAnsiTheme="minorHAnsi" w:cs="Calibri"/>
                <w:sz w:val="20"/>
                <w:szCs w:val="20"/>
              </w:rPr>
              <w:t xml:space="preserve"> (5</w:t>
            </w:r>
            <w:r w:rsidR="00677377">
              <w:rPr>
                <w:rFonts w:asciiTheme="minorHAnsi" w:hAnsiTheme="minorHAnsi" w:cs="Calibri"/>
                <w:sz w:val="20"/>
                <w:szCs w:val="20"/>
              </w:rPr>
              <w:t>.</w:t>
            </w:r>
            <w:r w:rsidR="009A6A3E">
              <w:rPr>
                <w:rFonts w:asciiTheme="minorHAnsi" w:hAnsiTheme="minorHAnsi" w:cs="Calibri"/>
                <w:sz w:val="20"/>
                <w:szCs w:val="20"/>
              </w:rPr>
              <w:t>399)</w:t>
            </w:r>
            <w:r w:rsidRPr="00E94E18">
              <w:rPr>
                <w:rFonts w:asciiTheme="minorHAnsi" w:hAnsiTheme="minorHAnsi" w:cs="Calibri"/>
                <w:sz w:val="20"/>
                <w:szCs w:val="20"/>
              </w:rPr>
              <w:t xml:space="preserve">, najveći unazad nekoliko godina, što sa rastom zaposlenosti ukazuje na pozitivna kretanja na tržištu rada. </w:t>
            </w:r>
            <w:r w:rsidRPr="00E94E18">
              <w:rPr>
                <w:rFonts w:asciiTheme="minorHAnsi" w:hAnsiTheme="minorHAnsi"/>
                <w:noProof/>
                <w:sz w:val="20"/>
                <w:szCs w:val="20"/>
              </w:rPr>
              <w:t xml:space="preserve">U periodu januar-april 2014. u odnosu na isti period 2013. zarade su smanjene za 0,5%, neto zarade za 6,8%, dok su realne neto zarade manje 0,2%, što ukazuje da se uticaj krize prevaljuje preko zarada, </w:t>
            </w:r>
            <w:r w:rsidR="00005447">
              <w:rPr>
                <w:rFonts w:asciiTheme="minorHAnsi" w:hAnsiTheme="minorHAnsi"/>
                <w:noProof/>
                <w:sz w:val="20"/>
                <w:szCs w:val="20"/>
              </w:rPr>
              <w:t>jer</w:t>
            </w:r>
            <w:r w:rsidRPr="00E94E18">
              <w:rPr>
                <w:rFonts w:asciiTheme="minorHAnsi" w:hAnsiTheme="minorHAnsi"/>
                <w:noProof/>
                <w:sz w:val="20"/>
                <w:szCs w:val="20"/>
              </w:rPr>
              <w:t xml:space="preserve"> se smanjuje raspoloživi dohodak za finalnu</w:t>
            </w:r>
            <w:r w:rsidRPr="002A0A43">
              <w:rPr>
                <w:rFonts w:asciiTheme="minorHAnsi" w:hAnsiTheme="minorHAnsi"/>
                <w:noProof/>
                <w:sz w:val="22"/>
                <w:szCs w:val="22"/>
              </w:rPr>
              <w:t xml:space="preserve"> </w:t>
            </w:r>
            <w:r w:rsidRPr="00E94E18">
              <w:rPr>
                <w:rFonts w:asciiTheme="minorHAnsi" w:hAnsiTheme="minorHAnsi"/>
                <w:noProof/>
                <w:sz w:val="20"/>
                <w:szCs w:val="20"/>
              </w:rPr>
              <w:t>potrošnju.</w:t>
            </w:r>
          </w:p>
          <w:p w:rsidR="00422784" w:rsidRPr="00E34692" w:rsidRDefault="00422784" w:rsidP="00E34692">
            <w:pPr>
              <w:pStyle w:val="NormalWeb"/>
              <w:spacing w:after="0"/>
              <w:jc w:val="both"/>
              <w:rPr>
                <w:rFonts w:ascii="Calibri" w:eastAsia="PMingLiU" w:hAnsi="Calibri" w:cs="Calibri"/>
                <w:sz w:val="20"/>
                <w:szCs w:val="20"/>
                <w:lang w:eastAsia="zh-TW"/>
              </w:rPr>
            </w:pPr>
          </w:p>
          <w:p w:rsidR="00422784" w:rsidRPr="00E34692" w:rsidRDefault="00422784" w:rsidP="00E34692">
            <w:pPr>
              <w:pStyle w:val="NormalWeb"/>
              <w:spacing w:after="0"/>
              <w:jc w:val="both"/>
              <w:rPr>
                <w:rFonts w:ascii="Calibri" w:eastAsia="PMingLiU" w:hAnsi="Calibri" w:cs="Calibri"/>
                <w:sz w:val="20"/>
                <w:szCs w:val="20"/>
                <w:lang w:eastAsia="zh-TW"/>
              </w:rPr>
            </w:pPr>
          </w:p>
        </w:tc>
        <w:tc>
          <w:tcPr>
            <w:tcW w:w="3652" w:type="dxa"/>
            <w:tcBorders>
              <w:bottom w:val="thinThickSmallGap" w:sz="18" w:space="0" w:color="auto"/>
            </w:tcBorders>
            <w:vAlign w:val="center"/>
          </w:tcPr>
          <w:p w:rsidR="00422784" w:rsidRPr="00715429" w:rsidRDefault="00EF5EA9" w:rsidP="001D21BD">
            <w:pPr>
              <w:pStyle w:val="NoSpacing"/>
              <w:jc w:val="center"/>
              <w:rPr>
                <w:noProof/>
                <w:sz w:val="20"/>
                <w:szCs w:val="20"/>
                <w:lang w:val="hr-BA"/>
              </w:rPr>
            </w:pPr>
            <w:r w:rsidRPr="00EF5EA9">
              <w:rPr>
                <w:noProof/>
                <w:sz w:val="20"/>
                <w:szCs w:val="20"/>
                <w:lang w:eastAsia="en-US"/>
              </w:rPr>
              <w:drawing>
                <wp:inline distT="0" distB="0" distL="0" distR="0">
                  <wp:extent cx="1990421" cy="1701579"/>
                  <wp:effectExtent l="0" t="0" r="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A3560C" w:rsidRPr="00715429" w:rsidTr="00B51806">
        <w:trPr>
          <w:trHeight w:hRule="exact" w:val="4335"/>
        </w:trPr>
        <w:tc>
          <w:tcPr>
            <w:tcW w:w="6946" w:type="dxa"/>
            <w:tcBorders>
              <w:bottom w:val="thinThickSmallGap" w:sz="18" w:space="0" w:color="auto"/>
            </w:tcBorders>
          </w:tcPr>
          <w:p w:rsidR="00A3560C" w:rsidRPr="00B51806" w:rsidRDefault="00A3560C" w:rsidP="00A3560C">
            <w:pPr>
              <w:pStyle w:val="NormalWeb"/>
              <w:numPr>
                <w:ilvl w:val="0"/>
                <w:numId w:val="1"/>
              </w:numPr>
              <w:spacing w:before="0" w:beforeAutospacing="0" w:after="0"/>
              <w:ind w:left="357"/>
              <w:jc w:val="both"/>
              <w:rPr>
                <w:rFonts w:ascii="Calibri" w:hAnsi="Calibri" w:cs="Calibri"/>
                <w:b/>
                <w:bCs/>
                <w:noProof/>
                <w:color w:val="000000"/>
                <w:sz w:val="20"/>
                <w:szCs w:val="20"/>
              </w:rPr>
            </w:pPr>
            <w:r>
              <w:rPr>
                <w:rFonts w:ascii="Calibri" w:hAnsi="Calibri" w:cs="Calibri"/>
                <w:b/>
                <w:bCs/>
                <w:noProof/>
                <w:color w:val="000000"/>
                <w:sz w:val="20"/>
                <w:szCs w:val="20"/>
                <w:lang w:val="hr-BA"/>
              </w:rPr>
              <w:lastRenderedPageBreak/>
              <w:t>Javne finansije</w:t>
            </w:r>
          </w:p>
          <w:p w:rsidR="00846B0D" w:rsidRPr="0030495F" w:rsidRDefault="00846B0D" w:rsidP="00846B0D">
            <w:pPr>
              <w:spacing w:after="0" w:line="240" w:lineRule="auto"/>
              <w:jc w:val="both"/>
              <w:rPr>
                <w:rFonts w:cs="Calibri"/>
                <w:sz w:val="20"/>
                <w:szCs w:val="20"/>
              </w:rPr>
            </w:pPr>
            <w:r w:rsidRPr="0030495F">
              <w:rPr>
                <w:rFonts w:cs="Calibri"/>
                <w:b/>
                <w:bCs/>
                <w:sz w:val="20"/>
                <w:szCs w:val="20"/>
                <w:lang w:val="sr-Latn-CS"/>
              </w:rPr>
              <w:t>Izvorni prihodi budžeta Crne Gore u aprilu 2014. godine iznosili su 108,7 mil. € i  veći su za 4,5% u odnosu na april 2013. godine, kao i  u odnosu na plan za 1,6 %.</w:t>
            </w:r>
            <w:r w:rsidRPr="0030495F">
              <w:rPr>
                <w:rFonts w:cs="Calibri"/>
                <w:sz w:val="20"/>
                <w:szCs w:val="20"/>
                <w:lang w:val="sr-Latn-CS"/>
              </w:rPr>
              <w:t>  Naplata PDV-a u aprilu 2014.g.  iznosila  je 39,0 mil.€  i veća  je u odnosu  na plan za 8,9% i 15,5% u odnosu na april 2013.</w:t>
            </w:r>
            <w:r w:rsidR="00060FA7">
              <w:rPr>
                <w:rFonts w:cs="Calibri"/>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3.65pt;margin-top:.45pt;width:343.15pt;height:0;z-index:251660288;mso-position-horizontal-relative:text;mso-position-vertical-relative:text" o:connectortype="straight" strokeweight=".5pt"/>
              </w:pict>
            </w:r>
            <w:r w:rsidRPr="0030495F">
              <w:rPr>
                <w:rFonts w:cs="Calibri"/>
                <w:sz w:val="20"/>
                <w:szCs w:val="20"/>
                <w:lang w:val="sr-Latn-CS"/>
              </w:rPr>
              <w:t xml:space="preserve"> godine što je rezultat povećanja više stope PDV-a na 19%, kao i borbe protiv sive ekonomije i rasta ekonomske aktivnosti. </w:t>
            </w:r>
            <w:r w:rsidRPr="0030495F">
              <w:rPr>
                <w:rFonts w:cs="Calibri"/>
                <w:sz w:val="20"/>
                <w:szCs w:val="20"/>
              </w:rPr>
              <w:t>Prihodi po osnovu naplate  poreza i doprinosa na zarade  za period januar-april 2014.g. veći su za 12,8% u odnosu na isti period prošle godine. U istom period, prihodi od poreza na dobit pravnih lica veći su u odnosu na prethodnu godinu za 20,8 %.</w:t>
            </w:r>
          </w:p>
          <w:p w:rsidR="00846B0D" w:rsidRPr="0030495F" w:rsidRDefault="00846B0D" w:rsidP="00846B0D">
            <w:pPr>
              <w:spacing w:after="0" w:line="240" w:lineRule="auto"/>
              <w:jc w:val="both"/>
              <w:rPr>
                <w:rFonts w:cs="Calibri"/>
                <w:sz w:val="20"/>
                <w:szCs w:val="20"/>
                <w:lang w:val="sr-Latn-CS"/>
              </w:rPr>
            </w:pPr>
            <w:r w:rsidRPr="0030495F">
              <w:rPr>
                <w:rFonts w:cs="Calibri"/>
                <w:b/>
                <w:bCs/>
                <w:sz w:val="20"/>
                <w:szCs w:val="20"/>
                <w:lang w:val="sr-Latn-CS"/>
              </w:rPr>
              <w:t>Izdaci budžeta</w:t>
            </w:r>
            <w:r w:rsidRPr="0030495F">
              <w:rPr>
                <w:rFonts w:cs="Calibri"/>
                <w:sz w:val="20"/>
                <w:szCs w:val="20"/>
                <w:lang w:val="sr-Latn-CS"/>
              </w:rPr>
              <w:t>  u aprilu 2014. g. iznosili su  122,3 mil.€ i viši  su u odnosu na isti mjesec 2013. godine  za  2 %,  kao i  u odnosu na plan za  9,7 % .</w:t>
            </w:r>
          </w:p>
          <w:p w:rsidR="00846B0D" w:rsidRPr="0030495F" w:rsidRDefault="00846B0D" w:rsidP="00846B0D">
            <w:pPr>
              <w:spacing w:after="0" w:line="240" w:lineRule="auto"/>
              <w:jc w:val="both"/>
              <w:rPr>
                <w:rFonts w:cs="Calibri"/>
                <w:sz w:val="20"/>
                <w:szCs w:val="20"/>
                <w:lang w:val="sr-Latn-CS"/>
              </w:rPr>
            </w:pPr>
            <w:r w:rsidRPr="0030495F">
              <w:rPr>
                <w:rFonts w:cs="Calibri"/>
                <w:b/>
                <w:bCs/>
                <w:sz w:val="20"/>
                <w:szCs w:val="20"/>
                <w:lang w:val="sr-Latn-CS"/>
              </w:rPr>
              <w:t>Deficit budžeta</w:t>
            </w:r>
            <w:r w:rsidRPr="0030495F">
              <w:rPr>
                <w:rFonts w:cs="Calibri"/>
                <w:sz w:val="20"/>
                <w:szCs w:val="20"/>
                <w:lang w:val="sr-Latn-CS"/>
              </w:rPr>
              <w:t xml:space="preserve"> u aprilu 2014. godine iznosio je 13,6 mil.€  i niži je  za 14,5 % u  odnosu na isti mjesec prošle godine. </w:t>
            </w:r>
          </w:p>
          <w:p w:rsidR="00846B0D" w:rsidRPr="0030495F" w:rsidRDefault="00846B0D" w:rsidP="00846B0D">
            <w:pPr>
              <w:jc w:val="both"/>
              <w:rPr>
                <w:sz w:val="20"/>
                <w:szCs w:val="20"/>
              </w:rPr>
            </w:pPr>
            <w:r w:rsidRPr="0030495F">
              <w:rPr>
                <w:rFonts w:cs="Calibri"/>
                <w:b/>
                <w:bCs/>
                <w:sz w:val="20"/>
                <w:szCs w:val="20"/>
              </w:rPr>
              <w:t>Državni dug</w:t>
            </w:r>
            <w:r w:rsidRPr="0030495F">
              <w:rPr>
                <w:rFonts w:cs="Calibri"/>
                <w:sz w:val="20"/>
                <w:szCs w:val="20"/>
              </w:rPr>
              <w:t xml:space="preserve"> na kraju aprila 2014. godine iznosio je 1.990,31 mil.€ ili 56,6%      procijenjenog BDP-a i smanjen je za  0,4 p.p. u odnosu na mart 2014.g. Unutrašnji dug iznosio je 588,1 mil.€, a dug prema nerezidentima 1.402,2 mil.€.</w:t>
            </w:r>
          </w:p>
          <w:p w:rsidR="00B51806" w:rsidRPr="002A1639" w:rsidRDefault="00B51806" w:rsidP="00B51806">
            <w:pPr>
              <w:pStyle w:val="NormalWeb"/>
              <w:spacing w:before="0" w:beforeAutospacing="0" w:after="0"/>
              <w:ind w:left="-3"/>
              <w:jc w:val="both"/>
              <w:rPr>
                <w:rFonts w:ascii="Calibri" w:hAnsi="Calibri" w:cs="Calibri"/>
                <w:b/>
                <w:bCs/>
                <w:noProof/>
                <w:color w:val="000000"/>
                <w:sz w:val="20"/>
                <w:szCs w:val="20"/>
              </w:rPr>
            </w:pPr>
          </w:p>
        </w:tc>
        <w:tc>
          <w:tcPr>
            <w:tcW w:w="3764" w:type="dxa"/>
            <w:gridSpan w:val="2"/>
            <w:tcBorders>
              <w:bottom w:val="thinThickSmallGap" w:sz="18" w:space="0" w:color="auto"/>
            </w:tcBorders>
            <w:vAlign w:val="center"/>
          </w:tcPr>
          <w:p w:rsidR="00A3560C" w:rsidRPr="003C1215" w:rsidRDefault="00E041ED" w:rsidP="00812862">
            <w:pPr>
              <w:rPr>
                <w:noProof/>
                <w:sz w:val="17"/>
                <w:szCs w:val="17"/>
                <w:lang w:val="sr-Latn-CS" w:eastAsia="sr-Latn-CS"/>
              </w:rPr>
            </w:pPr>
            <w:r w:rsidRPr="00E041ED">
              <w:rPr>
                <w:noProof/>
                <w:sz w:val="17"/>
                <w:szCs w:val="17"/>
              </w:rPr>
              <w:drawing>
                <wp:inline distT="0" distB="0" distL="0" distR="0">
                  <wp:extent cx="2298384" cy="2484437"/>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10452C" w:rsidRPr="00715429" w:rsidTr="00715116">
        <w:trPr>
          <w:trHeight w:hRule="exact" w:val="4378"/>
        </w:trPr>
        <w:tc>
          <w:tcPr>
            <w:tcW w:w="6946" w:type="dxa"/>
            <w:tcBorders>
              <w:bottom w:val="thinThickSmallGap" w:sz="18" w:space="0" w:color="auto"/>
            </w:tcBorders>
          </w:tcPr>
          <w:p w:rsidR="003561B8" w:rsidRPr="002A1639" w:rsidRDefault="003561B8" w:rsidP="00EE0F98">
            <w:pPr>
              <w:pStyle w:val="NormalWeb"/>
              <w:numPr>
                <w:ilvl w:val="0"/>
                <w:numId w:val="24"/>
              </w:numPr>
              <w:spacing w:after="0"/>
              <w:jc w:val="both"/>
              <w:rPr>
                <w:rFonts w:ascii="Calibri" w:hAnsi="Calibri" w:cs="Calibri"/>
                <w:b/>
                <w:bCs/>
                <w:noProof/>
                <w:color w:val="000000"/>
                <w:sz w:val="20"/>
                <w:szCs w:val="20"/>
              </w:rPr>
            </w:pPr>
            <w:r w:rsidRPr="002A1639">
              <w:rPr>
                <w:rFonts w:ascii="Calibri" w:hAnsi="Calibri" w:cs="Calibri"/>
                <w:b/>
                <w:bCs/>
                <w:noProof/>
                <w:color w:val="000000"/>
                <w:sz w:val="20"/>
                <w:szCs w:val="20"/>
              </w:rPr>
              <w:t>Monetarni sektor</w:t>
            </w:r>
          </w:p>
          <w:p w:rsidR="0010452C" w:rsidRPr="00715429" w:rsidRDefault="00886E1B" w:rsidP="00005447">
            <w:pPr>
              <w:pBdr>
                <w:top w:val="single" w:sz="4" w:space="1" w:color="auto"/>
              </w:pBdr>
              <w:spacing w:after="0" w:line="240" w:lineRule="auto"/>
              <w:jc w:val="both"/>
              <w:rPr>
                <w:rFonts w:cstheme="minorHAnsi"/>
                <w:b/>
                <w:sz w:val="20"/>
                <w:szCs w:val="20"/>
                <w:lang w:val="hr-BA"/>
              </w:rPr>
            </w:pPr>
            <w:r w:rsidRPr="00B3290A">
              <w:rPr>
                <w:b/>
                <w:noProof/>
                <w:sz w:val="20"/>
                <w:szCs w:val="20"/>
              </w:rPr>
              <w:t>Monetarna kretanja u aprilu je obilježio uspostavljeni trend rasta ukupnih depozita</w:t>
            </w:r>
            <w:r>
              <w:rPr>
                <w:b/>
                <w:noProof/>
                <w:sz w:val="20"/>
                <w:szCs w:val="20"/>
              </w:rPr>
              <w:t xml:space="preserve"> i</w:t>
            </w:r>
            <w:r w:rsidRPr="00B3290A">
              <w:rPr>
                <w:b/>
                <w:noProof/>
                <w:sz w:val="20"/>
                <w:szCs w:val="20"/>
              </w:rPr>
              <w:t xml:space="preserve"> smanjenje kreditne</w:t>
            </w:r>
            <w:r>
              <w:rPr>
                <w:noProof/>
                <w:sz w:val="20"/>
                <w:szCs w:val="20"/>
              </w:rPr>
              <w:t xml:space="preserve"> </w:t>
            </w:r>
            <w:r w:rsidRPr="00B3290A">
              <w:rPr>
                <w:b/>
                <w:noProof/>
                <w:sz w:val="20"/>
                <w:szCs w:val="20"/>
              </w:rPr>
              <w:t>aktivnosti</w:t>
            </w:r>
            <w:r>
              <w:rPr>
                <w:b/>
                <w:noProof/>
                <w:sz w:val="20"/>
                <w:szCs w:val="20"/>
              </w:rPr>
              <w:t xml:space="preserve">. </w:t>
            </w:r>
            <w:r>
              <w:rPr>
                <w:noProof/>
                <w:sz w:val="20"/>
                <w:szCs w:val="20"/>
              </w:rPr>
              <w:t>Ukupni</w:t>
            </w:r>
            <w:r w:rsidRPr="003C543D">
              <w:rPr>
                <w:noProof/>
                <w:sz w:val="20"/>
                <w:szCs w:val="20"/>
              </w:rPr>
              <w:t xml:space="preserve"> </w:t>
            </w:r>
            <w:r w:rsidRPr="003C543D">
              <w:rPr>
                <w:b/>
                <w:noProof/>
                <w:sz w:val="20"/>
                <w:szCs w:val="20"/>
              </w:rPr>
              <w:t>depoziti</w:t>
            </w:r>
            <w:r w:rsidRPr="003C543D">
              <w:rPr>
                <w:noProof/>
                <w:sz w:val="20"/>
                <w:szCs w:val="20"/>
              </w:rPr>
              <w:t xml:space="preserve"> su sa iznosom od  </w:t>
            </w:r>
            <w:r>
              <w:rPr>
                <w:noProof/>
                <w:sz w:val="20"/>
                <w:szCs w:val="20"/>
              </w:rPr>
              <w:t>2.094,8 mil.€</w:t>
            </w:r>
            <w:r w:rsidRPr="003C543D">
              <w:rPr>
                <w:noProof/>
                <w:sz w:val="20"/>
                <w:szCs w:val="20"/>
              </w:rPr>
              <w:t xml:space="preserve"> ostvarili rast od </w:t>
            </w:r>
            <w:r>
              <w:rPr>
                <w:noProof/>
                <w:sz w:val="20"/>
                <w:szCs w:val="20"/>
              </w:rPr>
              <w:t>7,3</w:t>
            </w:r>
            <w:r w:rsidRPr="003C543D">
              <w:rPr>
                <w:noProof/>
                <w:sz w:val="20"/>
                <w:szCs w:val="20"/>
              </w:rPr>
              <w:t>%</w:t>
            </w:r>
            <w:r>
              <w:rPr>
                <w:noProof/>
                <w:sz w:val="20"/>
                <w:szCs w:val="20"/>
              </w:rPr>
              <w:t xml:space="preserve"> na godišnjem nivou. U strukturi depozita, najveće učešće imaju depoziti sektora stanovništva i privrede (85%),</w:t>
            </w:r>
            <w:r w:rsidR="00005447">
              <w:rPr>
                <w:noProof/>
                <w:sz w:val="20"/>
                <w:szCs w:val="20"/>
              </w:rPr>
              <w:t xml:space="preserve"> </w:t>
            </w:r>
            <w:r>
              <w:rPr>
                <w:noProof/>
                <w:sz w:val="20"/>
                <w:szCs w:val="20"/>
              </w:rPr>
              <w:t>pri čemu su oba sektora povećala deponovana sredstva za 7,1% i 8,8%, respektivno, na godišnjem nivou.</w:t>
            </w:r>
            <w:r w:rsidR="00005447">
              <w:rPr>
                <w:noProof/>
                <w:sz w:val="20"/>
                <w:szCs w:val="20"/>
              </w:rPr>
              <w:t xml:space="preserve"> </w:t>
            </w:r>
            <w:r>
              <w:rPr>
                <w:noProof/>
                <w:sz w:val="20"/>
                <w:szCs w:val="20"/>
              </w:rPr>
              <w:t xml:space="preserve">U ročnoj strukturi ukupnih depozita dominantno učešće od 58,7% imali  su oročeni depoziti, dok su depoziti po viđenju činili 41,2% ukupnih depozita.   Ukupno odobreni </w:t>
            </w:r>
            <w:r w:rsidRPr="00ED7ABA">
              <w:rPr>
                <w:b/>
                <w:noProof/>
                <w:sz w:val="20"/>
                <w:szCs w:val="20"/>
              </w:rPr>
              <w:t xml:space="preserve">krediti </w:t>
            </w:r>
            <w:r>
              <w:rPr>
                <w:noProof/>
                <w:sz w:val="20"/>
                <w:szCs w:val="20"/>
              </w:rPr>
              <w:t>banaka</w:t>
            </w:r>
            <w:r w:rsidRPr="003C543D">
              <w:rPr>
                <w:noProof/>
                <w:sz w:val="20"/>
                <w:szCs w:val="20"/>
              </w:rPr>
              <w:t xml:space="preserve"> </w:t>
            </w:r>
            <w:r>
              <w:rPr>
                <w:noProof/>
                <w:sz w:val="20"/>
                <w:szCs w:val="20"/>
              </w:rPr>
              <w:t>su</w:t>
            </w:r>
            <w:r>
              <w:rPr>
                <w:b/>
                <w:noProof/>
                <w:sz w:val="20"/>
                <w:szCs w:val="20"/>
              </w:rPr>
              <w:t xml:space="preserve"> </w:t>
            </w:r>
            <w:r w:rsidRPr="003C543D">
              <w:rPr>
                <w:noProof/>
                <w:sz w:val="20"/>
                <w:szCs w:val="20"/>
              </w:rPr>
              <w:t xml:space="preserve"> krajem </w:t>
            </w:r>
            <w:r>
              <w:rPr>
                <w:noProof/>
                <w:sz w:val="20"/>
                <w:szCs w:val="20"/>
              </w:rPr>
              <w:t xml:space="preserve">aprila iznosili 2.386,6 mil. € što predstavlja pad od 0,8% na mjesečnom i 3,2% na godišnjem nivou. U prva četiri mjeseca ove godine  je plasirano 254,4 mil.€ novoodobrenih kredita,  što je za 7,2% više </w:t>
            </w:r>
            <w:r w:rsidR="00005447">
              <w:rPr>
                <w:noProof/>
                <w:sz w:val="20"/>
                <w:szCs w:val="20"/>
              </w:rPr>
              <w:t>g-n-g.</w:t>
            </w:r>
            <w:r w:rsidRPr="003C543D">
              <w:rPr>
                <w:noProof/>
                <w:sz w:val="20"/>
                <w:szCs w:val="20"/>
              </w:rPr>
              <w:t xml:space="preserve"> Problem </w:t>
            </w:r>
            <w:r w:rsidRPr="003C543D">
              <w:rPr>
                <w:b/>
                <w:noProof/>
                <w:sz w:val="20"/>
                <w:szCs w:val="20"/>
              </w:rPr>
              <w:t>nelikvidnosti realnog sektor</w:t>
            </w:r>
            <w:r>
              <w:rPr>
                <w:b/>
                <w:noProof/>
                <w:sz w:val="20"/>
                <w:szCs w:val="20"/>
              </w:rPr>
              <w:t>a</w:t>
            </w:r>
            <w:r>
              <w:rPr>
                <w:noProof/>
                <w:sz w:val="20"/>
                <w:szCs w:val="20"/>
              </w:rPr>
              <w:t xml:space="preserve"> i dalje predstavlja rizik</w:t>
            </w:r>
            <w:r w:rsidRPr="003C543D">
              <w:rPr>
                <w:noProof/>
                <w:sz w:val="20"/>
                <w:szCs w:val="20"/>
              </w:rPr>
              <w:t xml:space="preserve"> za finansijsku stabilnost</w:t>
            </w:r>
            <w:r>
              <w:rPr>
                <w:noProof/>
                <w:sz w:val="20"/>
                <w:szCs w:val="20"/>
              </w:rPr>
              <w:t>. U aprilu</w:t>
            </w:r>
            <w:r w:rsidRPr="003C543D">
              <w:rPr>
                <w:noProof/>
                <w:sz w:val="20"/>
                <w:szCs w:val="20"/>
              </w:rPr>
              <w:t xml:space="preserve"> ove godine </w:t>
            </w:r>
            <w:r>
              <w:rPr>
                <w:noProof/>
                <w:sz w:val="20"/>
                <w:szCs w:val="20"/>
              </w:rPr>
              <w:t xml:space="preserve">su bila blokirana </w:t>
            </w:r>
            <w:r w:rsidRPr="003C543D">
              <w:rPr>
                <w:noProof/>
                <w:sz w:val="20"/>
                <w:szCs w:val="20"/>
              </w:rPr>
              <w:t>13.</w:t>
            </w:r>
            <w:r>
              <w:rPr>
                <w:noProof/>
                <w:sz w:val="20"/>
                <w:szCs w:val="20"/>
              </w:rPr>
              <w:t>473</w:t>
            </w:r>
            <w:r w:rsidR="00005447">
              <w:rPr>
                <w:noProof/>
                <w:sz w:val="20"/>
                <w:szCs w:val="20"/>
              </w:rPr>
              <w:t xml:space="preserve"> </w:t>
            </w:r>
            <w:r>
              <w:rPr>
                <w:noProof/>
                <w:sz w:val="20"/>
                <w:szCs w:val="20"/>
              </w:rPr>
              <w:t xml:space="preserve">pravna lica, </w:t>
            </w:r>
            <w:r w:rsidRPr="003C543D">
              <w:rPr>
                <w:noProof/>
                <w:sz w:val="20"/>
                <w:szCs w:val="20"/>
              </w:rPr>
              <w:t xml:space="preserve">što u odnosu na stanje iz prethodnog mjeseca predstavlja povećanje od </w:t>
            </w:r>
            <w:r>
              <w:rPr>
                <w:noProof/>
                <w:sz w:val="20"/>
                <w:szCs w:val="20"/>
              </w:rPr>
              <w:t xml:space="preserve"> 0,13%. Pri tome, </w:t>
            </w:r>
            <w:r w:rsidR="00005447">
              <w:rPr>
                <w:noProof/>
                <w:sz w:val="20"/>
                <w:szCs w:val="20"/>
              </w:rPr>
              <w:t xml:space="preserve">ukupan iznos duga </w:t>
            </w:r>
            <w:r w:rsidRPr="003C543D">
              <w:rPr>
                <w:noProof/>
                <w:sz w:val="20"/>
                <w:szCs w:val="20"/>
              </w:rPr>
              <w:t>po osnovu kog</w:t>
            </w:r>
            <w:r w:rsidR="00005447">
              <w:rPr>
                <w:noProof/>
                <w:sz w:val="20"/>
                <w:szCs w:val="20"/>
              </w:rPr>
              <w:t>a je izvršeno blokiranje računa</w:t>
            </w:r>
            <w:r w:rsidRPr="003C543D">
              <w:rPr>
                <w:noProof/>
                <w:sz w:val="20"/>
                <w:szCs w:val="20"/>
              </w:rPr>
              <w:t xml:space="preserve"> je iznosio </w:t>
            </w:r>
            <w:r>
              <w:rPr>
                <w:noProof/>
                <w:sz w:val="20"/>
                <w:szCs w:val="20"/>
              </w:rPr>
              <w:t xml:space="preserve"> 488,9 </w:t>
            </w:r>
            <w:r w:rsidRPr="003C543D">
              <w:rPr>
                <w:noProof/>
                <w:sz w:val="20"/>
                <w:szCs w:val="20"/>
              </w:rPr>
              <w:t xml:space="preserve">mil.€ i povećan je za </w:t>
            </w:r>
            <w:r>
              <w:rPr>
                <w:noProof/>
                <w:sz w:val="20"/>
                <w:szCs w:val="20"/>
              </w:rPr>
              <w:t>1,48</w:t>
            </w:r>
            <w:r w:rsidRPr="003C543D">
              <w:rPr>
                <w:noProof/>
                <w:sz w:val="20"/>
                <w:szCs w:val="20"/>
              </w:rPr>
              <w:t>%</w:t>
            </w:r>
            <w:r>
              <w:rPr>
                <w:noProof/>
                <w:sz w:val="20"/>
                <w:szCs w:val="20"/>
              </w:rPr>
              <w:t xml:space="preserve"> u odnosu na prethodni mjesec i 13,5</w:t>
            </w:r>
            <w:r w:rsidRPr="003C543D">
              <w:rPr>
                <w:noProof/>
                <w:sz w:val="20"/>
                <w:szCs w:val="20"/>
              </w:rPr>
              <w:t>%  na godišnjem nivou.</w:t>
            </w:r>
            <w:r>
              <w:rPr>
                <w:noProof/>
                <w:sz w:val="20"/>
                <w:szCs w:val="20"/>
              </w:rPr>
              <w:t xml:space="preserve"> </w:t>
            </w:r>
          </w:p>
        </w:tc>
        <w:tc>
          <w:tcPr>
            <w:tcW w:w="3764" w:type="dxa"/>
            <w:gridSpan w:val="2"/>
            <w:tcBorders>
              <w:bottom w:val="thinThickSmallGap" w:sz="18" w:space="0" w:color="auto"/>
            </w:tcBorders>
            <w:vAlign w:val="center"/>
          </w:tcPr>
          <w:p w:rsidR="0010452C" w:rsidRPr="00715429" w:rsidRDefault="009613CE" w:rsidP="00812862">
            <w:pPr>
              <w:rPr>
                <w:noProof/>
                <w:sz w:val="17"/>
                <w:szCs w:val="17"/>
                <w:lang w:val="hr-BA" w:eastAsia="sr-Latn-CS"/>
              </w:rPr>
            </w:pPr>
            <w:r w:rsidRPr="009613CE">
              <w:rPr>
                <w:noProof/>
                <w:sz w:val="17"/>
                <w:szCs w:val="17"/>
              </w:rPr>
              <w:drawing>
                <wp:inline distT="0" distB="0" distL="0" distR="0">
                  <wp:extent cx="2315070" cy="1902797"/>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DB721D" w:rsidRPr="00715429" w:rsidTr="004F2D36">
        <w:trPr>
          <w:trHeight w:hRule="exact" w:val="6241"/>
        </w:trPr>
        <w:tc>
          <w:tcPr>
            <w:tcW w:w="6946" w:type="dxa"/>
            <w:tcBorders>
              <w:bottom w:val="thinThickSmallGap" w:sz="18" w:space="0" w:color="auto"/>
            </w:tcBorders>
          </w:tcPr>
          <w:p w:rsidR="0018331D" w:rsidRPr="0018331D" w:rsidRDefault="0018331D" w:rsidP="0018331D">
            <w:pPr>
              <w:pStyle w:val="NormalWeb"/>
              <w:numPr>
                <w:ilvl w:val="0"/>
                <w:numId w:val="24"/>
              </w:numPr>
              <w:spacing w:after="0"/>
              <w:jc w:val="both"/>
              <w:rPr>
                <w:rFonts w:ascii="Calibri" w:hAnsi="Calibri" w:cs="Calibri"/>
                <w:b/>
                <w:bCs/>
                <w:noProof/>
                <w:color w:val="000000"/>
                <w:sz w:val="20"/>
                <w:szCs w:val="20"/>
              </w:rPr>
            </w:pPr>
            <w:r w:rsidRPr="0018331D">
              <w:rPr>
                <w:rFonts w:ascii="Calibri" w:hAnsi="Calibri" w:cs="Calibri"/>
                <w:b/>
                <w:bCs/>
                <w:noProof/>
                <w:color w:val="000000"/>
                <w:sz w:val="20"/>
                <w:szCs w:val="20"/>
              </w:rPr>
              <w:t xml:space="preserve">Spoljnotrgovinska razmjena </w:t>
            </w:r>
          </w:p>
          <w:p w:rsidR="00EE60E4" w:rsidRDefault="007D2063" w:rsidP="00EE60E4">
            <w:pPr>
              <w:pBdr>
                <w:top w:val="single" w:sz="4" w:space="1" w:color="auto"/>
              </w:pBdr>
              <w:spacing w:after="180" w:line="240" w:lineRule="auto"/>
              <w:jc w:val="both"/>
              <w:rPr>
                <w:rFonts w:cstheme="minorHAnsi"/>
                <w:sz w:val="20"/>
                <w:szCs w:val="18"/>
              </w:rPr>
            </w:pPr>
            <w:r w:rsidRPr="00EE60E4">
              <w:rPr>
                <w:b/>
                <w:sz w:val="20"/>
                <w:szCs w:val="18"/>
              </w:rPr>
              <w:t>Spoljnotrgovinski promet</w:t>
            </w:r>
            <w:r w:rsidRPr="00EE60E4">
              <w:rPr>
                <w:rFonts w:cs="Calibri"/>
                <w:b/>
                <w:sz w:val="20"/>
                <w:szCs w:val="18"/>
              </w:rPr>
              <w:t xml:space="preserve"> Crne Gore u periodu januar – april 2014. je evidentno </w:t>
            </w:r>
            <w:r w:rsidRPr="00EE60E4">
              <w:rPr>
                <w:b/>
                <w:sz w:val="20"/>
                <w:szCs w:val="18"/>
              </w:rPr>
              <w:t xml:space="preserve">smanjen, usljed pada </w:t>
            </w:r>
            <w:r w:rsidRPr="00EE60E4">
              <w:rPr>
                <w:rFonts w:cs="Calibri"/>
                <w:b/>
                <w:sz w:val="20"/>
                <w:szCs w:val="18"/>
              </w:rPr>
              <w:t>izvozne proizvodnje metalske industrije, negativnog energetskog bilansa, kao i smanjene agregatne tražnje.</w:t>
            </w:r>
            <w:r w:rsidR="00005447">
              <w:rPr>
                <w:rFonts w:cs="Calibri"/>
                <w:b/>
                <w:sz w:val="20"/>
                <w:szCs w:val="18"/>
              </w:rPr>
              <w:t xml:space="preserve"> </w:t>
            </w:r>
            <w:r w:rsidRPr="00EE60E4">
              <w:rPr>
                <w:sz w:val="20"/>
                <w:szCs w:val="18"/>
              </w:rPr>
              <w:t>R</w:t>
            </w:r>
            <w:r w:rsidRPr="00EE60E4">
              <w:rPr>
                <w:rFonts w:cs="Calibri"/>
                <w:sz w:val="20"/>
                <w:szCs w:val="18"/>
              </w:rPr>
              <w:t>obna razmjena bilježi brži pad izvoza od uvoza robe, koji je doprinio povećanju spoljnotrgovinskog deficita za 1,9% i njegovoj vrijednosti  od 406,9 mil.€. Ukupna robna razmjena je iznosila 591,9 mil.€ i smanjena je za 9,1%, pod uticajem kretanja izvoza i uvoza robe.</w:t>
            </w:r>
            <w:r w:rsidRPr="00EE60E4">
              <w:rPr>
                <w:sz w:val="20"/>
                <w:szCs w:val="18"/>
                <w:lang w:val="pl-PL"/>
              </w:rPr>
              <w:t xml:space="preserve"> Ostvaren je  izvoz u vrijednosti od 92,5mil.€, dok je uvoz iznosio 499,4mil.€, što je za 26,7% i 4,9% manje, respektivno.</w:t>
            </w:r>
            <w:r w:rsidRPr="00EE60E4">
              <w:rPr>
                <w:sz w:val="20"/>
                <w:szCs w:val="18"/>
              </w:rPr>
              <w:t xml:space="preserve"> R</w:t>
            </w:r>
            <w:r w:rsidRPr="00EE60E4">
              <w:rPr>
                <w:rFonts w:cs="Calibri"/>
                <w:sz w:val="20"/>
                <w:szCs w:val="18"/>
              </w:rPr>
              <w:t xml:space="preserve">obna razmjena bilježi brži pad izvoza od uvoza robe, koji je doprinio povećanju spoljnotrgovinskog deficita za 1,9% i njegovoj vrijednosti  od 406,9 mil.€.  Pokrivenost uvoza izvozom roba ostvarila je pad od 5,5 procentnih poena i iznosila 18,5%. Na smanjenje </w:t>
            </w:r>
            <w:r w:rsidRPr="00EE60E4">
              <w:rPr>
                <w:rFonts w:cs="Calibri"/>
                <w:b/>
                <w:sz w:val="20"/>
                <w:szCs w:val="18"/>
              </w:rPr>
              <w:t>izvoza</w:t>
            </w:r>
            <w:r w:rsidRPr="00EE60E4">
              <w:rPr>
                <w:rFonts w:cs="Calibri"/>
                <w:sz w:val="20"/>
                <w:szCs w:val="18"/>
              </w:rPr>
              <w:t xml:space="preserve"> roba prvenstveno je uticalo smanjenje izvoza vodećih izvoznih proizvoda (aluminijum, gvožđe i čelik) za 29,0 i 68,0%,respektivno</w:t>
            </w:r>
            <w:r w:rsidRPr="00EE60E4">
              <w:rPr>
                <w:sz w:val="20"/>
                <w:szCs w:val="18"/>
              </w:rPr>
              <w:t>.</w:t>
            </w:r>
            <w:r w:rsidRPr="00EE60E4">
              <w:rPr>
                <w:rFonts w:cstheme="minorHAnsi"/>
                <w:sz w:val="20"/>
                <w:szCs w:val="18"/>
              </w:rPr>
              <w:t xml:space="preserve"> Na</w:t>
            </w:r>
            <w:r w:rsidRPr="00EE60E4">
              <w:rPr>
                <w:rFonts w:cstheme="minorHAnsi"/>
                <w:color w:val="FF0000"/>
                <w:sz w:val="20"/>
                <w:szCs w:val="18"/>
              </w:rPr>
              <w:t xml:space="preserve"> </w:t>
            </w:r>
            <w:r w:rsidRPr="00EE60E4">
              <w:rPr>
                <w:rFonts w:cstheme="minorHAnsi"/>
                <w:sz w:val="20"/>
                <w:szCs w:val="18"/>
              </w:rPr>
              <w:t xml:space="preserve">smanjenje vrijednosti </w:t>
            </w:r>
            <w:r w:rsidRPr="00EE60E4">
              <w:rPr>
                <w:rFonts w:cstheme="minorHAnsi"/>
                <w:b/>
                <w:sz w:val="20"/>
                <w:szCs w:val="18"/>
              </w:rPr>
              <w:t xml:space="preserve">uvoza </w:t>
            </w:r>
            <w:r w:rsidRPr="00EE60E4">
              <w:rPr>
                <w:rFonts w:cstheme="minorHAnsi"/>
                <w:sz w:val="20"/>
                <w:szCs w:val="18"/>
              </w:rPr>
              <w:t xml:space="preserve">uticao je pad uvoza mašina i transportnih sredstava (12,0%); mineralnih goriva i maziva  (13,0%) i hrane i živih  životinja (5,0%), koji istovremeno imaju najveće udio u strukturi robnog  uvoza. </w:t>
            </w:r>
          </w:p>
          <w:p w:rsidR="007D2063" w:rsidRPr="00EE60E4" w:rsidRDefault="007D2063" w:rsidP="00EE60E4">
            <w:pPr>
              <w:pBdr>
                <w:top w:val="single" w:sz="4" w:space="1" w:color="auto"/>
              </w:pBdr>
              <w:spacing w:after="180" w:line="240" w:lineRule="auto"/>
              <w:jc w:val="both"/>
              <w:rPr>
                <w:b/>
                <w:sz w:val="24"/>
              </w:rPr>
            </w:pPr>
            <w:r w:rsidRPr="00EE60E4">
              <w:rPr>
                <w:rStyle w:val="Strong"/>
                <w:rFonts w:cs="Calibri"/>
                <w:b w:val="0"/>
                <w:sz w:val="20"/>
                <w:szCs w:val="18"/>
              </w:rPr>
              <w:t>N</w:t>
            </w:r>
            <w:r w:rsidRPr="00EE60E4">
              <w:rPr>
                <w:rStyle w:val="Strong"/>
                <w:rFonts w:eastAsia="PMingLiU"/>
                <w:b w:val="0"/>
                <w:sz w:val="20"/>
                <w:szCs w:val="18"/>
              </w:rPr>
              <w:t>eto priliv SDI</w:t>
            </w:r>
            <w:r w:rsidR="00EE60E4">
              <w:rPr>
                <w:rStyle w:val="Strong"/>
                <w:rFonts w:eastAsia="PMingLiU"/>
                <w:b w:val="0"/>
                <w:sz w:val="20"/>
                <w:szCs w:val="18"/>
              </w:rPr>
              <w:t xml:space="preserve"> u prvom kvartalu 2014. godine</w:t>
            </w:r>
            <w:r w:rsidRPr="00EE60E4">
              <w:rPr>
                <w:rStyle w:val="Strong"/>
                <w:rFonts w:cs="Calibri"/>
                <w:b w:val="0"/>
                <w:sz w:val="20"/>
                <w:szCs w:val="18"/>
              </w:rPr>
              <w:t xml:space="preserve"> iznosio je 78,0 mil.€, što je za 19%</w:t>
            </w:r>
            <w:r w:rsidR="00EE60E4">
              <w:rPr>
                <w:rStyle w:val="Strong"/>
                <w:rFonts w:cs="Calibri"/>
                <w:b w:val="0"/>
                <w:sz w:val="20"/>
                <w:szCs w:val="18"/>
              </w:rPr>
              <w:t xml:space="preserve"> više g-n-g</w:t>
            </w:r>
            <w:r w:rsidRPr="00EE60E4">
              <w:rPr>
                <w:rStyle w:val="Strong"/>
                <w:rFonts w:cs="Calibri"/>
                <w:b w:val="0"/>
                <w:sz w:val="20"/>
                <w:szCs w:val="18"/>
              </w:rPr>
              <w:t>.  Ukupan priliv SDI ostvaren je u iznosu od 104,8 mil.€</w:t>
            </w:r>
            <w:r w:rsidRPr="00EE60E4">
              <w:rPr>
                <w:rStyle w:val="Strong"/>
                <w:rFonts w:cs="Calibri"/>
                <w:b w:val="0"/>
                <w:sz w:val="24"/>
              </w:rPr>
              <w:t xml:space="preserve"> </w:t>
            </w:r>
            <w:r w:rsidRPr="00EE60E4">
              <w:rPr>
                <w:rStyle w:val="Strong"/>
                <w:rFonts w:cs="Calibri"/>
                <w:b w:val="0"/>
                <w:sz w:val="20"/>
                <w:szCs w:val="18"/>
              </w:rPr>
              <w:t>(28,3% više). Struktura priliva SDI: vlas</w:t>
            </w:r>
            <w:r w:rsidR="00601FC6" w:rsidRPr="00EE60E4">
              <w:rPr>
                <w:rStyle w:val="Strong"/>
                <w:rFonts w:cs="Calibri"/>
                <w:b w:val="0"/>
                <w:sz w:val="20"/>
                <w:szCs w:val="18"/>
              </w:rPr>
              <w:t>nička ulaganja</w:t>
            </w:r>
            <w:r w:rsidRPr="00EE60E4">
              <w:rPr>
                <w:rStyle w:val="Strong"/>
                <w:rFonts w:cs="Calibri"/>
                <w:b w:val="0"/>
                <w:sz w:val="20"/>
                <w:szCs w:val="18"/>
              </w:rPr>
              <w:t xml:space="preserve"> 4</w:t>
            </w:r>
            <w:r w:rsidR="009F1C25">
              <w:rPr>
                <w:rStyle w:val="Strong"/>
                <w:rFonts w:cs="Calibri"/>
                <w:b w:val="0"/>
                <w:sz w:val="20"/>
                <w:szCs w:val="18"/>
              </w:rPr>
              <w:t xml:space="preserve">5,4% (više za 22,7%), pri čemu su </w:t>
            </w:r>
            <w:r w:rsidRPr="00EE60E4">
              <w:rPr>
                <w:rStyle w:val="Strong"/>
                <w:rFonts w:cs="Calibri"/>
                <w:b w:val="0"/>
                <w:sz w:val="20"/>
                <w:szCs w:val="18"/>
              </w:rPr>
              <w:t xml:space="preserve">investicije u preduzeća i banke 9,5% (više oko 3 puta),  investicije po osnovu ulaganja u </w:t>
            </w:r>
            <w:r w:rsidR="009F1C25">
              <w:rPr>
                <w:rStyle w:val="Strong"/>
                <w:rFonts w:cs="Calibri"/>
                <w:b w:val="0"/>
                <w:sz w:val="20"/>
                <w:szCs w:val="18"/>
              </w:rPr>
              <w:t>nekretnine 35,9% (više za 2,1% g-n-g)</w:t>
            </w:r>
            <w:r w:rsidRPr="00EE60E4">
              <w:rPr>
                <w:rStyle w:val="Strong"/>
                <w:rFonts w:cs="Calibri"/>
                <w:b w:val="0"/>
                <w:sz w:val="20"/>
                <w:szCs w:val="18"/>
              </w:rPr>
              <w:t>. Nastavlja se trend rasta priliva SDI u formi interkompanijskog duga, sa učešćem od 52,7%, (više za 35,5%), dok  je priliv po osnovu ostalih SDI iznosio 1,9% (76,1% više).</w:t>
            </w:r>
            <w:r w:rsidRPr="00EE60E4">
              <w:rPr>
                <w:rStyle w:val="Strong"/>
                <w:rFonts w:cs="Calibri"/>
                <w:b w:val="0"/>
                <w:color w:val="FF0000"/>
                <w:sz w:val="20"/>
                <w:szCs w:val="18"/>
              </w:rPr>
              <w:t xml:space="preserve"> </w:t>
            </w:r>
          </w:p>
          <w:p w:rsidR="00DB721D" w:rsidRPr="00715429" w:rsidRDefault="00DB721D" w:rsidP="0018331D">
            <w:pPr>
              <w:pBdr>
                <w:top w:val="single" w:sz="4" w:space="1" w:color="auto"/>
              </w:pBdr>
              <w:jc w:val="both"/>
              <w:rPr>
                <w:rFonts w:cstheme="minorHAnsi"/>
                <w:b/>
                <w:sz w:val="20"/>
                <w:szCs w:val="20"/>
                <w:lang w:val="hr-BA"/>
              </w:rPr>
            </w:pPr>
          </w:p>
        </w:tc>
        <w:tc>
          <w:tcPr>
            <w:tcW w:w="3764" w:type="dxa"/>
            <w:gridSpan w:val="2"/>
            <w:tcBorders>
              <w:bottom w:val="thinThickSmallGap" w:sz="18" w:space="0" w:color="auto"/>
            </w:tcBorders>
            <w:vAlign w:val="center"/>
          </w:tcPr>
          <w:p w:rsidR="00DB721D" w:rsidRPr="00715429" w:rsidRDefault="00EB4C0B" w:rsidP="001D21BD">
            <w:pPr>
              <w:jc w:val="center"/>
              <w:rPr>
                <w:noProof/>
                <w:sz w:val="17"/>
                <w:szCs w:val="17"/>
                <w:lang w:val="hr-BA" w:eastAsia="sr-Latn-CS"/>
              </w:rPr>
            </w:pPr>
            <w:r w:rsidRPr="00EB4C0B">
              <w:rPr>
                <w:noProof/>
                <w:sz w:val="17"/>
                <w:szCs w:val="17"/>
                <w:lang w:val="hr-BA" w:eastAsia="sr-Latn-CS"/>
              </w:rPr>
              <w:drawing>
                <wp:inline distT="0" distB="0" distL="0" distR="0">
                  <wp:extent cx="2162175" cy="2733675"/>
                  <wp:effectExtent l="0" t="0" r="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82570B" w:rsidRPr="00715429" w:rsidRDefault="0082570B" w:rsidP="00B0595F">
      <w:pPr>
        <w:framePr w:h="565" w:hRule="exact" w:wrap="auto" w:hAnchor="text" w:y="-298"/>
        <w:rPr>
          <w:noProof/>
          <w:lang w:val="hr-BA"/>
        </w:rPr>
        <w:sectPr w:rsidR="0082570B" w:rsidRPr="00715429" w:rsidSect="009C5011">
          <w:pgSz w:w="11907" w:h="16839" w:code="9"/>
          <w:pgMar w:top="720" w:right="720" w:bottom="709" w:left="720" w:header="720" w:footer="720" w:gutter="0"/>
          <w:cols w:space="720"/>
          <w:rtlGutter/>
          <w:docGrid w:linePitch="360"/>
        </w:sectPr>
      </w:pPr>
    </w:p>
    <w:p w:rsidR="002A1639" w:rsidRPr="00715429" w:rsidRDefault="0082570B" w:rsidP="00332574">
      <w:pPr>
        <w:jc w:val="center"/>
        <w:outlineLvl w:val="0"/>
        <w:rPr>
          <w:noProof/>
          <w:sz w:val="17"/>
          <w:szCs w:val="16"/>
          <w:lang w:val="hr-BA"/>
        </w:rPr>
      </w:pPr>
      <w:r w:rsidRPr="00715429">
        <w:rPr>
          <w:noProof/>
          <w:sz w:val="17"/>
          <w:szCs w:val="16"/>
          <w:lang w:val="hr-BA"/>
        </w:rPr>
        <w:lastRenderedPageBreak/>
        <w:t xml:space="preserve">Tabela 1: </w:t>
      </w:r>
      <w:r w:rsidRPr="00715429">
        <w:rPr>
          <w:b/>
          <w:bCs/>
          <w:noProof/>
          <w:sz w:val="17"/>
          <w:szCs w:val="16"/>
          <w:lang w:val="hr-BA"/>
        </w:rPr>
        <w:t>MAKROEKONOMSKI INDIKATORI</w:t>
      </w:r>
      <w:r w:rsidRPr="00715429">
        <w:rPr>
          <w:noProof/>
          <w:sz w:val="17"/>
          <w:szCs w:val="16"/>
          <w:lang w:val="hr-BA"/>
        </w:rPr>
        <w:t xml:space="preserve"> – </w:t>
      </w:r>
      <w:r w:rsidR="0083011C">
        <w:rPr>
          <w:noProof/>
          <w:sz w:val="17"/>
          <w:szCs w:val="16"/>
          <w:lang w:val="hr-BA"/>
        </w:rPr>
        <w:t>april</w:t>
      </w:r>
      <w:r w:rsidR="00725E16">
        <w:rPr>
          <w:noProof/>
          <w:sz w:val="17"/>
          <w:szCs w:val="16"/>
          <w:lang w:val="hr-BA"/>
        </w:rPr>
        <w:t xml:space="preserve"> </w:t>
      </w:r>
      <w:r w:rsidRPr="00715429">
        <w:rPr>
          <w:noProof/>
          <w:sz w:val="17"/>
          <w:szCs w:val="16"/>
          <w:lang w:val="hr-BA"/>
        </w:rPr>
        <w:t>201</w:t>
      </w:r>
      <w:r w:rsidR="00B355D6" w:rsidRPr="00715429">
        <w:rPr>
          <w:noProof/>
          <w:sz w:val="17"/>
          <w:szCs w:val="16"/>
          <w:lang w:val="hr-BA"/>
        </w:rPr>
        <w:t>4</w:t>
      </w:r>
      <w:r w:rsidRPr="00715429">
        <w:rPr>
          <w:noProof/>
          <w:sz w:val="17"/>
          <w:szCs w:val="16"/>
          <w:lang w:val="hr-BA"/>
        </w:rPr>
        <w:t>.</w:t>
      </w:r>
      <w:bookmarkStart w:id="0" w:name="_GoBack"/>
      <w:bookmarkEnd w:id="0"/>
    </w:p>
    <w:p w:rsidR="0082570B" w:rsidRPr="00715429" w:rsidRDefault="0082570B" w:rsidP="00875C4F">
      <w:pPr>
        <w:spacing w:after="0" w:line="240" w:lineRule="auto"/>
        <w:ind w:firstLine="142"/>
        <w:rPr>
          <w:i/>
          <w:iCs/>
          <w:noProof/>
          <w:sz w:val="12"/>
          <w:szCs w:val="12"/>
          <w:lang w:val="hr-BA"/>
        </w:rPr>
      </w:pPr>
    </w:p>
    <w:p w:rsidR="00784DAE" w:rsidRPr="00715429" w:rsidRDefault="00784DAE" w:rsidP="00875C4F">
      <w:pPr>
        <w:spacing w:after="0" w:line="240" w:lineRule="auto"/>
        <w:ind w:firstLine="142"/>
        <w:rPr>
          <w:i/>
          <w:iCs/>
          <w:noProof/>
          <w:sz w:val="12"/>
          <w:szCs w:val="12"/>
          <w:lang w:val="hr-BA"/>
        </w:rPr>
      </w:pPr>
    </w:p>
    <w:p w:rsidR="00332574" w:rsidRPr="00715429" w:rsidRDefault="00332574" w:rsidP="00332574">
      <w:pPr>
        <w:spacing w:after="0" w:line="240" w:lineRule="auto"/>
        <w:outlineLvl w:val="0"/>
        <w:rPr>
          <w:b/>
          <w:i/>
          <w:noProof/>
          <w:sz w:val="16"/>
          <w:szCs w:val="16"/>
          <w:lang w:val="hr-BA"/>
        </w:rPr>
      </w:pPr>
      <w:r w:rsidRPr="00715429">
        <w:rPr>
          <w:b/>
          <w:i/>
          <w:noProof/>
          <w:sz w:val="16"/>
          <w:szCs w:val="16"/>
          <w:lang w:val="hr-BA"/>
        </w:rPr>
        <w:t>Izvor: MONSTAT, Centralna Banka, Zavod za zapošljavanje Crne Gore</w:t>
      </w:r>
    </w:p>
    <w:p w:rsidR="00332574" w:rsidRPr="00715429" w:rsidRDefault="00332574" w:rsidP="00332574">
      <w:pPr>
        <w:spacing w:after="0"/>
        <w:ind w:firstLine="142"/>
        <w:rPr>
          <w:i/>
          <w:iCs/>
          <w:noProof/>
          <w:sz w:val="12"/>
          <w:szCs w:val="12"/>
          <w:lang w:val="hr-BA"/>
        </w:rPr>
      </w:pPr>
      <w:r w:rsidRPr="00715429">
        <w:rPr>
          <w:i/>
          <w:iCs/>
          <w:noProof/>
          <w:sz w:val="12"/>
          <w:szCs w:val="12"/>
          <w:lang w:val="hr-BA"/>
        </w:rPr>
        <w:t>Svi indikatori su prikazani kao godišnje stope rasta (stopa promjene indikatora u posmatranom mjesecu u odnosu na isti mjesec prethodne godine u %) ukoliko nije drugačije naznačeno u nazivu</w:t>
      </w:r>
    </w:p>
    <w:p w:rsidR="00332574" w:rsidRDefault="00332574" w:rsidP="00332574">
      <w:pPr>
        <w:spacing w:after="0" w:line="240" w:lineRule="auto"/>
        <w:ind w:firstLine="142"/>
        <w:rPr>
          <w:i/>
          <w:iCs/>
          <w:noProof/>
          <w:sz w:val="12"/>
          <w:szCs w:val="12"/>
          <w:lang w:val="hr-BA"/>
        </w:rPr>
      </w:pPr>
      <w:r w:rsidRPr="00715429">
        <w:rPr>
          <w:i/>
          <w:iCs/>
          <w:noProof/>
          <w:sz w:val="12"/>
          <w:szCs w:val="12"/>
          <w:lang w:val="hr-BA"/>
        </w:rPr>
        <w:t>M-n-M označava mjesečnu promjenu (stopa promjene indikatora u posmatranom mjesecu u odnosu na prethodni mjesec u %)</w:t>
      </w:r>
      <w:r w:rsidR="00B012FF">
        <w:rPr>
          <w:i/>
          <w:iCs/>
          <w:noProof/>
          <w:sz w:val="12"/>
          <w:szCs w:val="12"/>
          <w:lang w:val="hr-BA"/>
        </w:rPr>
        <w:t xml:space="preserve"> </w:t>
      </w:r>
      <w:r w:rsidR="00E2362B">
        <w:rPr>
          <w:i/>
          <w:iCs/>
          <w:noProof/>
          <w:sz w:val="12"/>
          <w:szCs w:val="12"/>
          <w:lang w:val="hr-BA"/>
        </w:rPr>
        <w:t>g-n-g</w:t>
      </w:r>
      <w:r w:rsidR="00E2362B" w:rsidRPr="00715429">
        <w:rPr>
          <w:i/>
          <w:iCs/>
          <w:noProof/>
          <w:sz w:val="12"/>
          <w:szCs w:val="12"/>
          <w:lang w:val="hr-BA"/>
        </w:rPr>
        <w:t xml:space="preserve"> označava </w:t>
      </w:r>
      <w:r w:rsidR="00E2362B">
        <w:rPr>
          <w:i/>
          <w:iCs/>
          <w:noProof/>
          <w:sz w:val="12"/>
          <w:szCs w:val="12"/>
          <w:lang w:val="hr-BA"/>
        </w:rPr>
        <w:t>godišnju</w:t>
      </w:r>
      <w:r w:rsidR="00E2362B" w:rsidRPr="00715429">
        <w:rPr>
          <w:i/>
          <w:iCs/>
          <w:noProof/>
          <w:sz w:val="12"/>
          <w:szCs w:val="12"/>
          <w:lang w:val="hr-BA"/>
        </w:rPr>
        <w:t xml:space="preserve"> promjenu (stopa promjene indikatora u posmatranom mjesecu</w:t>
      </w:r>
      <w:r w:rsidR="00E2362B">
        <w:rPr>
          <w:i/>
          <w:iCs/>
          <w:noProof/>
          <w:sz w:val="12"/>
          <w:szCs w:val="12"/>
          <w:lang w:val="hr-BA"/>
        </w:rPr>
        <w:t xml:space="preserve">ili periodu </w:t>
      </w:r>
      <w:r w:rsidR="00E2362B" w:rsidRPr="00715429">
        <w:rPr>
          <w:i/>
          <w:iCs/>
          <w:noProof/>
          <w:sz w:val="12"/>
          <w:szCs w:val="12"/>
          <w:lang w:val="hr-BA"/>
        </w:rPr>
        <w:t xml:space="preserve"> u odnosu na </w:t>
      </w:r>
      <w:r w:rsidR="00E2362B">
        <w:rPr>
          <w:i/>
          <w:iCs/>
          <w:noProof/>
          <w:sz w:val="12"/>
          <w:szCs w:val="12"/>
          <w:lang w:val="hr-BA"/>
        </w:rPr>
        <w:t>isti mmjesec ili periodprethodne godine</w:t>
      </w:r>
      <w:r w:rsidR="00E2362B" w:rsidRPr="00715429">
        <w:rPr>
          <w:i/>
          <w:iCs/>
          <w:noProof/>
          <w:sz w:val="12"/>
          <w:szCs w:val="12"/>
          <w:lang w:val="hr-BA"/>
        </w:rPr>
        <w:t xml:space="preserve"> u %)</w:t>
      </w:r>
    </w:p>
    <w:p w:rsidR="0083011C" w:rsidRDefault="0083011C" w:rsidP="00332574">
      <w:pPr>
        <w:spacing w:after="0" w:line="240" w:lineRule="auto"/>
        <w:ind w:firstLine="142"/>
        <w:rPr>
          <w:i/>
          <w:iCs/>
          <w:noProof/>
          <w:sz w:val="12"/>
          <w:szCs w:val="12"/>
          <w:lang w:val="hr-BA"/>
        </w:rPr>
      </w:pPr>
    </w:p>
    <w:p w:rsidR="0083011C" w:rsidRDefault="0083011C" w:rsidP="00332574">
      <w:pPr>
        <w:spacing w:after="0" w:line="240" w:lineRule="auto"/>
        <w:ind w:firstLine="142"/>
        <w:rPr>
          <w:i/>
          <w:iCs/>
          <w:noProof/>
          <w:sz w:val="12"/>
          <w:szCs w:val="12"/>
          <w:lang w:val="hr-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42"/>
        <w:gridCol w:w="562"/>
        <w:gridCol w:w="562"/>
        <w:gridCol w:w="563"/>
        <w:gridCol w:w="563"/>
        <w:gridCol w:w="563"/>
        <w:gridCol w:w="563"/>
        <w:gridCol w:w="563"/>
        <w:gridCol w:w="563"/>
        <w:gridCol w:w="563"/>
        <w:gridCol w:w="579"/>
        <w:gridCol w:w="779"/>
        <w:gridCol w:w="618"/>
        <w:gridCol w:w="653"/>
        <w:gridCol w:w="618"/>
        <w:gridCol w:w="618"/>
        <w:gridCol w:w="618"/>
        <w:gridCol w:w="779"/>
        <w:gridCol w:w="724"/>
        <w:gridCol w:w="876"/>
      </w:tblGrid>
      <w:tr w:rsidR="00DB3636" w:rsidRPr="00DB3636" w:rsidTr="00B12C9A">
        <w:trPr>
          <w:divId w:val="188297644"/>
          <w:trHeight w:val="630"/>
        </w:trPr>
        <w:tc>
          <w:tcPr>
            <w:tcW w:w="1312" w:type="pct"/>
            <w:shd w:val="clear" w:color="auto" w:fill="auto"/>
            <w:vAlign w:val="center"/>
            <w:hideMark/>
          </w:tcPr>
          <w:p w:rsidR="00DB3636" w:rsidRPr="00DB3636" w:rsidRDefault="00DB3636" w:rsidP="00DB3636">
            <w:pPr>
              <w:spacing w:after="0" w:line="240" w:lineRule="auto"/>
              <w:jc w:val="center"/>
              <w:rPr>
                <w:rFonts w:cs="Calibri"/>
                <w:b/>
                <w:bCs/>
                <w:sz w:val="18"/>
                <w:szCs w:val="18"/>
                <w:lang w:val="sr-Latn-CS" w:eastAsia="sr-Latn-CS"/>
              </w:rPr>
            </w:pPr>
            <w:r w:rsidRPr="00DB3636">
              <w:rPr>
                <w:rFonts w:cs="Calibri"/>
                <w:b/>
                <w:bCs/>
                <w:sz w:val="18"/>
                <w:szCs w:val="18"/>
                <w:lang w:val="sr-Latn-CS" w:eastAsia="sr-Latn-CS"/>
              </w:rPr>
              <w:t>Indikatori</w:t>
            </w:r>
          </w:p>
        </w:tc>
        <w:tc>
          <w:tcPr>
            <w:tcW w:w="174"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2013</w:t>
            </w:r>
          </w:p>
        </w:tc>
        <w:tc>
          <w:tcPr>
            <w:tcW w:w="174"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II</w:t>
            </w:r>
          </w:p>
        </w:tc>
        <w:tc>
          <w:tcPr>
            <w:tcW w:w="174"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III</w:t>
            </w:r>
          </w:p>
        </w:tc>
        <w:tc>
          <w:tcPr>
            <w:tcW w:w="174"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IV</w:t>
            </w:r>
          </w:p>
        </w:tc>
        <w:tc>
          <w:tcPr>
            <w:tcW w:w="174"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V</w:t>
            </w:r>
          </w:p>
        </w:tc>
        <w:tc>
          <w:tcPr>
            <w:tcW w:w="174"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VI</w:t>
            </w:r>
          </w:p>
        </w:tc>
        <w:tc>
          <w:tcPr>
            <w:tcW w:w="174"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VII</w:t>
            </w:r>
          </w:p>
        </w:tc>
        <w:tc>
          <w:tcPr>
            <w:tcW w:w="174"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VIII</w:t>
            </w:r>
          </w:p>
        </w:tc>
        <w:tc>
          <w:tcPr>
            <w:tcW w:w="174"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IX</w:t>
            </w:r>
          </w:p>
        </w:tc>
        <w:tc>
          <w:tcPr>
            <w:tcW w:w="179"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X</w:t>
            </w:r>
          </w:p>
        </w:tc>
        <w:tc>
          <w:tcPr>
            <w:tcW w:w="241"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XI</w:t>
            </w:r>
          </w:p>
        </w:tc>
        <w:tc>
          <w:tcPr>
            <w:tcW w:w="191"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XII</w:t>
            </w:r>
          </w:p>
        </w:tc>
        <w:tc>
          <w:tcPr>
            <w:tcW w:w="202"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2014</w:t>
            </w:r>
          </w:p>
        </w:tc>
        <w:tc>
          <w:tcPr>
            <w:tcW w:w="191"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II</w:t>
            </w:r>
          </w:p>
        </w:tc>
        <w:tc>
          <w:tcPr>
            <w:tcW w:w="191"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III</w:t>
            </w:r>
          </w:p>
        </w:tc>
        <w:tc>
          <w:tcPr>
            <w:tcW w:w="191"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IV</w:t>
            </w:r>
          </w:p>
        </w:tc>
        <w:tc>
          <w:tcPr>
            <w:tcW w:w="241" w:type="pct"/>
            <w:shd w:val="clear" w:color="auto" w:fill="auto"/>
            <w:noWrap/>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M-n-M</w:t>
            </w:r>
          </w:p>
        </w:tc>
        <w:tc>
          <w:tcPr>
            <w:tcW w:w="224"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apr '14 / apr '13</w:t>
            </w:r>
          </w:p>
        </w:tc>
        <w:tc>
          <w:tcPr>
            <w:tcW w:w="271" w:type="pct"/>
            <w:shd w:val="clear" w:color="auto" w:fill="auto"/>
            <w:vAlign w:val="center"/>
            <w:hideMark/>
          </w:tcPr>
          <w:p w:rsidR="00DB3636" w:rsidRPr="00DB3636" w:rsidRDefault="00DB3636" w:rsidP="00DB3636">
            <w:pPr>
              <w:spacing w:after="0" w:line="240" w:lineRule="auto"/>
              <w:jc w:val="center"/>
              <w:rPr>
                <w:rFonts w:cs="Calibri"/>
                <w:b/>
                <w:bCs/>
                <w:sz w:val="16"/>
                <w:szCs w:val="16"/>
                <w:lang w:val="sr-Latn-CS" w:eastAsia="sr-Latn-CS"/>
              </w:rPr>
            </w:pPr>
            <w:r w:rsidRPr="00DB3636">
              <w:rPr>
                <w:rFonts w:cs="Calibri"/>
                <w:b/>
                <w:bCs/>
                <w:sz w:val="16"/>
                <w:szCs w:val="16"/>
                <w:lang w:val="sr-Latn-CS" w:eastAsia="sr-Latn-CS"/>
              </w:rPr>
              <w:t>jan - apr '14 / jan - apr '13</w:t>
            </w:r>
          </w:p>
        </w:tc>
      </w:tr>
      <w:tr w:rsidR="00DB3636" w:rsidRPr="00DB3636" w:rsidTr="00B12C9A">
        <w:trPr>
          <w:divId w:val="188297644"/>
          <w:trHeight w:val="253"/>
        </w:trPr>
        <w:tc>
          <w:tcPr>
            <w:tcW w:w="1312"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REALNI SEKTOR</w:t>
            </w:r>
          </w:p>
        </w:tc>
        <w:tc>
          <w:tcPr>
            <w:tcW w:w="174"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74"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74"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74"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74"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74"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74"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74"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74"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79"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241"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91"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202"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91"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91"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191"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241"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224"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c>
          <w:tcPr>
            <w:tcW w:w="271" w:type="pct"/>
            <w:shd w:val="clear" w:color="000000" w:fill="FFFF99"/>
            <w:vAlign w:val="center"/>
            <w:hideMark/>
          </w:tcPr>
          <w:p w:rsidR="00DB3636" w:rsidRPr="00DB3636" w:rsidRDefault="00DB3636" w:rsidP="00DB3636">
            <w:pPr>
              <w:spacing w:after="0" w:line="240" w:lineRule="auto"/>
              <w:rPr>
                <w:rFonts w:cs="Calibri"/>
                <w:b/>
                <w:bCs/>
                <w:sz w:val="18"/>
                <w:szCs w:val="18"/>
                <w:lang w:val="sr-Latn-CS" w:eastAsia="sr-Latn-CS"/>
              </w:rPr>
            </w:pPr>
            <w:r w:rsidRPr="00DB3636">
              <w:rPr>
                <w:rFonts w:cs="Calibri"/>
                <w:b/>
                <w:bCs/>
                <w:sz w:val="18"/>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Industrijska proizvodnja (stopa rasta)</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10,40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14,20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22,40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19,00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5,10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9,00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3,00</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10,50</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21,40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14,50</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7,40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5,70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-20,60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-27,90</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0,6</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-27,9</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-11,1</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Prerađivačka industrija (stopa rasta)</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-36,40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-32,80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-34,40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-28,20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-11,50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-11,10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11,70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4,70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6,50</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22,70</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28,20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48,80</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39,80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20,50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18,40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-44,90</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-11,1</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-12,2</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13,3</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Noćenja u turizmu (stopa rasta)</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-8,30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4,20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2,30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7,30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4,50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-3,60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4,30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30,30</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30,30</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22,10</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2,70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5,30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2,10</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55,7</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2,1</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5,8</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Promet u maloprodaji (stopa rasta)</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12,10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8,20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6,60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7,80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8,60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10,30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11,50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14,40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16,00</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16,00</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12,80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14,20</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4,90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2,50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3,10</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2,1</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Vrijednost radova u gradjevinarstvu (stopa rasta)</w:t>
            </w:r>
          </w:p>
        </w:tc>
        <w:tc>
          <w:tcPr>
            <w:tcW w:w="522" w:type="pct"/>
            <w:gridSpan w:val="3"/>
            <w:shd w:val="clear" w:color="auto" w:fill="auto"/>
            <w:noWrap/>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5,7</w:t>
            </w:r>
          </w:p>
        </w:tc>
        <w:tc>
          <w:tcPr>
            <w:tcW w:w="522" w:type="pct"/>
            <w:gridSpan w:val="3"/>
            <w:shd w:val="clear" w:color="auto" w:fill="auto"/>
            <w:noWrap/>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-1,0</w:t>
            </w:r>
          </w:p>
        </w:tc>
        <w:tc>
          <w:tcPr>
            <w:tcW w:w="522" w:type="pct"/>
            <w:gridSpan w:val="3"/>
            <w:shd w:val="clear" w:color="auto" w:fill="auto"/>
            <w:noWrap/>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3,8</w:t>
            </w:r>
          </w:p>
        </w:tc>
        <w:tc>
          <w:tcPr>
            <w:tcW w:w="611" w:type="pct"/>
            <w:gridSpan w:val="3"/>
            <w:shd w:val="clear" w:color="auto" w:fill="auto"/>
            <w:noWrap/>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27,9</w:t>
            </w:r>
          </w:p>
        </w:tc>
        <w:tc>
          <w:tcPr>
            <w:tcW w:w="584" w:type="pct"/>
            <w:gridSpan w:val="3"/>
            <w:shd w:val="clear" w:color="auto" w:fill="auto"/>
            <w:noWrap/>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30,3</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 </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color w:val="993300"/>
                <w:sz w:val="14"/>
                <w:szCs w:val="18"/>
                <w:lang w:val="sr-Latn-CS" w:eastAsia="sr-Latn-CS"/>
              </w:rPr>
            </w:pPr>
            <w:r w:rsidRPr="00DB3636">
              <w:rPr>
                <w:rFonts w:cs="Calibri"/>
                <w:color w:val="993300"/>
                <w:sz w:val="14"/>
                <w:szCs w:val="18"/>
                <w:lang w:val="sr-Latn-CS" w:eastAsia="sr-Latn-CS"/>
              </w:rPr>
              <w:t> </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color w:val="993300"/>
                <w:sz w:val="14"/>
                <w:szCs w:val="18"/>
                <w:lang w:val="sr-Latn-CS" w:eastAsia="sr-Latn-CS"/>
              </w:rPr>
            </w:pPr>
            <w:r w:rsidRPr="00DB3636">
              <w:rPr>
                <w:rFonts w:cs="Calibri"/>
                <w:color w:val="993300"/>
                <w:sz w:val="14"/>
                <w:szCs w:val="18"/>
                <w:lang w:val="sr-Latn-CS" w:eastAsia="sr-Latn-CS"/>
              </w:rPr>
              <w:t> </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color w:val="993300"/>
                <w:sz w:val="14"/>
                <w:szCs w:val="18"/>
                <w:lang w:val="sr-Latn-CS" w:eastAsia="sr-Latn-CS"/>
              </w:rPr>
            </w:pPr>
            <w:r w:rsidRPr="00DB3636">
              <w:rPr>
                <w:rFonts w:cs="Calibri"/>
                <w:color w:val="993300"/>
                <w:sz w:val="14"/>
                <w:szCs w:val="18"/>
                <w:lang w:val="sr-Latn-CS" w:eastAsia="sr-Latn-CS"/>
              </w:rPr>
              <w:t> </w:t>
            </w:r>
          </w:p>
        </w:tc>
      </w:tr>
      <w:tr w:rsidR="00DB3636" w:rsidRPr="00DB3636" w:rsidTr="00B12C9A">
        <w:trPr>
          <w:divId w:val="188297644"/>
          <w:trHeight w:hRule="exact" w:val="204"/>
        </w:trPr>
        <w:tc>
          <w:tcPr>
            <w:tcW w:w="1312" w:type="pct"/>
            <w:shd w:val="clear" w:color="000000" w:fill="FFFF99"/>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INFLACIJA</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9"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4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02"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4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2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7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Indeks potrošačkih cijena (stopa rasta)</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3,3</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3,3</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2,7</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0,3</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-0,4</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-0,6</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-0,9</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-0,2</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-0,8</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Harmonizovani indeks potrošačkih cijena (stopa rasta)</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3,8</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2,1</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1,5</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1,5</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0,3</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0,4</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0,1</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-0,4</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-0,8</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-0,1</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-0,8</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n/p</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Indeks proizvodjačkih cijena (stopa rasta)</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4,6</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3,9</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4,1</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2,3</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-0,4</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-0,9</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-0,6</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-0,3</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-0,2</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0,1</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-0,2</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-0,7</w:t>
            </w:r>
          </w:p>
        </w:tc>
      </w:tr>
      <w:tr w:rsidR="00DB3636" w:rsidRPr="00DB3636" w:rsidTr="00B12C9A">
        <w:trPr>
          <w:divId w:val="188297644"/>
          <w:trHeight w:hRule="exact" w:val="204"/>
        </w:trPr>
        <w:tc>
          <w:tcPr>
            <w:tcW w:w="1312" w:type="pct"/>
            <w:shd w:val="clear" w:color="000000" w:fill="FFFF99"/>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ZAPOSLENOST I ZARADE</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9"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4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02"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4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2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7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Zaposlenost (broj, kraj perioda)</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167.370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167.379</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167.738</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170.302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174.369</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179.861</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178.815</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176.588</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169.044</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169.044</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167.607</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167.173</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167.616</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168.805</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170.177</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172.202</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0,9</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Broj nezaposlenih (broj, kraj perioda)</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31.890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32.648</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32.986</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32.624</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31.363</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30.337</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30.102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30.947</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33.271</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33.271</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34.680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34.514</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34.804</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34.664</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34.671</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33.906</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-2,2</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3,9</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6,1</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Stopa nezaposlenosti (%)</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13,7</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14,1</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14,1</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13,5</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13,3</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13,3</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14,3</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14,9</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14,9</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15,0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14,9</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14,9</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14,6</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3,5</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5,9</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Stopa nezaposlenosti (ARS) (%)</w:t>
            </w:r>
          </w:p>
        </w:tc>
        <w:tc>
          <w:tcPr>
            <w:tcW w:w="522" w:type="pct"/>
            <w:gridSpan w:val="3"/>
            <w:shd w:val="clear" w:color="auto" w:fill="auto"/>
            <w:noWrap/>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21,5</w:t>
            </w:r>
          </w:p>
        </w:tc>
        <w:tc>
          <w:tcPr>
            <w:tcW w:w="522" w:type="pct"/>
            <w:gridSpan w:val="3"/>
            <w:shd w:val="clear" w:color="auto" w:fill="auto"/>
            <w:noWrap/>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19,3</w:t>
            </w:r>
          </w:p>
        </w:tc>
        <w:tc>
          <w:tcPr>
            <w:tcW w:w="522" w:type="pct"/>
            <w:gridSpan w:val="3"/>
            <w:shd w:val="clear" w:color="auto" w:fill="auto"/>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17,8</w:t>
            </w:r>
          </w:p>
        </w:tc>
        <w:tc>
          <w:tcPr>
            <w:tcW w:w="611" w:type="pct"/>
            <w:gridSpan w:val="3"/>
            <w:shd w:val="clear" w:color="auto" w:fill="auto"/>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19,5</w:t>
            </w:r>
          </w:p>
        </w:tc>
        <w:tc>
          <w:tcPr>
            <w:tcW w:w="584" w:type="pct"/>
            <w:gridSpan w:val="3"/>
            <w:shd w:val="clear" w:color="auto" w:fill="auto"/>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 </w:t>
            </w:r>
          </w:p>
        </w:tc>
        <w:tc>
          <w:tcPr>
            <w:tcW w:w="191" w:type="pct"/>
            <w:shd w:val="clear" w:color="auto" w:fill="auto"/>
            <w:tcMar>
              <w:right w:w="57" w:type="dxa"/>
            </w:tcMar>
            <w:vAlign w:val="center"/>
            <w:hideMark/>
          </w:tcPr>
          <w:p w:rsidR="00DB3636" w:rsidRPr="00DB3636" w:rsidRDefault="00DB3636" w:rsidP="00DB3636">
            <w:pPr>
              <w:spacing w:after="0" w:line="240" w:lineRule="auto"/>
              <w:jc w:val="center"/>
              <w:rPr>
                <w:rFonts w:cs="Calibri"/>
                <w:sz w:val="14"/>
                <w:szCs w:val="18"/>
                <w:lang w:val="sr-Latn-CS" w:eastAsia="sr-Latn-CS"/>
              </w:rPr>
            </w:pPr>
            <w:r w:rsidRPr="00DB3636">
              <w:rPr>
                <w:rFonts w:cs="Calibri"/>
                <w:sz w:val="14"/>
                <w:szCs w:val="18"/>
                <w:lang w:val="sr-Latn-CS" w:eastAsia="sr-Latn-CS"/>
              </w:rPr>
              <w:t> </w:t>
            </w:r>
          </w:p>
        </w:tc>
        <w:tc>
          <w:tcPr>
            <w:tcW w:w="24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 </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 </w:t>
            </w:r>
          </w:p>
        </w:tc>
        <w:tc>
          <w:tcPr>
            <w:tcW w:w="27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Oglašena radna mjesta (broj)</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515</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583</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1.182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2.826</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1.719</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1.430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853</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1.495</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796</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796</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648</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1.130</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1.028</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1.051</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3.077</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5.399</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75,5</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91,0</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106,7</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Prosječna mjesečna bruto zarada (u €)</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731</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734</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723</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724</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728</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730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712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721</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721</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721</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728</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738</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726</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729</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720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720</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-0,6</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-0,6</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Prosječna mjesečna neto zarada (u €)</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490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485</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476</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477</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481</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469</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475</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475</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475</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486</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478</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474</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474</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w:t>
            </w:r>
          </w:p>
        </w:tc>
        <w:tc>
          <w:tcPr>
            <w:tcW w:w="22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-0,6</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w:t>
            </w:r>
          </w:p>
        </w:tc>
      </w:tr>
      <w:tr w:rsidR="00DB3636" w:rsidRPr="00DB3636" w:rsidTr="00B12C9A">
        <w:trPr>
          <w:divId w:val="188297644"/>
          <w:trHeight w:hRule="exact" w:val="204"/>
        </w:trPr>
        <w:tc>
          <w:tcPr>
            <w:tcW w:w="1312" w:type="pct"/>
            <w:shd w:val="clear" w:color="000000" w:fill="FFFF99"/>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MONETARNI SEKTOR</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9"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4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02"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4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2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7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Ukupni krediti (kumulativ, mil. €)</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2.482,8</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2.507,6</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2.490,7</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2.466,7</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2.477,6</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2.457,5</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2.505,8</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2.538,3</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2.474,5</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2.474,5</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2.463,9</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2.411,9</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2.407,9</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2.415,0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2.405,0</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2.386,6</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-0,8</w:t>
            </w:r>
          </w:p>
        </w:tc>
        <w:tc>
          <w:tcPr>
            <w:tcW w:w="224"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-3,2</w:t>
            </w:r>
          </w:p>
        </w:tc>
        <w:tc>
          <w:tcPr>
            <w:tcW w:w="271" w:type="pct"/>
            <w:shd w:val="clear" w:color="000000" w:fill="FFFFFF"/>
            <w:noWrap/>
            <w:tcMar>
              <w:right w:w="57" w:type="dxa"/>
            </w:tcMar>
            <w:vAlign w:val="center"/>
            <w:hideMark/>
          </w:tcPr>
          <w:p w:rsidR="00DB3636" w:rsidRPr="00DB3636" w:rsidRDefault="00DB3636" w:rsidP="00DB3636">
            <w:pPr>
              <w:spacing w:after="0" w:line="240" w:lineRule="auto"/>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 xml:space="preserve">Ukupni krediti (stopa rasta) </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5,4</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-3,7</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-3,4</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-3,2</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-0,8</w:t>
            </w:r>
          </w:p>
        </w:tc>
        <w:tc>
          <w:tcPr>
            <w:tcW w:w="224"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-3,2</w:t>
            </w:r>
          </w:p>
        </w:tc>
        <w:tc>
          <w:tcPr>
            <w:tcW w:w="271" w:type="pct"/>
            <w:shd w:val="clear" w:color="000000" w:fill="FFFFFF"/>
            <w:noWrap/>
            <w:tcMar>
              <w:right w:w="57" w:type="dxa"/>
            </w:tcMar>
            <w:vAlign w:val="center"/>
            <w:hideMark/>
          </w:tcPr>
          <w:p w:rsidR="00DB3636" w:rsidRPr="00DB3636" w:rsidRDefault="00DB3636" w:rsidP="00DB3636">
            <w:pPr>
              <w:spacing w:after="0" w:line="240" w:lineRule="auto"/>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Nekvalitetni krediti (kumulativ, mil €)</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457,1</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455,7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465,3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480,8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492,9</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441,3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447,0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441,9</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438,6</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438,6</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428,3</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423,2</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425,6</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426,3</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393,9</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406,1</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w:t>
            </w:r>
          </w:p>
        </w:tc>
        <w:tc>
          <w:tcPr>
            <w:tcW w:w="224"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-15,5</w:t>
            </w:r>
          </w:p>
        </w:tc>
        <w:tc>
          <w:tcPr>
            <w:tcW w:w="271" w:type="pct"/>
            <w:shd w:val="clear" w:color="000000" w:fill="FFFFFF"/>
            <w:noWrap/>
            <w:tcMar>
              <w:right w:w="57" w:type="dxa"/>
            </w:tcMar>
            <w:vAlign w:val="center"/>
            <w:hideMark/>
          </w:tcPr>
          <w:p w:rsidR="00DB3636" w:rsidRPr="00DB3636" w:rsidRDefault="00DB3636" w:rsidP="00DB3636">
            <w:pPr>
              <w:spacing w:after="0" w:line="240" w:lineRule="auto"/>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Udio nekvalitetnih kredita u ukupnim kreditima (u %)</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18,4</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18,2</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18,7</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19,5</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19,9</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17,8</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17,4</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17,7</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17,7</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17,4</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17,5</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17,7</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17,7</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16,4</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17,0</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w:t>
            </w:r>
          </w:p>
        </w:tc>
        <w:tc>
          <w:tcPr>
            <w:tcW w:w="224"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-15,5</w:t>
            </w:r>
          </w:p>
        </w:tc>
        <w:tc>
          <w:tcPr>
            <w:tcW w:w="271" w:type="pct"/>
            <w:shd w:val="clear" w:color="000000" w:fill="FFFFFF"/>
            <w:noWrap/>
            <w:tcMar>
              <w:right w:w="57" w:type="dxa"/>
            </w:tcMar>
            <w:vAlign w:val="center"/>
            <w:hideMark/>
          </w:tcPr>
          <w:p w:rsidR="00DB3636" w:rsidRPr="00DB3636" w:rsidRDefault="00DB3636" w:rsidP="00DB3636">
            <w:pPr>
              <w:spacing w:after="0" w:line="240" w:lineRule="auto"/>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Ukupni depoziti (kumulativ, mil €)</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1.969,8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1.990,1</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1.999,3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1.951,5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1.974,4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2.009,7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2.075,0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2.144,3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2.104,3</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2.104,3</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2.084,9</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2.098,6</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2.096,7</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2.101,7</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2.104,3</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2.094,8</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-0,4</w:t>
            </w:r>
          </w:p>
        </w:tc>
        <w:tc>
          <w:tcPr>
            <w:tcW w:w="224"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7,3</w:t>
            </w:r>
          </w:p>
        </w:tc>
        <w:tc>
          <w:tcPr>
            <w:tcW w:w="271" w:type="pct"/>
            <w:shd w:val="clear" w:color="000000" w:fill="FFFFFF"/>
            <w:noWrap/>
            <w:tcMar>
              <w:right w:w="57" w:type="dxa"/>
            </w:tcMar>
            <w:vAlign w:val="center"/>
            <w:hideMark/>
          </w:tcPr>
          <w:p w:rsidR="00DB3636" w:rsidRPr="00DB3636" w:rsidRDefault="00DB3636" w:rsidP="00DB3636">
            <w:pPr>
              <w:spacing w:after="0" w:line="240" w:lineRule="auto"/>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Ukupni depoziti (stopa rasta)</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6,3</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7,4</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6,0</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6,4</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5,5</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9,7</w:t>
            </w:r>
          </w:p>
        </w:tc>
        <w:tc>
          <w:tcPr>
            <w:tcW w:w="174"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5,2</w:t>
            </w:r>
          </w:p>
        </w:tc>
        <w:tc>
          <w:tcPr>
            <w:tcW w:w="179"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7,1</w:t>
            </w:r>
          </w:p>
        </w:tc>
        <w:tc>
          <w:tcPr>
            <w:tcW w:w="24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5,1</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6,0</w:t>
            </w:r>
          </w:p>
        </w:tc>
        <w:tc>
          <w:tcPr>
            <w:tcW w:w="202"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6,4</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5,6</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5,3</w:t>
            </w:r>
          </w:p>
        </w:tc>
        <w:tc>
          <w:tcPr>
            <w:tcW w:w="19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7,3</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-0,4</w:t>
            </w:r>
          </w:p>
        </w:tc>
        <w:tc>
          <w:tcPr>
            <w:tcW w:w="224"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7,3</w:t>
            </w:r>
          </w:p>
        </w:tc>
        <w:tc>
          <w:tcPr>
            <w:tcW w:w="27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Krediti privredi (kumulativ, u mil €)</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1.013,2</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1.019,0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1.026,5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1.029,1</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1.027,9</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990,5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970,2</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947,6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951,1</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951,1</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955,2</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948,4</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942,6</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951,6</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947,7</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958,5</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-6,9</w:t>
            </w:r>
          </w:p>
        </w:tc>
        <w:tc>
          <w:tcPr>
            <w:tcW w:w="27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Krediti domaćinstvima (kumulativ, u mil €)</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857,4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861,1</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865,8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872,5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875,1</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880,9</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882,5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880,6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886,8</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886,8</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887,1</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881,3</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881,1</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882,6</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887,1</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887,4</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w:t>
            </w:r>
          </w:p>
        </w:tc>
        <w:tc>
          <w:tcPr>
            <w:tcW w:w="27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Depoziti privrede (kumulativ, u mil €)</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507,8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518,7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525,4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489,8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509,8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539,3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576,2</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612,3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572,8</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572,8</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553,9</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554,8</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554,0</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549,6</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542,8</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533,0</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8,8</w:t>
            </w:r>
          </w:p>
        </w:tc>
        <w:tc>
          <w:tcPr>
            <w:tcW w:w="27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Lična štednja (kumulativ, u mil €)</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1.150,4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1.158,7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1.165,0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1.165,1</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1.162,4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1.164,7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1.192,9</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1.218,1</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1.218,1</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1.218,1</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1.221,0</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1.237,7</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1.235,1</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1.236,4</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1.239,2</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1.247,8</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0,7</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7,1</w:t>
            </w:r>
          </w:p>
        </w:tc>
        <w:tc>
          <w:tcPr>
            <w:tcW w:w="27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Kamatna stopa na kredite</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9,38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9,33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9,33</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9,33</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9,33</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9,36</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9,40</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9,42</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9,42</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9,45</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0,03</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0,01</w:t>
            </w:r>
          </w:p>
        </w:tc>
        <w:tc>
          <w:tcPr>
            <w:tcW w:w="27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Kamatna stopa na depozite</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3,12</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2,99</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2,93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2,83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2,67</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2,67</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2,60</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2,55</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2,41</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2,45</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2,34</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2,31</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-0,03</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-0,81</w:t>
            </w:r>
          </w:p>
        </w:tc>
        <w:tc>
          <w:tcPr>
            <w:tcW w:w="27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 </w:t>
            </w:r>
          </w:p>
        </w:tc>
      </w:tr>
      <w:tr w:rsidR="00DB3636" w:rsidRPr="00DB3636" w:rsidTr="00B12C9A">
        <w:trPr>
          <w:divId w:val="188297644"/>
          <w:trHeight w:hRule="exact" w:val="204"/>
        </w:trPr>
        <w:tc>
          <w:tcPr>
            <w:tcW w:w="1312" w:type="pct"/>
            <w:shd w:val="clear" w:color="000000" w:fill="FFFF99"/>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EKSTERNI SEKTOR</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9"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4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02"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4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2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7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Izvoz roba (u mil. €)</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28,0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36,9</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39,4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28,4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24,6</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24,6</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31,2</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34,5</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22,6</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22,2</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24,7</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23,1</w:t>
            </w:r>
          </w:p>
        </w:tc>
        <w:tc>
          <w:tcPr>
            <w:tcW w:w="24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-6,6</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-37,6</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-26,7</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Uvoz roba (u mil. €)</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110,2</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113,9</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138,8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162,4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152,3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170,4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172,6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164,9</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161,4</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161,4</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130,7</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149,0</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83,1</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112,7</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145,8</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157,9</w:t>
            </w:r>
          </w:p>
        </w:tc>
        <w:tc>
          <w:tcPr>
            <w:tcW w:w="24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8,3</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-2,8</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-4,9</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Spoljnotrgovinski bilans (u mil €)</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-82,2</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-82,7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-108,8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-125,5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-112,9</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-139,9</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-140,8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-136,5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-136,9</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-136,9</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-99,6</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-114,5</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-60,5</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-90,5</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-121,1</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-134,8</w:t>
            </w:r>
          </w:p>
        </w:tc>
        <w:tc>
          <w:tcPr>
            <w:tcW w:w="24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11,4</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7,5</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Strane direktne investicije (mil.€)</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39,5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17,1</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33,7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38,8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32,5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30,7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-19,8</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-19,8</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12,6</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55,5</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17,0</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28,8</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32,1</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n.p.</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11,2</w:t>
            </w:r>
          </w:p>
        </w:tc>
        <w:tc>
          <w:tcPr>
            <w:tcW w:w="224"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-18,8</w:t>
            </w:r>
          </w:p>
        </w:tc>
        <w:tc>
          <w:tcPr>
            <w:tcW w:w="27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19,0</w:t>
            </w:r>
          </w:p>
        </w:tc>
      </w:tr>
      <w:tr w:rsidR="00DB3636" w:rsidRPr="00DB3636" w:rsidTr="00B12C9A">
        <w:trPr>
          <w:divId w:val="188297644"/>
          <w:trHeight w:hRule="exact" w:val="204"/>
        </w:trPr>
        <w:tc>
          <w:tcPr>
            <w:tcW w:w="1312" w:type="pct"/>
            <w:shd w:val="clear" w:color="000000" w:fill="FFFF99"/>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MEĐUNARODNO OKRUŽENJE</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79"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4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02"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19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4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24"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c>
          <w:tcPr>
            <w:tcW w:w="271" w:type="pct"/>
            <w:shd w:val="clear" w:color="000000" w:fill="FFFF99"/>
            <w:tcMar>
              <w:right w:w="57" w:type="dxa"/>
            </w:tcMar>
            <w:vAlign w:val="center"/>
            <w:hideMark/>
          </w:tcPr>
          <w:p w:rsidR="00DB3636" w:rsidRPr="00DB3636" w:rsidRDefault="00DB3636" w:rsidP="00DB3636">
            <w:pPr>
              <w:spacing w:after="0" w:line="240" w:lineRule="auto"/>
              <w:rPr>
                <w:rFonts w:cs="Calibri"/>
                <w:b/>
                <w:bCs/>
                <w:sz w:val="14"/>
                <w:szCs w:val="18"/>
                <w:lang w:val="sr-Latn-CS" w:eastAsia="sr-Latn-CS"/>
              </w:rPr>
            </w:pPr>
            <w:r w:rsidRPr="00DB3636">
              <w:rPr>
                <w:rFonts w:cs="Calibri"/>
                <w:b/>
                <w:bCs/>
                <w:sz w:val="14"/>
                <w:szCs w:val="18"/>
                <w:lang w:val="sr-Latn-CS" w:eastAsia="sr-Latn-CS"/>
              </w:rPr>
              <w:t> </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Brent crude oil (USD/barel)</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116,8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110,4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111,1</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100,0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100,4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103,0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107,7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115,7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105,9</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105,9</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111,5</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107,8</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108,8</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109,7</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107,7</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108,0</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0,3</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8,0</w:t>
            </w:r>
          </w:p>
        </w:tc>
        <w:tc>
          <w:tcPr>
            <w:tcW w:w="271" w:type="pct"/>
            <w:shd w:val="clear" w:color="auto" w:fill="auto"/>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-0,9</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Aluminijum (USD/T)</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2.037,6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2.053,6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1.911,3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1.861,0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1.832,6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1.814,5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1.769,6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1.816,2</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1.814,6</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1.814,6</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1.748,0</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1.739,8</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1.740,8</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1.695,2</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1.705,4</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1.810,7</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6,2</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-2,7</w:t>
            </w:r>
          </w:p>
        </w:tc>
        <w:tc>
          <w:tcPr>
            <w:tcW w:w="27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-11,6</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Euribor (12 mjeseci)</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0,62</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0,55</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0,51</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0,48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0,54</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0,54</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0,53</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0,50</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0,56</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0,55</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0,59</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0,61</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0,02</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0,07</w:t>
            </w:r>
          </w:p>
        </w:tc>
        <w:tc>
          <w:tcPr>
            <w:tcW w:w="27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0,01</w:t>
            </w:r>
          </w:p>
        </w:tc>
      </w:tr>
      <w:tr w:rsidR="00DB3636" w:rsidRPr="00DB3636" w:rsidTr="00B12C9A">
        <w:trPr>
          <w:divId w:val="188297644"/>
          <w:trHeight w:hRule="exact" w:val="204"/>
        </w:trPr>
        <w:tc>
          <w:tcPr>
            <w:tcW w:w="1312" w:type="pct"/>
            <w:shd w:val="clear" w:color="auto" w:fill="auto"/>
            <w:vAlign w:val="center"/>
            <w:hideMark/>
          </w:tcPr>
          <w:p w:rsidR="00DB3636" w:rsidRPr="00DB3636" w:rsidRDefault="00DB3636" w:rsidP="00DB3636">
            <w:pPr>
              <w:spacing w:after="0" w:line="240" w:lineRule="auto"/>
              <w:rPr>
                <w:rFonts w:cs="Calibri"/>
                <w:b/>
                <w:bCs/>
                <w:sz w:val="16"/>
                <w:szCs w:val="16"/>
                <w:lang w:val="sr-Latn-CS" w:eastAsia="sr-Latn-CS"/>
              </w:rPr>
            </w:pPr>
            <w:r w:rsidRPr="00DB3636">
              <w:rPr>
                <w:rFonts w:cs="Calibri"/>
                <w:b/>
                <w:bCs/>
                <w:sz w:val="16"/>
                <w:szCs w:val="16"/>
                <w:lang w:val="sr-Latn-CS" w:eastAsia="sr-Latn-CS"/>
              </w:rPr>
              <w:t>Inflacija u Eurozoni</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2,0</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1,8</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1,7</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1,2</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1,4</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1,6</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1,3</w:t>
            </w:r>
          </w:p>
        </w:tc>
        <w:tc>
          <w:tcPr>
            <w:tcW w:w="174"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0,7</w:t>
            </w:r>
          </w:p>
        </w:tc>
        <w:tc>
          <w:tcPr>
            <w:tcW w:w="179"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0,7</w:t>
            </w:r>
          </w:p>
        </w:tc>
        <w:tc>
          <w:tcPr>
            <w:tcW w:w="24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0,9</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0,8</w:t>
            </w:r>
          </w:p>
        </w:tc>
        <w:tc>
          <w:tcPr>
            <w:tcW w:w="202"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0,8</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0,7</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w:t>
            </w:r>
          </w:p>
        </w:tc>
        <w:tc>
          <w:tcPr>
            <w:tcW w:w="191" w:type="pct"/>
            <w:shd w:val="clear" w:color="auto" w:fill="auto"/>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0,7</w:t>
            </w:r>
          </w:p>
        </w:tc>
        <w:tc>
          <w:tcPr>
            <w:tcW w:w="241" w:type="pct"/>
            <w:shd w:val="clear" w:color="000000" w:fill="FFFFFF"/>
            <w:noWrap/>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0,2</w:t>
            </w:r>
          </w:p>
        </w:tc>
        <w:tc>
          <w:tcPr>
            <w:tcW w:w="224"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-0,5</w:t>
            </w:r>
          </w:p>
        </w:tc>
        <w:tc>
          <w:tcPr>
            <w:tcW w:w="271" w:type="pct"/>
            <w:shd w:val="clear" w:color="000000" w:fill="FFFFFF"/>
            <w:tcMar>
              <w:right w:w="57" w:type="dxa"/>
            </w:tcMar>
            <w:vAlign w:val="center"/>
            <w:hideMark/>
          </w:tcPr>
          <w:p w:rsidR="00DB3636" w:rsidRPr="00DB3636" w:rsidRDefault="00DB3636" w:rsidP="00DB3636">
            <w:pPr>
              <w:spacing w:after="0" w:line="240" w:lineRule="auto"/>
              <w:jc w:val="right"/>
              <w:rPr>
                <w:rFonts w:cs="Calibri"/>
                <w:sz w:val="14"/>
                <w:szCs w:val="18"/>
                <w:lang w:val="sr-Latn-CS" w:eastAsia="sr-Latn-CS"/>
              </w:rPr>
            </w:pPr>
            <w:r w:rsidRPr="00DB3636">
              <w:rPr>
                <w:rFonts w:cs="Calibri"/>
                <w:sz w:val="14"/>
                <w:szCs w:val="18"/>
                <w:lang w:val="sr-Latn-CS" w:eastAsia="sr-Latn-CS"/>
              </w:rPr>
              <w:t>-1,0</w:t>
            </w:r>
          </w:p>
        </w:tc>
      </w:tr>
    </w:tbl>
    <w:p w:rsidR="0083011C" w:rsidRDefault="0083011C" w:rsidP="00332574">
      <w:pPr>
        <w:spacing w:after="0" w:line="240" w:lineRule="auto"/>
        <w:ind w:firstLine="142"/>
        <w:rPr>
          <w:i/>
          <w:iCs/>
          <w:noProof/>
          <w:sz w:val="12"/>
          <w:szCs w:val="12"/>
          <w:lang w:val="hr-BA"/>
        </w:rPr>
      </w:pPr>
    </w:p>
    <w:p w:rsidR="0083011C" w:rsidRDefault="0083011C" w:rsidP="00332574">
      <w:pPr>
        <w:spacing w:after="0" w:line="240" w:lineRule="auto"/>
        <w:ind w:firstLine="142"/>
        <w:rPr>
          <w:i/>
          <w:iCs/>
          <w:noProof/>
          <w:sz w:val="12"/>
          <w:szCs w:val="12"/>
          <w:lang w:val="hr-BA"/>
        </w:rPr>
      </w:pPr>
    </w:p>
    <w:p w:rsidR="0083011C" w:rsidRDefault="0083011C" w:rsidP="00332574">
      <w:pPr>
        <w:spacing w:after="0" w:line="240" w:lineRule="auto"/>
        <w:ind w:firstLine="142"/>
        <w:rPr>
          <w:i/>
          <w:iCs/>
          <w:noProof/>
          <w:sz w:val="12"/>
          <w:szCs w:val="12"/>
          <w:lang w:val="hr-BA"/>
        </w:rPr>
      </w:pPr>
    </w:p>
    <w:p w:rsidR="00B12C9A" w:rsidRDefault="00B12C9A" w:rsidP="00784DAE">
      <w:pPr>
        <w:spacing w:after="0" w:line="240" w:lineRule="auto"/>
        <w:ind w:firstLine="142"/>
        <w:jc w:val="center"/>
        <w:rPr>
          <w:noProof/>
          <w:sz w:val="18"/>
          <w:szCs w:val="18"/>
          <w:lang w:val="hr-BA"/>
        </w:rPr>
      </w:pPr>
    </w:p>
    <w:p w:rsidR="00CD707C" w:rsidRPr="0065398C" w:rsidRDefault="00A30E95" w:rsidP="00784DAE">
      <w:pPr>
        <w:spacing w:after="0" w:line="240" w:lineRule="auto"/>
        <w:ind w:firstLine="142"/>
        <w:jc w:val="center"/>
        <w:rPr>
          <w:noProof/>
          <w:sz w:val="18"/>
          <w:szCs w:val="18"/>
          <w:lang w:val="hr-BA"/>
        </w:rPr>
      </w:pPr>
      <w:r w:rsidRPr="0065398C">
        <w:rPr>
          <w:noProof/>
          <w:sz w:val="18"/>
          <w:szCs w:val="18"/>
          <w:lang w:val="hr-BA"/>
        </w:rPr>
        <w:lastRenderedPageBreak/>
        <w:t>T</w:t>
      </w:r>
      <w:r w:rsidR="00784DAE" w:rsidRPr="0065398C">
        <w:rPr>
          <w:noProof/>
          <w:sz w:val="18"/>
          <w:szCs w:val="18"/>
          <w:lang w:val="hr-BA"/>
        </w:rPr>
        <w:t xml:space="preserve">abela 2: </w:t>
      </w:r>
      <w:r w:rsidR="00784DAE" w:rsidRPr="0065398C">
        <w:rPr>
          <w:b/>
          <w:bCs/>
          <w:noProof/>
          <w:sz w:val="18"/>
          <w:szCs w:val="18"/>
          <w:lang w:val="hr-BA"/>
        </w:rPr>
        <w:t>BUDŽET CRNE GORE</w:t>
      </w:r>
      <w:r w:rsidR="00784DAE" w:rsidRPr="0065398C">
        <w:rPr>
          <w:noProof/>
          <w:sz w:val="18"/>
          <w:szCs w:val="18"/>
          <w:lang w:val="hr-BA"/>
        </w:rPr>
        <w:t xml:space="preserve"> –</w:t>
      </w:r>
      <w:r w:rsidR="0083011C">
        <w:rPr>
          <w:noProof/>
          <w:sz w:val="18"/>
          <w:szCs w:val="18"/>
          <w:lang w:val="hr-BA"/>
        </w:rPr>
        <w:t>april</w:t>
      </w:r>
      <w:r w:rsidR="009C5011" w:rsidRPr="0065398C">
        <w:rPr>
          <w:noProof/>
          <w:sz w:val="18"/>
          <w:szCs w:val="18"/>
          <w:lang w:val="hr-BA"/>
        </w:rPr>
        <w:t xml:space="preserve"> 2014</w:t>
      </w:r>
    </w:p>
    <w:p w:rsidR="00CD707C" w:rsidRPr="00715429" w:rsidRDefault="00CD707C" w:rsidP="00784DAE">
      <w:pPr>
        <w:spacing w:after="0" w:line="240" w:lineRule="auto"/>
        <w:ind w:firstLine="142"/>
        <w:jc w:val="center"/>
        <w:rPr>
          <w:i/>
          <w:iCs/>
          <w:noProof/>
          <w:sz w:val="12"/>
          <w:szCs w:val="12"/>
          <w:lang w:val="hr-BA"/>
        </w:rPr>
      </w:pPr>
    </w:p>
    <w:p w:rsidR="00332574" w:rsidRDefault="00332574" w:rsidP="00332574">
      <w:pPr>
        <w:outlineLvl w:val="0"/>
        <w:rPr>
          <w:b/>
          <w:i/>
          <w:noProof/>
          <w:sz w:val="18"/>
          <w:szCs w:val="18"/>
          <w:lang w:val="hr-BA"/>
        </w:rPr>
      </w:pPr>
      <w:r w:rsidRPr="0065398C">
        <w:rPr>
          <w:b/>
          <w:i/>
          <w:noProof/>
          <w:sz w:val="18"/>
          <w:szCs w:val="18"/>
          <w:lang w:val="hr-BA"/>
        </w:rPr>
        <w:t>Izvor: Ministarstvo finansija Crne Gore</w:t>
      </w:r>
    </w:p>
    <w:tbl>
      <w:tblPr>
        <w:tblW w:w="5000" w:type="pct"/>
        <w:tblLook w:val="04A0"/>
      </w:tblPr>
      <w:tblGrid>
        <w:gridCol w:w="2146"/>
        <w:gridCol w:w="610"/>
        <w:gridCol w:w="610"/>
        <w:gridCol w:w="609"/>
        <w:gridCol w:w="612"/>
        <w:gridCol w:w="609"/>
        <w:gridCol w:w="609"/>
        <w:gridCol w:w="612"/>
        <w:gridCol w:w="681"/>
        <w:gridCol w:w="681"/>
        <w:gridCol w:w="681"/>
        <w:gridCol w:w="681"/>
        <w:gridCol w:w="681"/>
        <w:gridCol w:w="681"/>
        <w:gridCol w:w="681"/>
        <w:gridCol w:w="684"/>
        <w:gridCol w:w="681"/>
        <w:gridCol w:w="662"/>
        <w:gridCol w:w="976"/>
        <w:gridCol w:w="1127"/>
        <w:gridCol w:w="1061"/>
      </w:tblGrid>
      <w:tr w:rsidR="00B12C9A" w:rsidRPr="004D1DD2" w:rsidTr="00B12C9A">
        <w:trPr>
          <w:trHeight w:val="435"/>
        </w:trPr>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C9A" w:rsidRPr="004D1DD2" w:rsidRDefault="00B12C9A" w:rsidP="00B12C9A">
            <w:pPr>
              <w:spacing w:after="0" w:line="240" w:lineRule="auto"/>
              <w:rPr>
                <w:rFonts w:cs="Calibri"/>
                <w:color w:val="000000"/>
                <w:sz w:val="14"/>
                <w:szCs w:val="14"/>
              </w:rPr>
            </w:pPr>
            <w:r w:rsidRPr="004D1DD2">
              <w:rPr>
                <w:rFonts w:cs="Calibri"/>
                <w:color w:val="000000"/>
                <w:sz w:val="14"/>
                <w:szCs w:val="14"/>
              </w:rPr>
              <w:t> </w:t>
            </w:r>
          </w:p>
        </w:tc>
        <w:tc>
          <w:tcPr>
            <w:tcW w:w="2344" w:type="pct"/>
            <w:gridSpan w:val="12"/>
            <w:tcBorders>
              <w:top w:val="single" w:sz="4" w:space="0" w:color="auto"/>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2013</w:t>
            </w:r>
          </w:p>
        </w:tc>
        <w:tc>
          <w:tcPr>
            <w:tcW w:w="625" w:type="pct"/>
            <w:gridSpan w:val="3"/>
            <w:tcBorders>
              <w:top w:val="single" w:sz="4" w:space="0" w:color="auto"/>
              <w:left w:val="nil"/>
              <w:bottom w:val="single" w:sz="4" w:space="0" w:color="auto"/>
              <w:right w:val="single" w:sz="4" w:space="0" w:color="000000"/>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2014</w:t>
            </w:r>
          </w:p>
        </w:tc>
        <w:tc>
          <w:tcPr>
            <w:tcW w:w="208" w:type="pct"/>
            <w:tcBorders>
              <w:top w:val="single" w:sz="4" w:space="0" w:color="auto"/>
              <w:left w:val="nil"/>
              <w:bottom w:val="single" w:sz="4" w:space="0" w:color="auto"/>
              <w:right w:val="nil"/>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 </w:t>
            </w:r>
          </w:p>
        </w:tc>
        <w:tc>
          <w:tcPr>
            <w:tcW w:w="202" w:type="pct"/>
            <w:tcBorders>
              <w:top w:val="single" w:sz="4" w:space="0" w:color="auto"/>
              <w:left w:val="single" w:sz="4" w:space="0" w:color="auto"/>
              <w:bottom w:val="single" w:sz="4" w:space="0" w:color="auto"/>
              <w:right w:val="nil"/>
            </w:tcBorders>
            <w:shd w:val="clear" w:color="000000" w:fill="FFFFFF"/>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plan 2014</w:t>
            </w:r>
          </w:p>
        </w:tc>
        <w:tc>
          <w:tcPr>
            <w:tcW w:w="966" w:type="pct"/>
            <w:gridSpan w:val="3"/>
            <w:tcBorders>
              <w:top w:val="single" w:sz="4" w:space="0" w:color="auto"/>
              <w:left w:val="single" w:sz="4" w:space="0" w:color="auto"/>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Analitika-</w:t>
            </w:r>
            <w:r>
              <w:rPr>
                <w:rFonts w:cs="Calibri"/>
                <w:sz w:val="14"/>
                <w:szCs w:val="14"/>
              </w:rPr>
              <w:t>april</w:t>
            </w:r>
          </w:p>
        </w:tc>
      </w:tr>
      <w:tr w:rsidR="00B12C9A" w:rsidRPr="004D1DD2" w:rsidTr="00B12C9A">
        <w:trPr>
          <w:trHeight w:val="750"/>
        </w:trPr>
        <w:tc>
          <w:tcPr>
            <w:tcW w:w="655" w:type="pct"/>
            <w:tcBorders>
              <w:top w:val="nil"/>
              <w:left w:val="single" w:sz="4" w:space="0" w:color="auto"/>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b/>
                <w:bCs/>
                <w:i/>
                <w:iCs/>
                <w:sz w:val="14"/>
                <w:szCs w:val="14"/>
              </w:rPr>
            </w:pPr>
            <w:r w:rsidRPr="004D1DD2">
              <w:rPr>
                <w:rFonts w:cs="Calibri"/>
                <w:b/>
                <w:bCs/>
                <w:i/>
                <w:iCs/>
                <w:sz w:val="14"/>
                <w:szCs w:val="14"/>
              </w:rPr>
              <w:t>BUDŽET CRNE GORE</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I</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II</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III</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IV</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V</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VI</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VII</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VIII</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IX</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X</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XI</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XII</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I</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II</w:t>
            </w:r>
          </w:p>
        </w:tc>
        <w:tc>
          <w:tcPr>
            <w:tcW w:w="209"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III</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IV</w:t>
            </w:r>
          </w:p>
        </w:tc>
        <w:tc>
          <w:tcPr>
            <w:tcW w:w="202"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IV</w:t>
            </w:r>
          </w:p>
        </w:tc>
        <w:tc>
          <w:tcPr>
            <w:tcW w:w="298"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6"/>
                <w:szCs w:val="16"/>
              </w:rPr>
            </w:pPr>
            <w:r w:rsidRPr="004D1DD2">
              <w:rPr>
                <w:rFonts w:cs="Calibri"/>
                <w:sz w:val="16"/>
                <w:szCs w:val="16"/>
              </w:rPr>
              <w:t>apr 2014/apr 2013 (%)</w:t>
            </w:r>
          </w:p>
        </w:tc>
        <w:tc>
          <w:tcPr>
            <w:tcW w:w="344"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6"/>
                <w:szCs w:val="16"/>
              </w:rPr>
            </w:pPr>
            <w:r w:rsidRPr="004D1DD2">
              <w:rPr>
                <w:rFonts w:cs="Calibri"/>
                <w:sz w:val="16"/>
                <w:szCs w:val="16"/>
              </w:rPr>
              <w:t>jan-apr 2014/jan-apr 2013 (%)</w:t>
            </w:r>
          </w:p>
        </w:tc>
        <w:tc>
          <w:tcPr>
            <w:tcW w:w="324"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6"/>
                <w:szCs w:val="16"/>
              </w:rPr>
            </w:pPr>
            <w:r w:rsidRPr="004D1DD2">
              <w:rPr>
                <w:rFonts w:cs="Calibri"/>
                <w:sz w:val="16"/>
                <w:szCs w:val="16"/>
              </w:rPr>
              <w:t>apr 2014/apr 2014 plan (%)</w:t>
            </w:r>
          </w:p>
        </w:tc>
      </w:tr>
      <w:tr w:rsidR="00B12C9A" w:rsidRPr="004D1DD2" w:rsidTr="00B12C9A">
        <w:trPr>
          <w:trHeight w:val="330"/>
        </w:trPr>
        <w:tc>
          <w:tcPr>
            <w:tcW w:w="655" w:type="pct"/>
            <w:tcBorders>
              <w:top w:val="nil"/>
              <w:left w:val="single" w:sz="4" w:space="0" w:color="auto"/>
              <w:bottom w:val="single" w:sz="4" w:space="0" w:color="auto"/>
              <w:right w:val="single" w:sz="4" w:space="0" w:color="auto"/>
            </w:tcBorders>
            <w:shd w:val="clear" w:color="auto" w:fill="auto"/>
            <w:noWrap/>
            <w:vAlign w:val="bottom"/>
            <w:hideMark/>
          </w:tcPr>
          <w:p w:rsidR="00B12C9A" w:rsidRPr="004D1DD2" w:rsidRDefault="00B12C9A" w:rsidP="00B12C9A">
            <w:pPr>
              <w:spacing w:after="0" w:line="240" w:lineRule="auto"/>
              <w:rPr>
                <w:rFonts w:cs="Calibri"/>
                <w:b/>
                <w:bCs/>
                <w:sz w:val="14"/>
                <w:szCs w:val="14"/>
              </w:rPr>
            </w:pPr>
            <w:r w:rsidRPr="004D1DD2">
              <w:rPr>
                <w:rFonts w:cs="Calibri"/>
                <w:b/>
                <w:bCs/>
                <w:sz w:val="14"/>
                <w:szCs w:val="14"/>
              </w:rPr>
              <w:t>IZVORNI PRIHODI, od čega:</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54,92</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75,83</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88,91</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103,95</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94,00</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99,56</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122,02</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125,05</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116,34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117,28</w:t>
            </w:r>
          </w:p>
        </w:tc>
        <w:tc>
          <w:tcPr>
            <w:tcW w:w="208" w:type="pct"/>
            <w:tcBorders>
              <w:top w:val="nil"/>
              <w:left w:val="nil"/>
              <w:bottom w:val="nil"/>
              <w:right w:val="nil"/>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95,78</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142,43</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70,78</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82,11</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100,67</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108,68</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106,96</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4,55</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11,93</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1,61</w:t>
            </w:r>
          </w:p>
        </w:tc>
      </w:tr>
      <w:tr w:rsidR="00B12C9A" w:rsidRPr="004D1DD2" w:rsidTr="00B12C9A">
        <w:trPr>
          <w:trHeight w:val="330"/>
        </w:trPr>
        <w:tc>
          <w:tcPr>
            <w:tcW w:w="655" w:type="pct"/>
            <w:tcBorders>
              <w:top w:val="nil"/>
              <w:left w:val="single" w:sz="4" w:space="0" w:color="auto"/>
              <w:bottom w:val="single" w:sz="4" w:space="0" w:color="auto"/>
              <w:right w:val="single" w:sz="4" w:space="0" w:color="auto"/>
            </w:tcBorders>
            <w:shd w:val="clear" w:color="000000" w:fill="FFFFFF"/>
            <w:noWrap/>
            <w:vAlign w:val="bottom"/>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Porezi i doprinosi na  zarade</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14,21</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34,57</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35,60</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34,16</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36,35</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39,09</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40,63</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44,81</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47,38</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54,03</w:t>
            </w:r>
          </w:p>
        </w:tc>
        <w:tc>
          <w:tcPr>
            <w:tcW w:w="208" w:type="pct"/>
            <w:tcBorders>
              <w:top w:val="single" w:sz="4" w:space="0" w:color="auto"/>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37,52</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75,77</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21,23</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34,36</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37,91</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40,21</w:t>
            </w:r>
          </w:p>
        </w:tc>
        <w:tc>
          <w:tcPr>
            <w:tcW w:w="202"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34,17</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17,72</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12,80</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17,70</w:t>
            </w:r>
          </w:p>
        </w:tc>
      </w:tr>
      <w:tr w:rsidR="00B12C9A" w:rsidRPr="004D1DD2" w:rsidTr="00B12C9A">
        <w:trPr>
          <w:trHeight w:val="315"/>
        </w:trPr>
        <w:tc>
          <w:tcPr>
            <w:tcW w:w="655" w:type="pct"/>
            <w:tcBorders>
              <w:top w:val="nil"/>
              <w:left w:val="single" w:sz="4" w:space="0" w:color="auto"/>
              <w:bottom w:val="single" w:sz="4" w:space="0" w:color="auto"/>
              <w:right w:val="single" w:sz="4" w:space="0" w:color="auto"/>
            </w:tcBorders>
            <w:shd w:val="clear" w:color="000000" w:fill="FFFFFF"/>
            <w:noWrap/>
            <w:vAlign w:val="bottom"/>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Porez na dobit pravnih lica</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0,50</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1,06</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5,09</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14,80</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3,06</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3,64</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3,87</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2,84</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2,33</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1,29</w:t>
            </w:r>
          </w:p>
        </w:tc>
        <w:tc>
          <w:tcPr>
            <w:tcW w:w="208" w:type="pct"/>
            <w:tcBorders>
              <w:top w:val="nil"/>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1,13</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1,04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1,54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0,96</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12,11</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11,31</w:t>
            </w:r>
          </w:p>
        </w:tc>
        <w:tc>
          <w:tcPr>
            <w:tcW w:w="202"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16,17</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-23,59</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20,83</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-30,05</w:t>
            </w:r>
          </w:p>
        </w:tc>
      </w:tr>
      <w:tr w:rsidR="00B12C9A" w:rsidRPr="004D1DD2" w:rsidTr="00B12C9A">
        <w:trPr>
          <w:trHeight w:val="300"/>
        </w:trPr>
        <w:tc>
          <w:tcPr>
            <w:tcW w:w="655" w:type="pct"/>
            <w:tcBorders>
              <w:top w:val="nil"/>
              <w:left w:val="single" w:sz="4" w:space="0" w:color="auto"/>
              <w:bottom w:val="single" w:sz="4" w:space="0" w:color="auto"/>
              <w:right w:val="single" w:sz="4" w:space="0" w:color="auto"/>
            </w:tcBorders>
            <w:shd w:val="clear" w:color="auto" w:fill="auto"/>
            <w:noWrap/>
            <w:vAlign w:val="bottom"/>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Porez na dodatu vrijednost</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24,86</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24,75</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29,49</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33,76</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34,16</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35,87</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47,18</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47,07</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40,69</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37,65</w:t>
            </w:r>
          </w:p>
        </w:tc>
        <w:tc>
          <w:tcPr>
            <w:tcW w:w="208" w:type="pct"/>
            <w:tcBorders>
              <w:top w:val="nil"/>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33,51</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40,19</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32,17</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31,16</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34,92</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39,01</w:t>
            </w:r>
          </w:p>
        </w:tc>
        <w:tc>
          <w:tcPr>
            <w:tcW w:w="202"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35,81</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15,54</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21,62</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8,95</w:t>
            </w:r>
          </w:p>
        </w:tc>
      </w:tr>
      <w:tr w:rsidR="00B12C9A" w:rsidRPr="004D1DD2" w:rsidTr="00B12C9A">
        <w:trPr>
          <w:trHeight w:val="300"/>
        </w:trPr>
        <w:tc>
          <w:tcPr>
            <w:tcW w:w="655" w:type="pct"/>
            <w:tcBorders>
              <w:top w:val="nil"/>
              <w:left w:val="single" w:sz="4" w:space="0" w:color="auto"/>
              <w:bottom w:val="single" w:sz="4" w:space="0" w:color="auto"/>
              <w:right w:val="single" w:sz="4" w:space="0" w:color="auto"/>
            </w:tcBorders>
            <w:shd w:val="clear" w:color="auto" w:fill="auto"/>
            <w:noWrap/>
            <w:vAlign w:val="bottom"/>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Akcize</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9,26</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8,99</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10,36</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12,32</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12,03</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13,03</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16,43</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20,98</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17,25</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14,55</w:t>
            </w:r>
          </w:p>
        </w:tc>
        <w:tc>
          <w:tcPr>
            <w:tcW w:w="208" w:type="pct"/>
            <w:tcBorders>
              <w:top w:val="nil"/>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13,08</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13,19</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9,74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8,37</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9,53</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10,78</w:t>
            </w:r>
          </w:p>
        </w:tc>
        <w:tc>
          <w:tcPr>
            <w:tcW w:w="202"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11,72</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-12,46</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-6,11</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-7,98</w:t>
            </w:r>
          </w:p>
        </w:tc>
      </w:tr>
      <w:tr w:rsidR="00B12C9A" w:rsidRPr="004D1DD2" w:rsidTr="00B12C9A">
        <w:trPr>
          <w:trHeight w:val="315"/>
        </w:trPr>
        <w:tc>
          <w:tcPr>
            <w:tcW w:w="655" w:type="pct"/>
            <w:tcBorders>
              <w:top w:val="nil"/>
              <w:left w:val="single" w:sz="4" w:space="0" w:color="auto"/>
              <w:bottom w:val="single" w:sz="4" w:space="0" w:color="auto"/>
              <w:right w:val="single" w:sz="4" w:space="0" w:color="auto"/>
            </w:tcBorders>
            <w:shd w:val="clear" w:color="auto" w:fill="auto"/>
            <w:noWrap/>
            <w:vAlign w:val="bottom"/>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Porez na medj trgovinu i transak</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1,10</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1,31</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1,86</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2,09</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1,99</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2,00</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2,46</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2,21</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2,04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2,04</w:t>
            </w:r>
          </w:p>
        </w:tc>
        <w:tc>
          <w:tcPr>
            <w:tcW w:w="208" w:type="pct"/>
            <w:tcBorders>
              <w:top w:val="nil"/>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1,48</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1,69</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0,96</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1,30</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1,64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1,83</w:t>
            </w:r>
          </w:p>
        </w:tc>
        <w:tc>
          <w:tcPr>
            <w:tcW w:w="202"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2,23</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-12,51</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-10,09</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-17,91</w:t>
            </w:r>
          </w:p>
        </w:tc>
      </w:tr>
      <w:tr w:rsidR="00B12C9A" w:rsidRPr="004D1DD2" w:rsidTr="00B12C9A">
        <w:trPr>
          <w:trHeight w:val="330"/>
        </w:trPr>
        <w:tc>
          <w:tcPr>
            <w:tcW w:w="655" w:type="pct"/>
            <w:tcBorders>
              <w:top w:val="double" w:sz="6" w:space="0" w:color="auto"/>
              <w:left w:val="single" w:sz="4" w:space="0" w:color="auto"/>
              <w:bottom w:val="double" w:sz="6" w:space="0" w:color="auto"/>
              <w:right w:val="single" w:sz="4" w:space="0" w:color="auto"/>
            </w:tcBorders>
            <w:shd w:val="clear" w:color="auto" w:fill="auto"/>
            <w:noWrap/>
            <w:vAlign w:val="center"/>
            <w:hideMark/>
          </w:tcPr>
          <w:p w:rsidR="00B12C9A" w:rsidRPr="004D1DD2" w:rsidRDefault="00B12C9A" w:rsidP="00B12C9A">
            <w:pPr>
              <w:spacing w:after="0" w:line="240" w:lineRule="auto"/>
              <w:rPr>
                <w:rFonts w:cs="Calibri"/>
                <w:b/>
                <w:bCs/>
                <w:sz w:val="14"/>
                <w:szCs w:val="14"/>
              </w:rPr>
            </w:pPr>
            <w:r w:rsidRPr="004D1DD2">
              <w:rPr>
                <w:rFonts w:cs="Calibri"/>
                <w:b/>
                <w:bCs/>
                <w:sz w:val="14"/>
                <w:szCs w:val="14"/>
              </w:rPr>
              <w:t>IZDACI BUDŽETA, od čega :</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80,79</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94,64</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103,84</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119,84</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95,54</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100,17</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160,33</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141,28</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119,00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99,42</w:t>
            </w:r>
          </w:p>
        </w:tc>
        <w:tc>
          <w:tcPr>
            <w:tcW w:w="208" w:type="pct"/>
            <w:tcBorders>
              <w:top w:val="nil"/>
              <w:left w:val="nil"/>
              <w:bottom w:val="nil"/>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98,49</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150,13</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94,32</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88,93</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115,85</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122,27</w:t>
            </w:r>
          </w:p>
        </w:tc>
        <w:tc>
          <w:tcPr>
            <w:tcW w:w="202"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111,47</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2,03</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5,58</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9,69</w:t>
            </w:r>
          </w:p>
        </w:tc>
      </w:tr>
      <w:tr w:rsidR="00B12C9A" w:rsidRPr="004D1DD2" w:rsidTr="00B12C9A">
        <w:trPr>
          <w:trHeight w:val="390"/>
        </w:trPr>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Bruto zarade i doprinosi na teret posl</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30,97</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31,35</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30,53</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30,64</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31,06</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31,12</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30,26</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29,27</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30,77</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30,66</w:t>
            </w:r>
          </w:p>
        </w:tc>
        <w:tc>
          <w:tcPr>
            <w:tcW w:w="208" w:type="pct"/>
            <w:tcBorders>
              <w:top w:val="single" w:sz="4" w:space="0" w:color="auto"/>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30,67</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28,82</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31,75</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31,98</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28,94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33,39</w:t>
            </w:r>
          </w:p>
        </w:tc>
        <w:tc>
          <w:tcPr>
            <w:tcW w:w="202"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32,21</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8,98</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2,08</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3,68</w:t>
            </w:r>
          </w:p>
        </w:tc>
      </w:tr>
      <w:tr w:rsidR="00B12C9A" w:rsidRPr="004D1DD2" w:rsidTr="00B12C9A">
        <w:trPr>
          <w:trHeight w:val="333"/>
        </w:trPr>
        <w:tc>
          <w:tcPr>
            <w:tcW w:w="655" w:type="pct"/>
            <w:tcBorders>
              <w:top w:val="nil"/>
              <w:left w:val="single" w:sz="4" w:space="0" w:color="auto"/>
              <w:bottom w:val="single" w:sz="4" w:space="0" w:color="auto"/>
              <w:right w:val="single" w:sz="4" w:space="0" w:color="auto"/>
            </w:tcBorders>
            <w:shd w:val="clear" w:color="auto" w:fill="auto"/>
            <w:vAlign w:val="bottom"/>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Rashodi za materijal i usluge</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3,53</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6,33</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8,06</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7,47</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5,58</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6,09</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7,14</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6,44</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6,99</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8,39</w:t>
            </w:r>
          </w:p>
        </w:tc>
        <w:tc>
          <w:tcPr>
            <w:tcW w:w="208" w:type="pct"/>
            <w:tcBorders>
              <w:top w:val="nil"/>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6,48</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17,95</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3,84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5,14</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6,41</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5,24</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7,43</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-29,87</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-18,77</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-29,50</w:t>
            </w:r>
          </w:p>
        </w:tc>
      </w:tr>
      <w:tr w:rsidR="00B12C9A" w:rsidRPr="004D1DD2" w:rsidTr="00B12C9A">
        <w:trPr>
          <w:trHeight w:val="300"/>
        </w:trPr>
        <w:tc>
          <w:tcPr>
            <w:tcW w:w="655" w:type="pct"/>
            <w:tcBorders>
              <w:top w:val="nil"/>
              <w:left w:val="single" w:sz="4" w:space="0" w:color="auto"/>
              <w:bottom w:val="single" w:sz="4" w:space="0" w:color="auto"/>
              <w:right w:val="single" w:sz="4" w:space="0" w:color="auto"/>
            </w:tcBorders>
            <w:shd w:val="clear" w:color="auto" w:fill="auto"/>
            <w:vAlign w:val="bottom"/>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Kamate</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0,55</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1,76</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2,14</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24,83</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1,13</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3,79</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5,74</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2,10</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18,71</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0,80</w:t>
            </w:r>
          </w:p>
        </w:tc>
        <w:tc>
          <w:tcPr>
            <w:tcW w:w="208" w:type="pct"/>
            <w:tcBorders>
              <w:top w:val="nil"/>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0,75</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5,12</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2,31</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1,11</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4,62</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24,66</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6,11</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-0,66</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11,71</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303,67</w:t>
            </w:r>
          </w:p>
        </w:tc>
      </w:tr>
      <w:tr w:rsidR="00B12C9A" w:rsidRPr="004D1DD2" w:rsidTr="00B12C9A">
        <w:trPr>
          <w:trHeight w:val="300"/>
        </w:trPr>
        <w:tc>
          <w:tcPr>
            <w:tcW w:w="655" w:type="pct"/>
            <w:tcBorders>
              <w:top w:val="nil"/>
              <w:left w:val="single" w:sz="4" w:space="0" w:color="auto"/>
              <w:bottom w:val="single" w:sz="4" w:space="0" w:color="auto"/>
              <w:right w:val="single" w:sz="4" w:space="0" w:color="auto"/>
            </w:tcBorders>
            <w:shd w:val="clear" w:color="auto" w:fill="auto"/>
            <w:vAlign w:val="bottom"/>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Transferi za socijalnu zaštitu</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38,15</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42,30</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40,50</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40,45</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39,92</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39,87</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39,78</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39,18</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40,14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39,79</w:t>
            </w:r>
          </w:p>
        </w:tc>
        <w:tc>
          <w:tcPr>
            <w:tcW w:w="208" w:type="pct"/>
            <w:tcBorders>
              <w:top w:val="nil"/>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39,83</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43,05</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39,56</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41,43</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41,91</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40,42</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41,52</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-0,06</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1,19</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-2,64</w:t>
            </w:r>
          </w:p>
        </w:tc>
      </w:tr>
      <w:tr w:rsidR="00B12C9A" w:rsidRPr="004D1DD2" w:rsidTr="00B12C9A">
        <w:trPr>
          <w:trHeight w:val="360"/>
        </w:trPr>
        <w:tc>
          <w:tcPr>
            <w:tcW w:w="655" w:type="pct"/>
            <w:tcBorders>
              <w:top w:val="nil"/>
              <w:left w:val="single" w:sz="4" w:space="0" w:color="auto"/>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Transferi instit, pojed i NVO sektoru</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4,77</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7,18</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8,95</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5,88</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7,42</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7,06</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5,86</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9,04</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8,25</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7,30</w:t>
            </w:r>
          </w:p>
        </w:tc>
        <w:tc>
          <w:tcPr>
            <w:tcW w:w="208" w:type="pct"/>
            <w:tcBorders>
              <w:top w:val="nil"/>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4,75</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17,85</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4,73</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3,67</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11,94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8,80</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8,42</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49,57</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8,81</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4,53</w:t>
            </w:r>
          </w:p>
        </w:tc>
      </w:tr>
      <w:tr w:rsidR="00B12C9A" w:rsidRPr="004D1DD2" w:rsidTr="00B12C9A">
        <w:trPr>
          <w:trHeight w:val="315"/>
        </w:trPr>
        <w:tc>
          <w:tcPr>
            <w:tcW w:w="655" w:type="pct"/>
            <w:tcBorders>
              <w:top w:val="nil"/>
              <w:left w:val="single" w:sz="4" w:space="0" w:color="auto"/>
              <w:bottom w:val="single" w:sz="4" w:space="0" w:color="auto"/>
              <w:right w:val="single" w:sz="4" w:space="0" w:color="auto"/>
            </w:tcBorders>
            <w:shd w:val="clear" w:color="auto" w:fill="auto"/>
            <w:noWrap/>
            <w:vAlign w:val="bottom"/>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Kapitalni izdaci</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0,30</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2,12</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4,94</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4,90</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4,93</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5,21</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4,93</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5,50</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5,91</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6,63</w:t>
            </w:r>
          </w:p>
        </w:tc>
        <w:tc>
          <w:tcPr>
            <w:tcW w:w="208" w:type="pct"/>
            <w:tcBorders>
              <w:top w:val="nil"/>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6,49</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22,14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1,67</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1,07</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6,62</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3,51</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9,36</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-28,32</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5,10</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-62,48</w:t>
            </w:r>
          </w:p>
        </w:tc>
      </w:tr>
      <w:tr w:rsidR="00B12C9A" w:rsidRPr="004D1DD2" w:rsidTr="00B12C9A">
        <w:trPr>
          <w:trHeight w:val="330"/>
        </w:trPr>
        <w:tc>
          <w:tcPr>
            <w:tcW w:w="655" w:type="pct"/>
            <w:tcBorders>
              <w:top w:val="double" w:sz="6" w:space="0" w:color="auto"/>
              <w:left w:val="single" w:sz="4" w:space="0" w:color="auto"/>
              <w:bottom w:val="double" w:sz="6" w:space="0" w:color="auto"/>
              <w:right w:val="single" w:sz="4" w:space="0" w:color="auto"/>
            </w:tcBorders>
            <w:shd w:val="clear" w:color="auto" w:fill="auto"/>
            <w:noWrap/>
            <w:vAlign w:val="center"/>
            <w:hideMark/>
          </w:tcPr>
          <w:p w:rsidR="00B12C9A" w:rsidRPr="004D1DD2" w:rsidRDefault="00B12C9A" w:rsidP="00B12C9A">
            <w:pPr>
              <w:spacing w:after="0" w:line="240" w:lineRule="auto"/>
              <w:rPr>
                <w:rFonts w:cs="Calibri"/>
                <w:b/>
                <w:bCs/>
                <w:sz w:val="14"/>
                <w:szCs w:val="14"/>
              </w:rPr>
            </w:pPr>
            <w:r w:rsidRPr="004D1DD2">
              <w:rPr>
                <w:rFonts w:cs="Calibri"/>
                <w:b/>
                <w:bCs/>
                <w:sz w:val="14"/>
                <w:szCs w:val="14"/>
              </w:rPr>
              <w:t>Suficit / Deficit budžeta</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-25,86</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-18,80</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-14,92</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-15,89</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-1,54</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-0,61</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-38,31</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-16,22</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-2,66</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17,86</w:t>
            </w:r>
          </w:p>
        </w:tc>
        <w:tc>
          <w:tcPr>
            <w:tcW w:w="208" w:type="pct"/>
            <w:tcBorders>
              <w:top w:val="nil"/>
              <w:left w:val="nil"/>
              <w:bottom w:val="nil"/>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-2,71</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-7,70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-23,54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-6,82</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-15,18</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-13,59</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b/>
                <w:bCs/>
                <w:sz w:val="14"/>
                <w:szCs w:val="14"/>
              </w:rPr>
            </w:pPr>
            <w:r w:rsidRPr="004D1DD2">
              <w:rPr>
                <w:rFonts w:cs="Calibri"/>
                <w:b/>
                <w:bCs/>
                <w:sz w:val="14"/>
                <w:szCs w:val="14"/>
              </w:rPr>
              <w:t>-4,51</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-14,48</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-21,65</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201,58</w:t>
            </w:r>
          </w:p>
        </w:tc>
      </w:tr>
      <w:tr w:rsidR="00B12C9A" w:rsidRPr="004D1DD2" w:rsidTr="00B12C9A">
        <w:trPr>
          <w:trHeight w:val="330"/>
        </w:trPr>
        <w:tc>
          <w:tcPr>
            <w:tcW w:w="655" w:type="pct"/>
            <w:tcBorders>
              <w:top w:val="single" w:sz="4" w:space="0" w:color="auto"/>
              <w:left w:val="single" w:sz="4" w:space="0" w:color="auto"/>
              <w:bottom w:val="nil"/>
              <w:right w:val="single" w:sz="4" w:space="0" w:color="auto"/>
            </w:tcBorders>
            <w:shd w:val="clear" w:color="auto" w:fill="auto"/>
            <w:vAlign w:val="bottom"/>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Primarni deficit</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-25,31</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-17,04</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-12,78</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8,94</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-0,42</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3,19</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-32,57</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-14,12</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16,06</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18,66</w:t>
            </w:r>
          </w:p>
        </w:tc>
        <w:tc>
          <w:tcPr>
            <w:tcW w:w="208" w:type="pct"/>
            <w:tcBorders>
              <w:top w:val="single" w:sz="4" w:space="0" w:color="auto"/>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-1,96</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-2,58</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-21,23</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-5,71</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-10,56</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11,07</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1,60</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23,91</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-42,80</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590,59</w:t>
            </w:r>
          </w:p>
        </w:tc>
      </w:tr>
      <w:tr w:rsidR="00B12C9A" w:rsidRPr="004D1DD2" w:rsidTr="00B12C9A">
        <w:trPr>
          <w:trHeight w:val="330"/>
        </w:trPr>
        <w:tc>
          <w:tcPr>
            <w:tcW w:w="655" w:type="pct"/>
            <w:tcBorders>
              <w:top w:val="single" w:sz="4" w:space="0" w:color="auto"/>
              <w:left w:val="single" w:sz="4" w:space="0" w:color="auto"/>
              <w:bottom w:val="double" w:sz="6" w:space="0" w:color="auto"/>
              <w:right w:val="single" w:sz="4" w:space="0" w:color="auto"/>
            </w:tcBorders>
            <w:shd w:val="clear" w:color="auto" w:fill="auto"/>
            <w:vAlign w:val="bottom"/>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Otplata dugova</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16,06</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7,38</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7,22</w:t>
            </w:r>
          </w:p>
        </w:tc>
        <w:tc>
          <w:tcPr>
            <w:tcW w:w="187"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7,89</w:t>
            </w:r>
          </w:p>
        </w:tc>
        <w:tc>
          <w:tcPr>
            <w:tcW w:w="186" w:type="pct"/>
            <w:tcBorders>
              <w:top w:val="nil"/>
              <w:left w:val="nil"/>
              <w:bottom w:val="single" w:sz="4" w:space="0" w:color="auto"/>
              <w:right w:val="single" w:sz="4" w:space="0" w:color="auto"/>
            </w:tcBorders>
            <w:shd w:val="clear" w:color="auto" w:fill="auto"/>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5,57</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18,47</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34,60</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16,98</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24,39</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14,01</w:t>
            </w:r>
          </w:p>
        </w:tc>
        <w:tc>
          <w:tcPr>
            <w:tcW w:w="208" w:type="pct"/>
            <w:tcBorders>
              <w:top w:val="nil"/>
              <w:left w:val="nil"/>
              <w:bottom w:val="single" w:sz="4" w:space="0" w:color="auto"/>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17,57</w:t>
            </w:r>
          </w:p>
        </w:tc>
        <w:tc>
          <w:tcPr>
            <w:tcW w:w="208" w:type="pct"/>
            <w:tcBorders>
              <w:top w:val="nil"/>
              <w:left w:val="single" w:sz="4" w:space="0" w:color="auto"/>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71,64</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6,53</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4,92</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9,83</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38,71</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14,29</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390,32</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55,63</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170,97</w:t>
            </w:r>
          </w:p>
        </w:tc>
      </w:tr>
      <w:tr w:rsidR="00B12C9A" w:rsidRPr="004D1DD2" w:rsidTr="00B12C9A">
        <w:trPr>
          <w:trHeight w:val="330"/>
        </w:trPr>
        <w:tc>
          <w:tcPr>
            <w:tcW w:w="655" w:type="pct"/>
            <w:tcBorders>
              <w:top w:val="nil"/>
              <w:left w:val="single" w:sz="4" w:space="0" w:color="auto"/>
              <w:bottom w:val="double" w:sz="6" w:space="0" w:color="auto"/>
              <w:right w:val="single" w:sz="4" w:space="0" w:color="auto"/>
            </w:tcBorders>
            <w:shd w:val="clear" w:color="auto" w:fill="auto"/>
            <w:noWrap/>
            <w:vAlign w:val="center"/>
            <w:hideMark/>
          </w:tcPr>
          <w:p w:rsidR="00B12C9A" w:rsidRPr="004D1DD2" w:rsidRDefault="00B12C9A" w:rsidP="00B12C9A">
            <w:pPr>
              <w:spacing w:after="0" w:line="240" w:lineRule="auto"/>
              <w:rPr>
                <w:rFonts w:cs="Calibri"/>
                <w:b/>
                <w:bCs/>
                <w:sz w:val="14"/>
                <w:szCs w:val="14"/>
              </w:rPr>
            </w:pPr>
            <w:r w:rsidRPr="004D1DD2">
              <w:rPr>
                <w:rFonts w:cs="Calibri"/>
                <w:b/>
                <w:bCs/>
                <w:sz w:val="14"/>
                <w:szCs w:val="14"/>
              </w:rPr>
              <w:t>Državni dug (stanje duga)</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1726,6</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1732,7</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1755,7</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1764,2</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1767,1</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1760,9</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1810,4</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1844,90</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1846,50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1832,00</w:t>
            </w:r>
          </w:p>
        </w:tc>
        <w:tc>
          <w:tcPr>
            <w:tcW w:w="208" w:type="pct"/>
            <w:tcBorders>
              <w:top w:val="nil"/>
              <w:left w:val="nil"/>
              <w:bottom w:val="nil"/>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1886,30</w:t>
            </w:r>
          </w:p>
        </w:tc>
        <w:tc>
          <w:tcPr>
            <w:tcW w:w="208" w:type="pct"/>
            <w:tcBorders>
              <w:top w:val="nil"/>
              <w:left w:val="single" w:sz="4" w:space="0" w:color="auto"/>
              <w:bottom w:val="nil"/>
              <w:right w:val="nil"/>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1873,15</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1950,10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1950,70</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2005,80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1990,30</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w:t>
            </w:r>
          </w:p>
        </w:tc>
      </w:tr>
      <w:tr w:rsidR="00B12C9A" w:rsidRPr="004D1DD2" w:rsidTr="00B12C9A">
        <w:trPr>
          <w:trHeight w:val="330"/>
        </w:trPr>
        <w:tc>
          <w:tcPr>
            <w:tcW w:w="655" w:type="pct"/>
            <w:tcBorders>
              <w:top w:val="nil"/>
              <w:left w:val="single" w:sz="4" w:space="0" w:color="auto"/>
              <w:bottom w:val="nil"/>
              <w:right w:val="single" w:sz="4" w:space="0" w:color="auto"/>
            </w:tcBorders>
            <w:shd w:val="clear" w:color="auto" w:fill="auto"/>
            <w:noWrap/>
            <w:vAlign w:val="center"/>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Domaći dug</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394,0</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396,7</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420,3</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431,7</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436,0</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442,7</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442,8</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433,80</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480,90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471,70</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440,40</w:t>
            </w:r>
          </w:p>
        </w:tc>
        <w:tc>
          <w:tcPr>
            <w:tcW w:w="208" w:type="pct"/>
            <w:tcBorders>
              <w:top w:val="single" w:sz="4" w:space="0" w:color="auto"/>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440,13</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517,60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513,40</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572,40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588,10</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i/>
                <w:iCs/>
                <w:color w:val="000000"/>
                <w:sz w:val="16"/>
                <w:szCs w:val="16"/>
              </w:rPr>
            </w:pPr>
            <w:r w:rsidRPr="004D1DD2">
              <w:rPr>
                <w:rFonts w:cs="Calibri"/>
                <w:i/>
                <w:iCs/>
                <w:color w:val="000000"/>
                <w:sz w:val="16"/>
                <w:szCs w:val="16"/>
              </w:rPr>
              <w:t>-</w:t>
            </w:r>
          </w:p>
        </w:tc>
      </w:tr>
      <w:tr w:rsidR="00B12C9A" w:rsidRPr="004D1DD2" w:rsidTr="00B12C9A">
        <w:trPr>
          <w:trHeight w:val="315"/>
        </w:trPr>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rPr>
                <w:rFonts w:cs="Calibri"/>
                <w:i/>
                <w:iCs/>
                <w:sz w:val="14"/>
                <w:szCs w:val="14"/>
              </w:rPr>
            </w:pPr>
            <w:r w:rsidRPr="004D1DD2">
              <w:rPr>
                <w:rFonts w:cs="Calibri"/>
                <w:i/>
                <w:iCs/>
                <w:sz w:val="14"/>
                <w:szCs w:val="14"/>
              </w:rPr>
              <w:t>Inostrani dug</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1332,6</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1336,0</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1335,4</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1332,5</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1331,1</w:t>
            </w:r>
          </w:p>
        </w:tc>
        <w:tc>
          <w:tcPr>
            <w:tcW w:w="186"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1318,2</w:t>
            </w:r>
          </w:p>
        </w:tc>
        <w:tc>
          <w:tcPr>
            <w:tcW w:w="187"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sz w:val="14"/>
                <w:szCs w:val="14"/>
              </w:rPr>
            </w:pPr>
            <w:r w:rsidRPr="004D1DD2">
              <w:rPr>
                <w:rFonts w:cs="Calibri"/>
                <w:sz w:val="14"/>
                <w:szCs w:val="14"/>
              </w:rPr>
              <w:t>1367,6</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1411,10</w:t>
            </w:r>
          </w:p>
        </w:tc>
        <w:tc>
          <w:tcPr>
            <w:tcW w:w="208" w:type="pct"/>
            <w:tcBorders>
              <w:top w:val="nil"/>
              <w:left w:val="nil"/>
              <w:bottom w:val="single" w:sz="4" w:space="0" w:color="auto"/>
              <w:right w:val="single" w:sz="4" w:space="0" w:color="auto"/>
            </w:tcBorders>
            <w:shd w:val="clear" w:color="auto" w:fill="auto"/>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1365,60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1360,30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1445,90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color w:val="000000"/>
                <w:sz w:val="14"/>
                <w:szCs w:val="14"/>
              </w:rPr>
            </w:pPr>
            <w:r w:rsidRPr="004D1DD2">
              <w:rPr>
                <w:rFonts w:cs="Calibri"/>
                <w:color w:val="000000"/>
                <w:sz w:val="14"/>
                <w:szCs w:val="14"/>
              </w:rPr>
              <w:t>1433,02</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B12C9A">
            <w:pPr>
              <w:spacing w:after="0" w:line="240" w:lineRule="auto"/>
              <w:jc w:val="center"/>
              <w:rPr>
                <w:rFonts w:cs="Calibri"/>
                <w:b/>
                <w:bCs/>
                <w:color w:val="000000"/>
                <w:sz w:val="14"/>
                <w:szCs w:val="14"/>
              </w:rPr>
            </w:pPr>
            <w:r w:rsidRPr="004D1DD2">
              <w:rPr>
                <w:rFonts w:cs="Calibri"/>
                <w:b/>
                <w:bCs/>
                <w:color w:val="000000"/>
                <w:sz w:val="14"/>
                <w:szCs w:val="14"/>
              </w:rPr>
              <w:t>1432,50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3C7061">
            <w:pPr>
              <w:spacing w:after="0" w:line="240" w:lineRule="auto"/>
              <w:jc w:val="center"/>
              <w:rPr>
                <w:rFonts w:cs="Calibri"/>
                <w:b/>
                <w:bCs/>
                <w:color w:val="000000"/>
                <w:sz w:val="14"/>
                <w:szCs w:val="14"/>
              </w:rPr>
            </w:pPr>
            <w:r w:rsidRPr="004D1DD2">
              <w:rPr>
                <w:rFonts w:cs="Calibri"/>
                <w:b/>
                <w:bCs/>
                <w:color w:val="000000"/>
                <w:sz w:val="14"/>
                <w:szCs w:val="14"/>
              </w:rPr>
              <w:t>1437,30</w:t>
            </w:r>
          </w:p>
        </w:tc>
        <w:tc>
          <w:tcPr>
            <w:tcW w:w="209"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3C7061">
            <w:pPr>
              <w:spacing w:after="0" w:line="240" w:lineRule="auto"/>
              <w:jc w:val="center"/>
              <w:rPr>
                <w:rFonts w:cs="Calibri"/>
                <w:b/>
                <w:bCs/>
                <w:color w:val="000000"/>
                <w:sz w:val="14"/>
                <w:szCs w:val="14"/>
              </w:rPr>
            </w:pPr>
            <w:r w:rsidRPr="004D1DD2">
              <w:rPr>
                <w:rFonts w:cs="Calibri"/>
                <w:b/>
                <w:bCs/>
                <w:color w:val="000000"/>
                <w:sz w:val="14"/>
                <w:szCs w:val="14"/>
              </w:rPr>
              <w:t>1433,40</w:t>
            </w:r>
          </w:p>
        </w:tc>
        <w:tc>
          <w:tcPr>
            <w:tcW w:w="20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3C7061">
            <w:pPr>
              <w:spacing w:after="0" w:line="240" w:lineRule="auto"/>
              <w:jc w:val="center"/>
              <w:rPr>
                <w:rFonts w:cs="Calibri"/>
                <w:b/>
                <w:bCs/>
                <w:color w:val="000000"/>
                <w:sz w:val="14"/>
                <w:szCs w:val="14"/>
              </w:rPr>
            </w:pPr>
            <w:r w:rsidRPr="004D1DD2">
              <w:rPr>
                <w:rFonts w:cs="Calibri"/>
                <w:b/>
                <w:bCs/>
                <w:color w:val="000000"/>
                <w:sz w:val="14"/>
                <w:szCs w:val="14"/>
              </w:rPr>
              <w:t>1402,20</w:t>
            </w:r>
          </w:p>
        </w:tc>
        <w:tc>
          <w:tcPr>
            <w:tcW w:w="202" w:type="pct"/>
            <w:tcBorders>
              <w:top w:val="nil"/>
              <w:left w:val="nil"/>
              <w:bottom w:val="single" w:sz="4" w:space="0" w:color="auto"/>
              <w:right w:val="single" w:sz="4" w:space="0" w:color="auto"/>
            </w:tcBorders>
            <w:shd w:val="clear" w:color="000000" w:fill="FFFFFF"/>
            <w:vAlign w:val="center"/>
            <w:hideMark/>
          </w:tcPr>
          <w:p w:rsidR="00B12C9A" w:rsidRPr="004D1DD2" w:rsidRDefault="00B12C9A" w:rsidP="003C7061">
            <w:pPr>
              <w:spacing w:after="0" w:line="240" w:lineRule="auto"/>
              <w:jc w:val="center"/>
              <w:rPr>
                <w:rFonts w:cs="Calibri"/>
                <w:sz w:val="14"/>
                <w:szCs w:val="14"/>
              </w:rPr>
            </w:pPr>
            <w:r w:rsidRPr="004D1DD2">
              <w:rPr>
                <w:rFonts w:cs="Calibri"/>
                <w:sz w:val="14"/>
                <w:szCs w:val="14"/>
              </w:rPr>
              <w:t>-</w:t>
            </w:r>
          </w:p>
        </w:tc>
        <w:tc>
          <w:tcPr>
            <w:tcW w:w="298"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3C7061">
            <w:pPr>
              <w:spacing w:after="0" w:line="240" w:lineRule="auto"/>
              <w:jc w:val="center"/>
              <w:rPr>
                <w:rFonts w:cs="Calibri"/>
                <w:i/>
                <w:iCs/>
                <w:color w:val="000000"/>
                <w:sz w:val="16"/>
                <w:szCs w:val="16"/>
              </w:rPr>
            </w:pPr>
            <w:r w:rsidRPr="004D1DD2">
              <w:rPr>
                <w:rFonts w:cs="Calibri"/>
                <w:i/>
                <w:iCs/>
                <w:color w:val="000000"/>
                <w:sz w:val="16"/>
                <w:szCs w:val="16"/>
              </w:rPr>
              <w:t>-</w:t>
            </w:r>
          </w:p>
        </w:tc>
        <w:tc>
          <w:tcPr>
            <w:tcW w:w="34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3C7061">
            <w:pPr>
              <w:spacing w:after="0" w:line="240" w:lineRule="auto"/>
              <w:jc w:val="center"/>
              <w:rPr>
                <w:rFonts w:cs="Calibri"/>
                <w:i/>
                <w:iCs/>
                <w:color w:val="000000"/>
                <w:sz w:val="16"/>
                <w:szCs w:val="16"/>
              </w:rPr>
            </w:pPr>
            <w:r w:rsidRPr="004D1DD2">
              <w:rPr>
                <w:rFonts w:cs="Calibri"/>
                <w:i/>
                <w:iCs/>
                <w:color w:val="000000"/>
                <w:sz w:val="16"/>
                <w:szCs w:val="16"/>
              </w:rPr>
              <w:t>-</w:t>
            </w:r>
          </w:p>
        </w:tc>
        <w:tc>
          <w:tcPr>
            <w:tcW w:w="324" w:type="pct"/>
            <w:tcBorders>
              <w:top w:val="nil"/>
              <w:left w:val="nil"/>
              <w:bottom w:val="single" w:sz="4" w:space="0" w:color="auto"/>
              <w:right w:val="single" w:sz="4" w:space="0" w:color="auto"/>
            </w:tcBorders>
            <w:shd w:val="clear" w:color="000000" w:fill="FFFFFF"/>
            <w:noWrap/>
            <w:vAlign w:val="center"/>
            <w:hideMark/>
          </w:tcPr>
          <w:p w:rsidR="00B12C9A" w:rsidRPr="004D1DD2" w:rsidRDefault="00B12C9A" w:rsidP="003C7061">
            <w:pPr>
              <w:spacing w:after="0" w:line="240" w:lineRule="auto"/>
              <w:jc w:val="center"/>
              <w:rPr>
                <w:rFonts w:cs="Calibri"/>
                <w:i/>
                <w:iCs/>
                <w:color w:val="000000"/>
                <w:sz w:val="16"/>
                <w:szCs w:val="16"/>
              </w:rPr>
            </w:pPr>
            <w:r w:rsidRPr="004D1DD2">
              <w:rPr>
                <w:rFonts w:cs="Calibri"/>
                <w:i/>
                <w:iCs/>
                <w:color w:val="000000"/>
                <w:sz w:val="16"/>
                <w:szCs w:val="16"/>
              </w:rPr>
              <w:t>-</w:t>
            </w:r>
          </w:p>
        </w:tc>
      </w:tr>
    </w:tbl>
    <w:p w:rsidR="00B12C9A" w:rsidRPr="0065398C" w:rsidRDefault="00B12C9A" w:rsidP="00332574">
      <w:pPr>
        <w:outlineLvl w:val="0"/>
        <w:rPr>
          <w:b/>
          <w:i/>
          <w:noProof/>
          <w:sz w:val="18"/>
          <w:szCs w:val="18"/>
          <w:lang w:val="hr-BA"/>
        </w:rPr>
      </w:pPr>
    </w:p>
    <w:p w:rsidR="00A30E95" w:rsidRPr="00715429" w:rsidRDefault="00A30E95" w:rsidP="00332574">
      <w:pPr>
        <w:outlineLvl w:val="0"/>
        <w:rPr>
          <w:b/>
          <w:i/>
          <w:noProof/>
          <w:sz w:val="16"/>
          <w:szCs w:val="16"/>
          <w:lang w:val="hr-BA"/>
        </w:rPr>
      </w:pPr>
    </w:p>
    <w:p w:rsidR="0082570B" w:rsidRPr="00715429" w:rsidRDefault="0082570B" w:rsidP="005025EC">
      <w:pPr>
        <w:ind w:left="-142"/>
        <w:jc w:val="both"/>
        <w:rPr>
          <w:noProof/>
          <w:sz w:val="14"/>
          <w:szCs w:val="14"/>
          <w:lang w:val="hr-BA"/>
        </w:rPr>
      </w:pPr>
    </w:p>
    <w:sectPr w:rsidR="0082570B" w:rsidRPr="00715429" w:rsidSect="005025EC">
      <w:pgSz w:w="16839" w:h="11907" w:orient="landscape" w:code="9"/>
      <w:pgMar w:top="284" w:right="254" w:bottom="284" w:left="42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F88" w:rsidRDefault="00C00F88" w:rsidP="00965FCD">
      <w:pPr>
        <w:spacing w:after="0" w:line="240" w:lineRule="auto"/>
      </w:pPr>
      <w:r>
        <w:separator/>
      </w:r>
    </w:p>
  </w:endnote>
  <w:endnote w:type="continuationSeparator" w:id="1">
    <w:p w:rsidR="00C00F88" w:rsidRDefault="00C00F88" w:rsidP="00965F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ItalicMT">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F88" w:rsidRDefault="00C00F88" w:rsidP="00965FCD">
      <w:pPr>
        <w:spacing w:after="0" w:line="240" w:lineRule="auto"/>
      </w:pPr>
      <w:r>
        <w:separator/>
      </w:r>
    </w:p>
  </w:footnote>
  <w:footnote w:type="continuationSeparator" w:id="1">
    <w:p w:rsidR="00C00F88" w:rsidRDefault="00C00F88" w:rsidP="00965F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2C1A"/>
    <w:multiLevelType w:val="hybridMultilevel"/>
    <w:tmpl w:val="30AA2F46"/>
    <w:lvl w:ilvl="0" w:tplc="081A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61E68C3"/>
    <w:multiLevelType w:val="hybridMultilevel"/>
    <w:tmpl w:val="7D5235A4"/>
    <w:lvl w:ilvl="0" w:tplc="081A0001">
      <w:start w:val="1"/>
      <w:numFmt w:val="bullet"/>
      <w:lvlText w:val=""/>
      <w:lvlJc w:val="left"/>
      <w:pPr>
        <w:ind w:left="1582" w:hanging="360"/>
      </w:pPr>
      <w:rPr>
        <w:rFonts w:ascii="Symbol" w:hAnsi="Symbol" w:hint="default"/>
      </w:rPr>
    </w:lvl>
    <w:lvl w:ilvl="1" w:tplc="081A0003" w:tentative="1">
      <w:start w:val="1"/>
      <w:numFmt w:val="bullet"/>
      <w:lvlText w:val="o"/>
      <w:lvlJc w:val="left"/>
      <w:pPr>
        <w:ind w:left="2302" w:hanging="360"/>
      </w:pPr>
      <w:rPr>
        <w:rFonts w:ascii="Courier New" w:hAnsi="Courier New" w:cs="Courier New" w:hint="default"/>
      </w:rPr>
    </w:lvl>
    <w:lvl w:ilvl="2" w:tplc="081A0005" w:tentative="1">
      <w:start w:val="1"/>
      <w:numFmt w:val="bullet"/>
      <w:lvlText w:val=""/>
      <w:lvlJc w:val="left"/>
      <w:pPr>
        <w:ind w:left="3022" w:hanging="360"/>
      </w:pPr>
      <w:rPr>
        <w:rFonts w:ascii="Wingdings" w:hAnsi="Wingdings" w:hint="default"/>
      </w:rPr>
    </w:lvl>
    <w:lvl w:ilvl="3" w:tplc="081A0001" w:tentative="1">
      <w:start w:val="1"/>
      <w:numFmt w:val="bullet"/>
      <w:lvlText w:val=""/>
      <w:lvlJc w:val="left"/>
      <w:pPr>
        <w:ind w:left="3742" w:hanging="360"/>
      </w:pPr>
      <w:rPr>
        <w:rFonts w:ascii="Symbol" w:hAnsi="Symbol" w:hint="default"/>
      </w:rPr>
    </w:lvl>
    <w:lvl w:ilvl="4" w:tplc="081A0003" w:tentative="1">
      <w:start w:val="1"/>
      <w:numFmt w:val="bullet"/>
      <w:lvlText w:val="o"/>
      <w:lvlJc w:val="left"/>
      <w:pPr>
        <w:ind w:left="4462" w:hanging="360"/>
      </w:pPr>
      <w:rPr>
        <w:rFonts w:ascii="Courier New" w:hAnsi="Courier New" w:cs="Courier New" w:hint="default"/>
      </w:rPr>
    </w:lvl>
    <w:lvl w:ilvl="5" w:tplc="081A0005" w:tentative="1">
      <w:start w:val="1"/>
      <w:numFmt w:val="bullet"/>
      <w:lvlText w:val=""/>
      <w:lvlJc w:val="left"/>
      <w:pPr>
        <w:ind w:left="5182" w:hanging="360"/>
      </w:pPr>
      <w:rPr>
        <w:rFonts w:ascii="Wingdings" w:hAnsi="Wingdings" w:hint="default"/>
      </w:rPr>
    </w:lvl>
    <w:lvl w:ilvl="6" w:tplc="081A0001" w:tentative="1">
      <w:start w:val="1"/>
      <w:numFmt w:val="bullet"/>
      <w:lvlText w:val=""/>
      <w:lvlJc w:val="left"/>
      <w:pPr>
        <w:ind w:left="5902" w:hanging="360"/>
      </w:pPr>
      <w:rPr>
        <w:rFonts w:ascii="Symbol" w:hAnsi="Symbol" w:hint="default"/>
      </w:rPr>
    </w:lvl>
    <w:lvl w:ilvl="7" w:tplc="081A0003" w:tentative="1">
      <w:start w:val="1"/>
      <w:numFmt w:val="bullet"/>
      <w:lvlText w:val="o"/>
      <w:lvlJc w:val="left"/>
      <w:pPr>
        <w:ind w:left="6622" w:hanging="360"/>
      </w:pPr>
      <w:rPr>
        <w:rFonts w:ascii="Courier New" w:hAnsi="Courier New" w:cs="Courier New" w:hint="default"/>
      </w:rPr>
    </w:lvl>
    <w:lvl w:ilvl="8" w:tplc="081A0005" w:tentative="1">
      <w:start w:val="1"/>
      <w:numFmt w:val="bullet"/>
      <w:lvlText w:val=""/>
      <w:lvlJc w:val="left"/>
      <w:pPr>
        <w:ind w:left="7342" w:hanging="360"/>
      </w:pPr>
      <w:rPr>
        <w:rFonts w:ascii="Wingdings" w:hAnsi="Wingdings" w:hint="default"/>
      </w:rPr>
    </w:lvl>
  </w:abstractNum>
  <w:abstractNum w:abstractNumId="2">
    <w:nsid w:val="07416C16"/>
    <w:multiLevelType w:val="hybridMultilevel"/>
    <w:tmpl w:val="A8881E4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089B535E"/>
    <w:multiLevelType w:val="hybridMultilevel"/>
    <w:tmpl w:val="23CE0FC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16B83CB2"/>
    <w:multiLevelType w:val="hybridMultilevel"/>
    <w:tmpl w:val="6DF487A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nsid w:val="1AD75D1E"/>
    <w:multiLevelType w:val="hybridMultilevel"/>
    <w:tmpl w:val="D1FE9B4C"/>
    <w:lvl w:ilvl="0" w:tplc="3CB0BAF2">
      <w:start w:val="1"/>
      <w:numFmt w:val="bullet"/>
      <w:lvlText w:val=""/>
      <w:lvlJc w:val="left"/>
      <w:pPr>
        <w:ind w:left="1440" w:hanging="360"/>
      </w:pPr>
      <w:rPr>
        <w:rFonts w:ascii="Symbol" w:hAnsi="Symbol" w:hint="default"/>
        <w:sz w:val="28"/>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6">
    <w:nsid w:val="1D15614F"/>
    <w:multiLevelType w:val="hybridMultilevel"/>
    <w:tmpl w:val="9BF2355E"/>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7">
    <w:nsid w:val="1DE6489D"/>
    <w:multiLevelType w:val="hybridMultilevel"/>
    <w:tmpl w:val="FE768EF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1E3D37D0"/>
    <w:multiLevelType w:val="hybridMultilevel"/>
    <w:tmpl w:val="D4C08A40"/>
    <w:lvl w:ilvl="0" w:tplc="081A0001">
      <w:start w:val="1"/>
      <w:numFmt w:val="bullet"/>
      <w:lvlText w:val=""/>
      <w:lvlJc w:val="left"/>
      <w:pPr>
        <w:ind w:left="1800" w:hanging="360"/>
      </w:pPr>
      <w:rPr>
        <w:rFonts w:ascii="Symbol" w:hAnsi="Symbol" w:hint="default"/>
        <w:sz w:val="28"/>
      </w:rPr>
    </w:lvl>
    <w:lvl w:ilvl="1" w:tplc="081A0019" w:tentative="1">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abstractNum w:abstractNumId="9">
    <w:nsid w:val="203C509B"/>
    <w:multiLevelType w:val="hybridMultilevel"/>
    <w:tmpl w:val="C694C4E4"/>
    <w:lvl w:ilvl="0" w:tplc="103E7AA0">
      <w:numFmt w:val="bullet"/>
      <w:lvlText w:val="*"/>
      <w:lvlJc w:val="left"/>
      <w:pPr>
        <w:ind w:left="502" w:hanging="360"/>
      </w:pPr>
      <w:rPr>
        <w:rFonts w:ascii="Calibri" w:eastAsia="Times New Roman" w:hAnsi="Calibri" w:cs="Calibri" w:hint="default"/>
      </w:rPr>
    </w:lvl>
    <w:lvl w:ilvl="1" w:tplc="081A0003" w:tentative="1">
      <w:start w:val="1"/>
      <w:numFmt w:val="bullet"/>
      <w:lvlText w:val="o"/>
      <w:lvlJc w:val="left"/>
      <w:pPr>
        <w:ind w:left="1222" w:hanging="360"/>
      </w:pPr>
      <w:rPr>
        <w:rFonts w:ascii="Courier New" w:hAnsi="Courier New" w:cs="Courier New" w:hint="default"/>
      </w:rPr>
    </w:lvl>
    <w:lvl w:ilvl="2" w:tplc="081A0005" w:tentative="1">
      <w:start w:val="1"/>
      <w:numFmt w:val="bullet"/>
      <w:lvlText w:val=""/>
      <w:lvlJc w:val="left"/>
      <w:pPr>
        <w:ind w:left="1942" w:hanging="360"/>
      </w:pPr>
      <w:rPr>
        <w:rFonts w:ascii="Wingdings" w:hAnsi="Wingdings" w:hint="default"/>
      </w:rPr>
    </w:lvl>
    <w:lvl w:ilvl="3" w:tplc="081A0001" w:tentative="1">
      <w:start w:val="1"/>
      <w:numFmt w:val="bullet"/>
      <w:lvlText w:val=""/>
      <w:lvlJc w:val="left"/>
      <w:pPr>
        <w:ind w:left="2662" w:hanging="360"/>
      </w:pPr>
      <w:rPr>
        <w:rFonts w:ascii="Symbol" w:hAnsi="Symbol" w:hint="default"/>
      </w:rPr>
    </w:lvl>
    <w:lvl w:ilvl="4" w:tplc="081A0003" w:tentative="1">
      <w:start w:val="1"/>
      <w:numFmt w:val="bullet"/>
      <w:lvlText w:val="o"/>
      <w:lvlJc w:val="left"/>
      <w:pPr>
        <w:ind w:left="3382" w:hanging="360"/>
      </w:pPr>
      <w:rPr>
        <w:rFonts w:ascii="Courier New" w:hAnsi="Courier New" w:cs="Courier New" w:hint="default"/>
      </w:rPr>
    </w:lvl>
    <w:lvl w:ilvl="5" w:tplc="081A0005" w:tentative="1">
      <w:start w:val="1"/>
      <w:numFmt w:val="bullet"/>
      <w:lvlText w:val=""/>
      <w:lvlJc w:val="left"/>
      <w:pPr>
        <w:ind w:left="4102" w:hanging="360"/>
      </w:pPr>
      <w:rPr>
        <w:rFonts w:ascii="Wingdings" w:hAnsi="Wingdings" w:hint="default"/>
      </w:rPr>
    </w:lvl>
    <w:lvl w:ilvl="6" w:tplc="081A0001" w:tentative="1">
      <w:start w:val="1"/>
      <w:numFmt w:val="bullet"/>
      <w:lvlText w:val=""/>
      <w:lvlJc w:val="left"/>
      <w:pPr>
        <w:ind w:left="4822" w:hanging="360"/>
      </w:pPr>
      <w:rPr>
        <w:rFonts w:ascii="Symbol" w:hAnsi="Symbol" w:hint="default"/>
      </w:rPr>
    </w:lvl>
    <w:lvl w:ilvl="7" w:tplc="081A0003" w:tentative="1">
      <w:start w:val="1"/>
      <w:numFmt w:val="bullet"/>
      <w:lvlText w:val="o"/>
      <w:lvlJc w:val="left"/>
      <w:pPr>
        <w:ind w:left="5542" w:hanging="360"/>
      </w:pPr>
      <w:rPr>
        <w:rFonts w:ascii="Courier New" w:hAnsi="Courier New" w:cs="Courier New" w:hint="default"/>
      </w:rPr>
    </w:lvl>
    <w:lvl w:ilvl="8" w:tplc="081A0005" w:tentative="1">
      <w:start w:val="1"/>
      <w:numFmt w:val="bullet"/>
      <w:lvlText w:val=""/>
      <w:lvlJc w:val="left"/>
      <w:pPr>
        <w:ind w:left="6262" w:hanging="360"/>
      </w:pPr>
      <w:rPr>
        <w:rFonts w:ascii="Wingdings" w:hAnsi="Wingdings" w:hint="default"/>
      </w:rPr>
    </w:lvl>
  </w:abstractNum>
  <w:abstractNum w:abstractNumId="10">
    <w:nsid w:val="21B54940"/>
    <w:multiLevelType w:val="hybridMultilevel"/>
    <w:tmpl w:val="E408973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1">
    <w:nsid w:val="39535C14"/>
    <w:multiLevelType w:val="hybridMultilevel"/>
    <w:tmpl w:val="8EEEE808"/>
    <w:lvl w:ilvl="0" w:tplc="5F662FB4">
      <w:start w:val="5"/>
      <w:numFmt w:val="decimal"/>
      <w:lvlText w:val="%1."/>
      <w:lvlJc w:val="left"/>
      <w:pPr>
        <w:ind w:left="360" w:hanging="360"/>
      </w:pPr>
      <w:rPr>
        <w:rFonts w:cs="Times New Roman"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B03CE7"/>
    <w:multiLevelType w:val="hybridMultilevel"/>
    <w:tmpl w:val="9FECAB34"/>
    <w:lvl w:ilvl="0" w:tplc="7DA6C83E">
      <w:start w:val="1"/>
      <w:numFmt w:val="bullet"/>
      <w:lvlText w:val="o"/>
      <w:lvlJc w:val="left"/>
      <w:pPr>
        <w:ind w:left="1571" w:hanging="360"/>
      </w:pPr>
      <w:rPr>
        <w:rFonts w:ascii="Courier New" w:hAnsi="Courier New" w:hint="default"/>
        <w:sz w:val="20"/>
      </w:rPr>
    </w:lvl>
    <w:lvl w:ilvl="1" w:tplc="081A0003" w:tentative="1">
      <w:start w:val="1"/>
      <w:numFmt w:val="bullet"/>
      <w:lvlText w:val="o"/>
      <w:lvlJc w:val="left"/>
      <w:pPr>
        <w:ind w:left="2291" w:hanging="360"/>
      </w:pPr>
      <w:rPr>
        <w:rFonts w:ascii="Courier New" w:hAnsi="Courier New" w:cs="Courier New" w:hint="default"/>
      </w:rPr>
    </w:lvl>
    <w:lvl w:ilvl="2" w:tplc="081A0005" w:tentative="1">
      <w:start w:val="1"/>
      <w:numFmt w:val="bullet"/>
      <w:lvlText w:val=""/>
      <w:lvlJc w:val="left"/>
      <w:pPr>
        <w:ind w:left="3011" w:hanging="360"/>
      </w:pPr>
      <w:rPr>
        <w:rFonts w:ascii="Wingdings" w:hAnsi="Wingdings" w:hint="default"/>
      </w:rPr>
    </w:lvl>
    <w:lvl w:ilvl="3" w:tplc="081A0001" w:tentative="1">
      <w:start w:val="1"/>
      <w:numFmt w:val="bullet"/>
      <w:lvlText w:val=""/>
      <w:lvlJc w:val="left"/>
      <w:pPr>
        <w:ind w:left="3731" w:hanging="360"/>
      </w:pPr>
      <w:rPr>
        <w:rFonts w:ascii="Symbol" w:hAnsi="Symbol" w:hint="default"/>
      </w:rPr>
    </w:lvl>
    <w:lvl w:ilvl="4" w:tplc="081A0003" w:tentative="1">
      <w:start w:val="1"/>
      <w:numFmt w:val="bullet"/>
      <w:lvlText w:val="o"/>
      <w:lvlJc w:val="left"/>
      <w:pPr>
        <w:ind w:left="4451" w:hanging="360"/>
      </w:pPr>
      <w:rPr>
        <w:rFonts w:ascii="Courier New" w:hAnsi="Courier New" w:cs="Courier New" w:hint="default"/>
      </w:rPr>
    </w:lvl>
    <w:lvl w:ilvl="5" w:tplc="081A0005" w:tentative="1">
      <w:start w:val="1"/>
      <w:numFmt w:val="bullet"/>
      <w:lvlText w:val=""/>
      <w:lvlJc w:val="left"/>
      <w:pPr>
        <w:ind w:left="5171" w:hanging="360"/>
      </w:pPr>
      <w:rPr>
        <w:rFonts w:ascii="Wingdings" w:hAnsi="Wingdings" w:hint="default"/>
      </w:rPr>
    </w:lvl>
    <w:lvl w:ilvl="6" w:tplc="081A0001" w:tentative="1">
      <w:start w:val="1"/>
      <w:numFmt w:val="bullet"/>
      <w:lvlText w:val=""/>
      <w:lvlJc w:val="left"/>
      <w:pPr>
        <w:ind w:left="5891" w:hanging="360"/>
      </w:pPr>
      <w:rPr>
        <w:rFonts w:ascii="Symbol" w:hAnsi="Symbol" w:hint="default"/>
      </w:rPr>
    </w:lvl>
    <w:lvl w:ilvl="7" w:tplc="081A0003" w:tentative="1">
      <w:start w:val="1"/>
      <w:numFmt w:val="bullet"/>
      <w:lvlText w:val="o"/>
      <w:lvlJc w:val="left"/>
      <w:pPr>
        <w:ind w:left="6611" w:hanging="360"/>
      </w:pPr>
      <w:rPr>
        <w:rFonts w:ascii="Courier New" w:hAnsi="Courier New" w:cs="Courier New" w:hint="default"/>
      </w:rPr>
    </w:lvl>
    <w:lvl w:ilvl="8" w:tplc="081A0005" w:tentative="1">
      <w:start w:val="1"/>
      <w:numFmt w:val="bullet"/>
      <w:lvlText w:val=""/>
      <w:lvlJc w:val="left"/>
      <w:pPr>
        <w:ind w:left="7331" w:hanging="360"/>
      </w:pPr>
      <w:rPr>
        <w:rFonts w:ascii="Wingdings" w:hAnsi="Wingdings" w:hint="default"/>
      </w:rPr>
    </w:lvl>
  </w:abstractNum>
  <w:abstractNum w:abstractNumId="13">
    <w:nsid w:val="47E02C45"/>
    <w:multiLevelType w:val="hybridMultilevel"/>
    <w:tmpl w:val="1324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B60745"/>
    <w:multiLevelType w:val="hybridMultilevel"/>
    <w:tmpl w:val="1E52891C"/>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5">
    <w:nsid w:val="5301141A"/>
    <w:multiLevelType w:val="hybridMultilevel"/>
    <w:tmpl w:val="D0A8692C"/>
    <w:lvl w:ilvl="0" w:tplc="081A0001">
      <w:start w:val="1"/>
      <w:numFmt w:val="bullet"/>
      <w:lvlText w:val=""/>
      <w:lvlJc w:val="left"/>
      <w:pPr>
        <w:ind w:left="1571" w:hanging="360"/>
      </w:pPr>
      <w:rPr>
        <w:rFonts w:ascii="Symbol" w:hAnsi="Symbol" w:hint="default"/>
      </w:rPr>
    </w:lvl>
    <w:lvl w:ilvl="1" w:tplc="081A0003" w:tentative="1">
      <w:start w:val="1"/>
      <w:numFmt w:val="bullet"/>
      <w:lvlText w:val="o"/>
      <w:lvlJc w:val="left"/>
      <w:pPr>
        <w:ind w:left="2291" w:hanging="360"/>
      </w:pPr>
      <w:rPr>
        <w:rFonts w:ascii="Courier New" w:hAnsi="Courier New" w:cs="Courier New" w:hint="default"/>
      </w:rPr>
    </w:lvl>
    <w:lvl w:ilvl="2" w:tplc="081A0005" w:tentative="1">
      <w:start w:val="1"/>
      <w:numFmt w:val="bullet"/>
      <w:lvlText w:val=""/>
      <w:lvlJc w:val="left"/>
      <w:pPr>
        <w:ind w:left="3011" w:hanging="360"/>
      </w:pPr>
      <w:rPr>
        <w:rFonts w:ascii="Wingdings" w:hAnsi="Wingdings" w:hint="default"/>
      </w:rPr>
    </w:lvl>
    <w:lvl w:ilvl="3" w:tplc="081A0001" w:tentative="1">
      <w:start w:val="1"/>
      <w:numFmt w:val="bullet"/>
      <w:lvlText w:val=""/>
      <w:lvlJc w:val="left"/>
      <w:pPr>
        <w:ind w:left="3731" w:hanging="360"/>
      </w:pPr>
      <w:rPr>
        <w:rFonts w:ascii="Symbol" w:hAnsi="Symbol" w:hint="default"/>
      </w:rPr>
    </w:lvl>
    <w:lvl w:ilvl="4" w:tplc="081A0003" w:tentative="1">
      <w:start w:val="1"/>
      <w:numFmt w:val="bullet"/>
      <w:lvlText w:val="o"/>
      <w:lvlJc w:val="left"/>
      <w:pPr>
        <w:ind w:left="4451" w:hanging="360"/>
      </w:pPr>
      <w:rPr>
        <w:rFonts w:ascii="Courier New" w:hAnsi="Courier New" w:cs="Courier New" w:hint="default"/>
      </w:rPr>
    </w:lvl>
    <w:lvl w:ilvl="5" w:tplc="081A0005" w:tentative="1">
      <w:start w:val="1"/>
      <w:numFmt w:val="bullet"/>
      <w:lvlText w:val=""/>
      <w:lvlJc w:val="left"/>
      <w:pPr>
        <w:ind w:left="5171" w:hanging="360"/>
      </w:pPr>
      <w:rPr>
        <w:rFonts w:ascii="Wingdings" w:hAnsi="Wingdings" w:hint="default"/>
      </w:rPr>
    </w:lvl>
    <w:lvl w:ilvl="6" w:tplc="081A0001" w:tentative="1">
      <w:start w:val="1"/>
      <w:numFmt w:val="bullet"/>
      <w:lvlText w:val=""/>
      <w:lvlJc w:val="left"/>
      <w:pPr>
        <w:ind w:left="5891" w:hanging="360"/>
      </w:pPr>
      <w:rPr>
        <w:rFonts w:ascii="Symbol" w:hAnsi="Symbol" w:hint="default"/>
      </w:rPr>
    </w:lvl>
    <w:lvl w:ilvl="7" w:tplc="081A0003" w:tentative="1">
      <w:start w:val="1"/>
      <w:numFmt w:val="bullet"/>
      <w:lvlText w:val="o"/>
      <w:lvlJc w:val="left"/>
      <w:pPr>
        <w:ind w:left="6611" w:hanging="360"/>
      </w:pPr>
      <w:rPr>
        <w:rFonts w:ascii="Courier New" w:hAnsi="Courier New" w:cs="Courier New" w:hint="default"/>
      </w:rPr>
    </w:lvl>
    <w:lvl w:ilvl="8" w:tplc="081A0005" w:tentative="1">
      <w:start w:val="1"/>
      <w:numFmt w:val="bullet"/>
      <w:lvlText w:val=""/>
      <w:lvlJc w:val="left"/>
      <w:pPr>
        <w:ind w:left="7331" w:hanging="360"/>
      </w:pPr>
      <w:rPr>
        <w:rFonts w:ascii="Wingdings" w:hAnsi="Wingdings" w:hint="default"/>
      </w:rPr>
    </w:lvl>
  </w:abstractNum>
  <w:abstractNum w:abstractNumId="16">
    <w:nsid w:val="55BA0AB7"/>
    <w:multiLevelType w:val="hybridMultilevel"/>
    <w:tmpl w:val="75E8BCEE"/>
    <w:lvl w:ilvl="0" w:tplc="081A0001">
      <w:start w:val="1"/>
      <w:numFmt w:val="bullet"/>
      <w:lvlText w:val=""/>
      <w:lvlJc w:val="left"/>
      <w:pPr>
        <w:ind w:left="1571" w:hanging="360"/>
      </w:pPr>
      <w:rPr>
        <w:rFonts w:ascii="Symbol" w:hAnsi="Symbol" w:hint="default"/>
      </w:rPr>
    </w:lvl>
    <w:lvl w:ilvl="1" w:tplc="081A0003" w:tentative="1">
      <w:start w:val="1"/>
      <w:numFmt w:val="bullet"/>
      <w:lvlText w:val="o"/>
      <w:lvlJc w:val="left"/>
      <w:pPr>
        <w:ind w:left="2291" w:hanging="360"/>
      </w:pPr>
      <w:rPr>
        <w:rFonts w:ascii="Courier New" w:hAnsi="Courier New" w:cs="Courier New" w:hint="default"/>
      </w:rPr>
    </w:lvl>
    <w:lvl w:ilvl="2" w:tplc="081A0005" w:tentative="1">
      <w:start w:val="1"/>
      <w:numFmt w:val="bullet"/>
      <w:lvlText w:val=""/>
      <w:lvlJc w:val="left"/>
      <w:pPr>
        <w:ind w:left="3011" w:hanging="360"/>
      </w:pPr>
      <w:rPr>
        <w:rFonts w:ascii="Wingdings" w:hAnsi="Wingdings" w:hint="default"/>
      </w:rPr>
    </w:lvl>
    <w:lvl w:ilvl="3" w:tplc="081A0001" w:tentative="1">
      <w:start w:val="1"/>
      <w:numFmt w:val="bullet"/>
      <w:lvlText w:val=""/>
      <w:lvlJc w:val="left"/>
      <w:pPr>
        <w:ind w:left="3731" w:hanging="360"/>
      </w:pPr>
      <w:rPr>
        <w:rFonts w:ascii="Symbol" w:hAnsi="Symbol" w:hint="default"/>
      </w:rPr>
    </w:lvl>
    <w:lvl w:ilvl="4" w:tplc="081A0003" w:tentative="1">
      <w:start w:val="1"/>
      <w:numFmt w:val="bullet"/>
      <w:lvlText w:val="o"/>
      <w:lvlJc w:val="left"/>
      <w:pPr>
        <w:ind w:left="4451" w:hanging="360"/>
      </w:pPr>
      <w:rPr>
        <w:rFonts w:ascii="Courier New" w:hAnsi="Courier New" w:cs="Courier New" w:hint="default"/>
      </w:rPr>
    </w:lvl>
    <w:lvl w:ilvl="5" w:tplc="081A0005" w:tentative="1">
      <w:start w:val="1"/>
      <w:numFmt w:val="bullet"/>
      <w:lvlText w:val=""/>
      <w:lvlJc w:val="left"/>
      <w:pPr>
        <w:ind w:left="5171" w:hanging="360"/>
      </w:pPr>
      <w:rPr>
        <w:rFonts w:ascii="Wingdings" w:hAnsi="Wingdings" w:hint="default"/>
      </w:rPr>
    </w:lvl>
    <w:lvl w:ilvl="6" w:tplc="081A0001" w:tentative="1">
      <w:start w:val="1"/>
      <w:numFmt w:val="bullet"/>
      <w:lvlText w:val=""/>
      <w:lvlJc w:val="left"/>
      <w:pPr>
        <w:ind w:left="5891" w:hanging="360"/>
      </w:pPr>
      <w:rPr>
        <w:rFonts w:ascii="Symbol" w:hAnsi="Symbol" w:hint="default"/>
      </w:rPr>
    </w:lvl>
    <w:lvl w:ilvl="7" w:tplc="081A0003" w:tentative="1">
      <w:start w:val="1"/>
      <w:numFmt w:val="bullet"/>
      <w:lvlText w:val="o"/>
      <w:lvlJc w:val="left"/>
      <w:pPr>
        <w:ind w:left="6611" w:hanging="360"/>
      </w:pPr>
      <w:rPr>
        <w:rFonts w:ascii="Courier New" w:hAnsi="Courier New" w:cs="Courier New" w:hint="default"/>
      </w:rPr>
    </w:lvl>
    <w:lvl w:ilvl="8" w:tplc="081A0005" w:tentative="1">
      <w:start w:val="1"/>
      <w:numFmt w:val="bullet"/>
      <w:lvlText w:val=""/>
      <w:lvlJc w:val="left"/>
      <w:pPr>
        <w:ind w:left="7331" w:hanging="360"/>
      </w:pPr>
      <w:rPr>
        <w:rFonts w:ascii="Wingdings" w:hAnsi="Wingdings" w:hint="default"/>
      </w:rPr>
    </w:lvl>
  </w:abstractNum>
  <w:abstractNum w:abstractNumId="17">
    <w:nsid w:val="56A37EC6"/>
    <w:multiLevelType w:val="hybridMultilevel"/>
    <w:tmpl w:val="B78AAF86"/>
    <w:lvl w:ilvl="0" w:tplc="213C6408">
      <w:start w:val="1"/>
      <w:numFmt w:val="decimal"/>
      <w:lvlText w:val="%1."/>
      <w:lvlJc w:val="left"/>
      <w:pPr>
        <w:ind w:left="1800" w:hanging="360"/>
      </w:pPr>
      <w:rPr>
        <w:sz w:val="28"/>
      </w:rPr>
    </w:lvl>
    <w:lvl w:ilvl="1" w:tplc="081A0019" w:tentative="1">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abstractNum w:abstractNumId="18">
    <w:nsid w:val="58C121CD"/>
    <w:multiLevelType w:val="hybridMultilevel"/>
    <w:tmpl w:val="F1943F8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nsid w:val="5C1D2112"/>
    <w:multiLevelType w:val="hybridMultilevel"/>
    <w:tmpl w:val="B842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CC0A8D"/>
    <w:multiLevelType w:val="hybridMultilevel"/>
    <w:tmpl w:val="0A4EB86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nsid w:val="60097970"/>
    <w:multiLevelType w:val="hybridMultilevel"/>
    <w:tmpl w:val="31A4DA1E"/>
    <w:lvl w:ilvl="0" w:tplc="901E3456">
      <w:start w:val="1"/>
      <w:numFmt w:val="decimal"/>
      <w:lvlText w:val="%1."/>
      <w:lvlJc w:val="left"/>
      <w:pPr>
        <w:ind w:left="360" w:hanging="360"/>
      </w:pPr>
      <w:rPr>
        <w:rFonts w:cs="Times New Roman" w:hint="default"/>
        <w:b/>
        <w:sz w:val="20"/>
        <w:szCs w:val="2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61246544"/>
    <w:multiLevelType w:val="hybridMultilevel"/>
    <w:tmpl w:val="3D148D9E"/>
    <w:lvl w:ilvl="0" w:tplc="B564503E">
      <w:start w:val="6"/>
      <w:numFmt w:val="decimal"/>
      <w:lvlText w:val="%1."/>
      <w:lvlJc w:val="left"/>
      <w:pPr>
        <w:ind w:left="360" w:hanging="360"/>
      </w:pPr>
      <w:rPr>
        <w:rFonts w:cs="Times New Roman"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66417E"/>
    <w:multiLevelType w:val="hybridMultilevel"/>
    <w:tmpl w:val="62A2514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74215A22"/>
    <w:multiLevelType w:val="hybridMultilevel"/>
    <w:tmpl w:val="018EDD72"/>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7D7715E1"/>
    <w:multiLevelType w:val="hybridMultilevel"/>
    <w:tmpl w:val="0016A4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6"/>
  </w:num>
  <w:num w:numId="3">
    <w:abstractNumId w:val="25"/>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9"/>
  </w:num>
  <w:num w:numId="8">
    <w:abstractNumId w:val="3"/>
  </w:num>
  <w:num w:numId="9">
    <w:abstractNumId w:val="0"/>
  </w:num>
  <w:num w:numId="10">
    <w:abstractNumId w:val="24"/>
  </w:num>
  <w:num w:numId="11">
    <w:abstractNumId w:val="2"/>
  </w:num>
  <w:num w:numId="12">
    <w:abstractNumId w:val="23"/>
  </w:num>
  <w:num w:numId="13">
    <w:abstractNumId w:val="20"/>
  </w:num>
  <w:num w:numId="14">
    <w:abstractNumId w:val="7"/>
  </w:num>
  <w:num w:numId="15">
    <w:abstractNumId w:val="5"/>
  </w:num>
  <w:num w:numId="16">
    <w:abstractNumId w:val="14"/>
  </w:num>
  <w:num w:numId="17">
    <w:abstractNumId w:val="9"/>
  </w:num>
  <w:num w:numId="18">
    <w:abstractNumId w:val="17"/>
  </w:num>
  <w:num w:numId="19">
    <w:abstractNumId w:val="8"/>
  </w:num>
  <w:num w:numId="20">
    <w:abstractNumId w:val="15"/>
  </w:num>
  <w:num w:numId="21">
    <w:abstractNumId w:val="16"/>
  </w:num>
  <w:num w:numId="22">
    <w:abstractNumId w:val="12"/>
  </w:num>
  <w:num w:numId="23">
    <w:abstractNumId w:val="11"/>
  </w:num>
  <w:num w:numId="24">
    <w:abstractNumId w:val="22"/>
  </w:num>
  <w:num w:numId="25">
    <w:abstractNumId w:val="4"/>
  </w:num>
  <w:num w:numId="26">
    <w:abstractNumId w:val="10"/>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620546"/>
  </w:hdrShapeDefaults>
  <w:footnotePr>
    <w:footnote w:id="0"/>
    <w:footnote w:id="1"/>
  </w:footnotePr>
  <w:endnotePr>
    <w:endnote w:id="0"/>
    <w:endnote w:id="1"/>
  </w:endnotePr>
  <w:compat/>
  <w:rsids>
    <w:rsidRoot w:val="00D61692"/>
    <w:rsid w:val="000000CB"/>
    <w:rsid w:val="000009E1"/>
    <w:rsid w:val="000010A3"/>
    <w:rsid w:val="00001E2D"/>
    <w:rsid w:val="00003D78"/>
    <w:rsid w:val="00004B56"/>
    <w:rsid w:val="00005447"/>
    <w:rsid w:val="00005D5A"/>
    <w:rsid w:val="0001459D"/>
    <w:rsid w:val="000147A0"/>
    <w:rsid w:val="00014AAB"/>
    <w:rsid w:val="00014D0B"/>
    <w:rsid w:val="00014E6A"/>
    <w:rsid w:val="0001641E"/>
    <w:rsid w:val="0001692A"/>
    <w:rsid w:val="00017070"/>
    <w:rsid w:val="00017AE3"/>
    <w:rsid w:val="0002071C"/>
    <w:rsid w:val="00021033"/>
    <w:rsid w:val="000224B4"/>
    <w:rsid w:val="00022789"/>
    <w:rsid w:val="0002327A"/>
    <w:rsid w:val="00024DC9"/>
    <w:rsid w:val="0002564B"/>
    <w:rsid w:val="00025AC0"/>
    <w:rsid w:val="000263A4"/>
    <w:rsid w:val="0002735A"/>
    <w:rsid w:val="000300F0"/>
    <w:rsid w:val="000314E5"/>
    <w:rsid w:val="00031722"/>
    <w:rsid w:val="00031FAD"/>
    <w:rsid w:val="00032524"/>
    <w:rsid w:val="00032D34"/>
    <w:rsid w:val="000341DE"/>
    <w:rsid w:val="00034923"/>
    <w:rsid w:val="0003497A"/>
    <w:rsid w:val="00034D42"/>
    <w:rsid w:val="00034F07"/>
    <w:rsid w:val="0003544A"/>
    <w:rsid w:val="000369E1"/>
    <w:rsid w:val="00037B58"/>
    <w:rsid w:val="0004205C"/>
    <w:rsid w:val="000421A3"/>
    <w:rsid w:val="00042CE6"/>
    <w:rsid w:val="00043DED"/>
    <w:rsid w:val="000449CD"/>
    <w:rsid w:val="00044CB0"/>
    <w:rsid w:val="00045654"/>
    <w:rsid w:val="00045D59"/>
    <w:rsid w:val="00046C9E"/>
    <w:rsid w:val="00050EAB"/>
    <w:rsid w:val="00052732"/>
    <w:rsid w:val="00052DC4"/>
    <w:rsid w:val="00054068"/>
    <w:rsid w:val="000547A1"/>
    <w:rsid w:val="00055A64"/>
    <w:rsid w:val="00055E5C"/>
    <w:rsid w:val="00055F78"/>
    <w:rsid w:val="0005630C"/>
    <w:rsid w:val="00056750"/>
    <w:rsid w:val="00056E43"/>
    <w:rsid w:val="000572EC"/>
    <w:rsid w:val="0005797E"/>
    <w:rsid w:val="000601A4"/>
    <w:rsid w:val="00060976"/>
    <w:rsid w:val="00060FA7"/>
    <w:rsid w:val="00061391"/>
    <w:rsid w:val="000624EE"/>
    <w:rsid w:val="00064395"/>
    <w:rsid w:val="000645F3"/>
    <w:rsid w:val="00067726"/>
    <w:rsid w:val="00067FD6"/>
    <w:rsid w:val="00070965"/>
    <w:rsid w:val="000734AF"/>
    <w:rsid w:val="00073786"/>
    <w:rsid w:val="00074378"/>
    <w:rsid w:val="000746C7"/>
    <w:rsid w:val="000747AC"/>
    <w:rsid w:val="00074C3E"/>
    <w:rsid w:val="00074D69"/>
    <w:rsid w:val="0007530C"/>
    <w:rsid w:val="0007555E"/>
    <w:rsid w:val="00075AF5"/>
    <w:rsid w:val="000771F2"/>
    <w:rsid w:val="00080AEE"/>
    <w:rsid w:val="000812E2"/>
    <w:rsid w:val="0008138F"/>
    <w:rsid w:val="00082D87"/>
    <w:rsid w:val="00083320"/>
    <w:rsid w:val="00085B67"/>
    <w:rsid w:val="00087918"/>
    <w:rsid w:val="00090FDD"/>
    <w:rsid w:val="00091154"/>
    <w:rsid w:val="000915D3"/>
    <w:rsid w:val="000917D8"/>
    <w:rsid w:val="000924C0"/>
    <w:rsid w:val="000925F7"/>
    <w:rsid w:val="00094311"/>
    <w:rsid w:val="000945C9"/>
    <w:rsid w:val="0009505C"/>
    <w:rsid w:val="0009548F"/>
    <w:rsid w:val="000956EB"/>
    <w:rsid w:val="00097527"/>
    <w:rsid w:val="00097E38"/>
    <w:rsid w:val="000A1159"/>
    <w:rsid w:val="000A14DA"/>
    <w:rsid w:val="000A2350"/>
    <w:rsid w:val="000A2F52"/>
    <w:rsid w:val="000A33CB"/>
    <w:rsid w:val="000A34A6"/>
    <w:rsid w:val="000A43CE"/>
    <w:rsid w:val="000A47FF"/>
    <w:rsid w:val="000A4E37"/>
    <w:rsid w:val="000A787A"/>
    <w:rsid w:val="000B19D0"/>
    <w:rsid w:val="000B1DD7"/>
    <w:rsid w:val="000B45AB"/>
    <w:rsid w:val="000B4800"/>
    <w:rsid w:val="000B48EE"/>
    <w:rsid w:val="000B502D"/>
    <w:rsid w:val="000B54A3"/>
    <w:rsid w:val="000B5DD4"/>
    <w:rsid w:val="000B6252"/>
    <w:rsid w:val="000B67B1"/>
    <w:rsid w:val="000B69BF"/>
    <w:rsid w:val="000B788B"/>
    <w:rsid w:val="000B7AE2"/>
    <w:rsid w:val="000C06C5"/>
    <w:rsid w:val="000C0B0A"/>
    <w:rsid w:val="000C108E"/>
    <w:rsid w:val="000C1965"/>
    <w:rsid w:val="000C3655"/>
    <w:rsid w:val="000C36DB"/>
    <w:rsid w:val="000C437B"/>
    <w:rsid w:val="000C5764"/>
    <w:rsid w:val="000C5FBB"/>
    <w:rsid w:val="000C65A2"/>
    <w:rsid w:val="000C6818"/>
    <w:rsid w:val="000C72DD"/>
    <w:rsid w:val="000D0368"/>
    <w:rsid w:val="000D0374"/>
    <w:rsid w:val="000D09EB"/>
    <w:rsid w:val="000D52CF"/>
    <w:rsid w:val="000D588E"/>
    <w:rsid w:val="000D5D48"/>
    <w:rsid w:val="000D5ED7"/>
    <w:rsid w:val="000D6CD4"/>
    <w:rsid w:val="000D6DF1"/>
    <w:rsid w:val="000D765B"/>
    <w:rsid w:val="000E13EB"/>
    <w:rsid w:val="000E2251"/>
    <w:rsid w:val="000E2351"/>
    <w:rsid w:val="000E3987"/>
    <w:rsid w:val="000E40CC"/>
    <w:rsid w:val="000E6096"/>
    <w:rsid w:val="000E77A4"/>
    <w:rsid w:val="000E7AB7"/>
    <w:rsid w:val="000E7E9D"/>
    <w:rsid w:val="000F1186"/>
    <w:rsid w:val="000F1AA9"/>
    <w:rsid w:val="000F4D73"/>
    <w:rsid w:val="000F5B09"/>
    <w:rsid w:val="000F6577"/>
    <w:rsid w:val="000F6C6B"/>
    <w:rsid w:val="000F756E"/>
    <w:rsid w:val="000F7DDF"/>
    <w:rsid w:val="00100371"/>
    <w:rsid w:val="001021CB"/>
    <w:rsid w:val="001030CC"/>
    <w:rsid w:val="0010339D"/>
    <w:rsid w:val="00103CA9"/>
    <w:rsid w:val="0010452C"/>
    <w:rsid w:val="00106446"/>
    <w:rsid w:val="0010656B"/>
    <w:rsid w:val="00106C3F"/>
    <w:rsid w:val="00107128"/>
    <w:rsid w:val="00107647"/>
    <w:rsid w:val="00107A07"/>
    <w:rsid w:val="00112853"/>
    <w:rsid w:val="00112E23"/>
    <w:rsid w:val="00114109"/>
    <w:rsid w:val="001141E2"/>
    <w:rsid w:val="00114378"/>
    <w:rsid w:val="00115519"/>
    <w:rsid w:val="00115C83"/>
    <w:rsid w:val="00116365"/>
    <w:rsid w:val="001164A1"/>
    <w:rsid w:val="00116A8F"/>
    <w:rsid w:val="00117AB0"/>
    <w:rsid w:val="00120A3A"/>
    <w:rsid w:val="00123CBD"/>
    <w:rsid w:val="00124730"/>
    <w:rsid w:val="001251D5"/>
    <w:rsid w:val="001276C7"/>
    <w:rsid w:val="00127B5A"/>
    <w:rsid w:val="00131185"/>
    <w:rsid w:val="001326B7"/>
    <w:rsid w:val="00134816"/>
    <w:rsid w:val="00134A21"/>
    <w:rsid w:val="00134C6C"/>
    <w:rsid w:val="00136E70"/>
    <w:rsid w:val="00141FDD"/>
    <w:rsid w:val="00143FCB"/>
    <w:rsid w:val="00144C86"/>
    <w:rsid w:val="00144EE5"/>
    <w:rsid w:val="0014607D"/>
    <w:rsid w:val="00147278"/>
    <w:rsid w:val="00150707"/>
    <w:rsid w:val="00152409"/>
    <w:rsid w:val="00152E4F"/>
    <w:rsid w:val="001530CE"/>
    <w:rsid w:val="0015322D"/>
    <w:rsid w:val="00153490"/>
    <w:rsid w:val="00154145"/>
    <w:rsid w:val="0015515C"/>
    <w:rsid w:val="00156E33"/>
    <w:rsid w:val="001575F1"/>
    <w:rsid w:val="00157601"/>
    <w:rsid w:val="001577A1"/>
    <w:rsid w:val="00160183"/>
    <w:rsid w:val="001610BD"/>
    <w:rsid w:val="001613FC"/>
    <w:rsid w:val="001627A3"/>
    <w:rsid w:val="00163041"/>
    <w:rsid w:val="00163A7B"/>
    <w:rsid w:val="001644C7"/>
    <w:rsid w:val="001646BA"/>
    <w:rsid w:val="00165DE6"/>
    <w:rsid w:val="00167281"/>
    <w:rsid w:val="001672AB"/>
    <w:rsid w:val="001678F1"/>
    <w:rsid w:val="00170C82"/>
    <w:rsid w:val="00170CCE"/>
    <w:rsid w:val="00172816"/>
    <w:rsid w:val="00172D59"/>
    <w:rsid w:val="001730BE"/>
    <w:rsid w:val="00174836"/>
    <w:rsid w:val="0017540F"/>
    <w:rsid w:val="00181309"/>
    <w:rsid w:val="001824C2"/>
    <w:rsid w:val="0018289E"/>
    <w:rsid w:val="0018331D"/>
    <w:rsid w:val="0018592D"/>
    <w:rsid w:val="0018626E"/>
    <w:rsid w:val="0018666E"/>
    <w:rsid w:val="00186BEF"/>
    <w:rsid w:val="00186F09"/>
    <w:rsid w:val="0018794A"/>
    <w:rsid w:val="00187C66"/>
    <w:rsid w:val="00190285"/>
    <w:rsid w:val="00191F90"/>
    <w:rsid w:val="00192506"/>
    <w:rsid w:val="00192F1E"/>
    <w:rsid w:val="00193785"/>
    <w:rsid w:val="001942BA"/>
    <w:rsid w:val="001971A8"/>
    <w:rsid w:val="001A2829"/>
    <w:rsid w:val="001A2F7A"/>
    <w:rsid w:val="001A392F"/>
    <w:rsid w:val="001A594D"/>
    <w:rsid w:val="001A5B99"/>
    <w:rsid w:val="001A65F4"/>
    <w:rsid w:val="001A7319"/>
    <w:rsid w:val="001B0396"/>
    <w:rsid w:val="001B25FF"/>
    <w:rsid w:val="001B3267"/>
    <w:rsid w:val="001B3BE3"/>
    <w:rsid w:val="001B4CB9"/>
    <w:rsid w:val="001B4F99"/>
    <w:rsid w:val="001B71A2"/>
    <w:rsid w:val="001B7AD0"/>
    <w:rsid w:val="001B7D00"/>
    <w:rsid w:val="001C0237"/>
    <w:rsid w:val="001C0AB4"/>
    <w:rsid w:val="001C1490"/>
    <w:rsid w:val="001C1928"/>
    <w:rsid w:val="001C1F7E"/>
    <w:rsid w:val="001C22CB"/>
    <w:rsid w:val="001C23DD"/>
    <w:rsid w:val="001C264C"/>
    <w:rsid w:val="001C2751"/>
    <w:rsid w:val="001C51EC"/>
    <w:rsid w:val="001C5CE9"/>
    <w:rsid w:val="001C6698"/>
    <w:rsid w:val="001C6750"/>
    <w:rsid w:val="001C70BA"/>
    <w:rsid w:val="001D0226"/>
    <w:rsid w:val="001D0A32"/>
    <w:rsid w:val="001D21BD"/>
    <w:rsid w:val="001D37FD"/>
    <w:rsid w:val="001D4E81"/>
    <w:rsid w:val="001D5652"/>
    <w:rsid w:val="001E2403"/>
    <w:rsid w:val="001E29C8"/>
    <w:rsid w:val="001E29D1"/>
    <w:rsid w:val="001E2BC7"/>
    <w:rsid w:val="001E33FE"/>
    <w:rsid w:val="001E4EAE"/>
    <w:rsid w:val="001E5BE3"/>
    <w:rsid w:val="001E5E69"/>
    <w:rsid w:val="001F1378"/>
    <w:rsid w:val="001F19CC"/>
    <w:rsid w:val="001F27F8"/>
    <w:rsid w:val="001F2B57"/>
    <w:rsid w:val="001F3E69"/>
    <w:rsid w:val="001F4C02"/>
    <w:rsid w:val="001F69DD"/>
    <w:rsid w:val="001F7445"/>
    <w:rsid w:val="001F7C33"/>
    <w:rsid w:val="001F7C4B"/>
    <w:rsid w:val="002000E5"/>
    <w:rsid w:val="00200A3F"/>
    <w:rsid w:val="0020246C"/>
    <w:rsid w:val="00203447"/>
    <w:rsid w:val="002049C0"/>
    <w:rsid w:val="00205D15"/>
    <w:rsid w:val="00205E88"/>
    <w:rsid w:val="00206062"/>
    <w:rsid w:val="0020648A"/>
    <w:rsid w:val="00207613"/>
    <w:rsid w:val="00207B53"/>
    <w:rsid w:val="0021042E"/>
    <w:rsid w:val="00212126"/>
    <w:rsid w:val="00212633"/>
    <w:rsid w:val="002128D8"/>
    <w:rsid w:val="00212CDE"/>
    <w:rsid w:val="002135A2"/>
    <w:rsid w:val="0021614C"/>
    <w:rsid w:val="00220834"/>
    <w:rsid w:val="00220B59"/>
    <w:rsid w:val="002210E9"/>
    <w:rsid w:val="00222175"/>
    <w:rsid w:val="00223E45"/>
    <w:rsid w:val="00224AD0"/>
    <w:rsid w:val="002251C3"/>
    <w:rsid w:val="00225534"/>
    <w:rsid w:val="00225F74"/>
    <w:rsid w:val="002263B3"/>
    <w:rsid w:val="0022695C"/>
    <w:rsid w:val="00227682"/>
    <w:rsid w:val="00227D75"/>
    <w:rsid w:val="00230DE8"/>
    <w:rsid w:val="00230FA2"/>
    <w:rsid w:val="00231268"/>
    <w:rsid w:val="00232A05"/>
    <w:rsid w:val="00233D4D"/>
    <w:rsid w:val="0023443E"/>
    <w:rsid w:val="00234902"/>
    <w:rsid w:val="00235857"/>
    <w:rsid w:val="00236B99"/>
    <w:rsid w:val="00237066"/>
    <w:rsid w:val="00237CC5"/>
    <w:rsid w:val="00240136"/>
    <w:rsid w:val="002402CA"/>
    <w:rsid w:val="00240CF4"/>
    <w:rsid w:val="002417C5"/>
    <w:rsid w:val="002427AE"/>
    <w:rsid w:val="00243419"/>
    <w:rsid w:val="00245A6C"/>
    <w:rsid w:val="00245B04"/>
    <w:rsid w:val="002503CE"/>
    <w:rsid w:val="0025102C"/>
    <w:rsid w:val="0025137D"/>
    <w:rsid w:val="00252831"/>
    <w:rsid w:val="00252FF6"/>
    <w:rsid w:val="00253ECF"/>
    <w:rsid w:val="00253F71"/>
    <w:rsid w:val="00256550"/>
    <w:rsid w:val="0025757E"/>
    <w:rsid w:val="00257D9D"/>
    <w:rsid w:val="00257EFB"/>
    <w:rsid w:val="00260688"/>
    <w:rsid w:val="00260976"/>
    <w:rsid w:val="00260EF0"/>
    <w:rsid w:val="002611D1"/>
    <w:rsid w:val="0026489F"/>
    <w:rsid w:val="00265023"/>
    <w:rsid w:val="002650CF"/>
    <w:rsid w:val="00265406"/>
    <w:rsid w:val="00265A3D"/>
    <w:rsid w:val="002662BE"/>
    <w:rsid w:val="002668AA"/>
    <w:rsid w:val="002679BB"/>
    <w:rsid w:val="0027004E"/>
    <w:rsid w:val="00270FD9"/>
    <w:rsid w:val="002717A8"/>
    <w:rsid w:val="002723A7"/>
    <w:rsid w:val="002723D9"/>
    <w:rsid w:val="00274EBC"/>
    <w:rsid w:val="00275609"/>
    <w:rsid w:val="00280105"/>
    <w:rsid w:val="00282488"/>
    <w:rsid w:val="00282DBE"/>
    <w:rsid w:val="00283704"/>
    <w:rsid w:val="00287A18"/>
    <w:rsid w:val="00292EC3"/>
    <w:rsid w:val="00294586"/>
    <w:rsid w:val="00294DE0"/>
    <w:rsid w:val="00296127"/>
    <w:rsid w:val="00296B08"/>
    <w:rsid w:val="00297AC4"/>
    <w:rsid w:val="002A046A"/>
    <w:rsid w:val="002A0CAC"/>
    <w:rsid w:val="002A0D49"/>
    <w:rsid w:val="002A10A8"/>
    <w:rsid w:val="002A1639"/>
    <w:rsid w:val="002A1B2B"/>
    <w:rsid w:val="002A1CC2"/>
    <w:rsid w:val="002A1DC4"/>
    <w:rsid w:val="002A235B"/>
    <w:rsid w:val="002A2B04"/>
    <w:rsid w:val="002A2CED"/>
    <w:rsid w:val="002A4910"/>
    <w:rsid w:val="002A5C73"/>
    <w:rsid w:val="002A68B8"/>
    <w:rsid w:val="002B10AE"/>
    <w:rsid w:val="002B318C"/>
    <w:rsid w:val="002B3824"/>
    <w:rsid w:val="002B552A"/>
    <w:rsid w:val="002B5D94"/>
    <w:rsid w:val="002B74C5"/>
    <w:rsid w:val="002C010C"/>
    <w:rsid w:val="002C1A52"/>
    <w:rsid w:val="002C1FBF"/>
    <w:rsid w:val="002C25C6"/>
    <w:rsid w:val="002C4737"/>
    <w:rsid w:val="002C47B8"/>
    <w:rsid w:val="002C4A81"/>
    <w:rsid w:val="002C6888"/>
    <w:rsid w:val="002C78FB"/>
    <w:rsid w:val="002D0814"/>
    <w:rsid w:val="002D0F81"/>
    <w:rsid w:val="002D170B"/>
    <w:rsid w:val="002D175D"/>
    <w:rsid w:val="002D2E80"/>
    <w:rsid w:val="002D3579"/>
    <w:rsid w:val="002D3B0F"/>
    <w:rsid w:val="002D4073"/>
    <w:rsid w:val="002D447A"/>
    <w:rsid w:val="002D4CDE"/>
    <w:rsid w:val="002D5187"/>
    <w:rsid w:val="002D5865"/>
    <w:rsid w:val="002D77A7"/>
    <w:rsid w:val="002D7BA6"/>
    <w:rsid w:val="002E294A"/>
    <w:rsid w:val="002E4D6D"/>
    <w:rsid w:val="002E6CB0"/>
    <w:rsid w:val="002E7FEE"/>
    <w:rsid w:val="002F03B5"/>
    <w:rsid w:val="002F184C"/>
    <w:rsid w:val="002F19E7"/>
    <w:rsid w:val="002F2166"/>
    <w:rsid w:val="002F323A"/>
    <w:rsid w:val="002F3B70"/>
    <w:rsid w:val="002F47D9"/>
    <w:rsid w:val="002F5002"/>
    <w:rsid w:val="002F567B"/>
    <w:rsid w:val="002F579B"/>
    <w:rsid w:val="002F58BF"/>
    <w:rsid w:val="002F6AB2"/>
    <w:rsid w:val="002F7C7C"/>
    <w:rsid w:val="003004B8"/>
    <w:rsid w:val="003022A7"/>
    <w:rsid w:val="00303D85"/>
    <w:rsid w:val="0030680B"/>
    <w:rsid w:val="00307512"/>
    <w:rsid w:val="00307F4D"/>
    <w:rsid w:val="0031098B"/>
    <w:rsid w:val="00311A9D"/>
    <w:rsid w:val="00312994"/>
    <w:rsid w:val="00313CA3"/>
    <w:rsid w:val="0031558E"/>
    <w:rsid w:val="00315780"/>
    <w:rsid w:val="00315B94"/>
    <w:rsid w:val="003165E5"/>
    <w:rsid w:val="003201BC"/>
    <w:rsid w:val="00320293"/>
    <w:rsid w:val="003212E4"/>
    <w:rsid w:val="003217C9"/>
    <w:rsid w:val="00321CA6"/>
    <w:rsid w:val="00322DF3"/>
    <w:rsid w:val="00326769"/>
    <w:rsid w:val="00327AC3"/>
    <w:rsid w:val="00327BFC"/>
    <w:rsid w:val="00330832"/>
    <w:rsid w:val="00330C13"/>
    <w:rsid w:val="00331520"/>
    <w:rsid w:val="00331B5C"/>
    <w:rsid w:val="00331C0E"/>
    <w:rsid w:val="00331D9F"/>
    <w:rsid w:val="003324D9"/>
    <w:rsid w:val="00332574"/>
    <w:rsid w:val="0033276A"/>
    <w:rsid w:val="0033283B"/>
    <w:rsid w:val="00333C49"/>
    <w:rsid w:val="00336033"/>
    <w:rsid w:val="00337648"/>
    <w:rsid w:val="00340752"/>
    <w:rsid w:val="003409C9"/>
    <w:rsid w:val="00341583"/>
    <w:rsid w:val="00341F7C"/>
    <w:rsid w:val="00344581"/>
    <w:rsid w:val="00344DF2"/>
    <w:rsid w:val="003454A9"/>
    <w:rsid w:val="0034655C"/>
    <w:rsid w:val="00346FFA"/>
    <w:rsid w:val="00350CFE"/>
    <w:rsid w:val="0035139C"/>
    <w:rsid w:val="003524FD"/>
    <w:rsid w:val="003561B8"/>
    <w:rsid w:val="003568F4"/>
    <w:rsid w:val="00357182"/>
    <w:rsid w:val="00357B8D"/>
    <w:rsid w:val="00357E66"/>
    <w:rsid w:val="00360100"/>
    <w:rsid w:val="00360197"/>
    <w:rsid w:val="003625F1"/>
    <w:rsid w:val="003634DC"/>
    <w:rsid w:val="003638CF"/>
    <w:rsid w:val="00363C84"/>
    <w:rsid w:val="00364D14"/>
    <w:rsid w:val="00365311"/>
    <w:rsid w:val="003655B6"/>
    <w:rsid w:val="00365E46"/>
    <w:rsid w:val="00366F41"/>
    <w:rsid w:val="0037726C"/>
    <w:rsid w:val="00377697"/>
    <w:rsid w:val="00377A53"/>
    <w:rsid w:val="003809F3"/>
    <w:rsid w:val="0038117E"/>
    <w:rsid w:val="0038135E"/>
    <w:rsid w:val="003813A6"/>
    <w:rsid w:val="00381900"/>
    <w:rsid w:val="00381B03"/>
    <w:rsid w:val="0038259A"/>
    <w:rsid w:val="00382F01"/>
    <w:rsid w:val="00384DC2"/>
    <w:rsid w:val="00387C29"/>
    <w:rsid w:val="00387DAD"/>
    <w:rsid w:val="00390732"/>
    <w:rsid w:val="00391CC7"/>
    <w:rsid w:val="0039257B"/>
    <w:rsid w:val="0039441A"/>
    <w:rsid w:val="003965DA"/>
    <w:rsid w:val="00396D7E"/>
    <w:rsid w:val="00396FDF"/>
    <w:rsid w:val="00397760"/>
    <w:rsid w:val="003A0325"/>
    <w:rsid w:val="003A0776"/>
    <w:rsid w:val="003A0C23"/>
    <w:rsid w:val="003A0F73"/>
    <w:rsid w:val="003A1150"/>
    <w:rsid w:val="003A1E5E"/>
    <w:rsid w:val="003A25E5"/>
    <w:rsid w:val="003A5C77"/>
    <w:rsid w:val="003A5EB6"/>
    <w:rsid w:val="003A785D"/>
    <w:rsid w:val="003A7A69"/>
    <w:rsid w:val="003B04DA"/>
    <w:rsid w:val="003B0E7A"/>
    <w:rsid w:val="003B15C8"/>
    <w:rsid w:val="003B17BB"/>
    <w:rsid w:val="003B1992"/>
    <w:rsid w:val="003B1A29"/>
    <w:rsid w:val="003B1C22"/>
    <w:rsid w:val="003B1D25"/>
    <w:rsid w:val="003B2900"/>
    <w:rsid w:val="003B2B30"/>
    <w:rsid w:val="003B2CAA"/>
    <w:rsid w:val="003B30D8"/>
    <w:rsid w:val="003B3299"/>
    <w:rsid w:val="003B436A"/>
    <w:rsid w:val="003B48D5"/>
    <w:rsid w:val="003B4F8C"/>
    <w:rsid w:val="003B5512"/>
    <w:rsid w:val="003B62EC"/>
    <w:rsid w:val="003B6749"/>
    <w:rsid w:val="003B6844"/>
    <w:rsid w:val="003B75FC"/>
    <w:rsid w:val="003B7F5E"/>
    <w:rsid w:val="003C1215"/>
    <w:rsid w:val="003C14C9"/>
    <w:rsid w:val="003C15EF"/>
    <w:rsid w:val="003C1D23"/>
    <w:rsid w:val="003C4817"/>
    <w:rsid w:val="003C5E7B"/>
    <w:rsid w:val="003C6A22"/>
    <w:rsid w:val="003C7061"/>
    <w:rsid w:val="003C79AC"/>
    <w:rsid w:val="003D1EDB"/>
    <w:rsid w:val="003D4359"/>
    <w:rsid w:val="003D4739"/>
    <w:rsid w:val="003D56FD"/>
    <w:rsid w:val="003D75A1"/>
    <w:rsid w:val="003D78F3"/>
    <w:rsid w:val="003D7D58"/>
    <w:rsid w:val="003E0266"/>
    <w:rsid w:val="003E0C4A"/>
    <w:rsid w:val="003E221F"/>
    <w:rsid w:val="003E3296"/>
    <w:rsid w:val="003E3C65"/>
    <w:rsid w:val="003E3F0E"/>
    <w:rsid w:val="003E4749"/>
    <w:rsid w:val="003E4CC0"/>
    <w:rsid w:val="003E51DE"/>
    <w:rsid w:val="003E5D3F"/>
    <w:rsid w:val="003E60D1"/>
    <w:rsid w:val="003E719B"/>
    <w:rsid w:val="003E757E"/>
    <w:rsid w:val="003F0052"/>
    <w:rsid w:val="003F08C0"/>
    <w:rsid w:val="003F0CAE"/>
    <w:rsid w:val="003F0EA8"/>
    <w:rsid w:val="003F250B"/>
    <w:rsid w:val="003F5183"/>
    <w:rsid w:val="003F56BD"/>
    <w:rsid w:val="003F5A35"/>
    <w:rsid w:val="003F7085"/>
    <w:rsid w:val="00400C11"/>
    <w:rsid w:val="004010A8"/>
    <w:rsid w:val="00401DED"/>
    <w:rsid w:val="00402680"/>
    <w:rsid w:val="00404546"/>
    <w:rsid w:val="00406097"/>
    <w:rsid w:val="00406C7B"/>
    <w:rsid w:val="00407182"/>
    <w:rsid w:val="004078E5"/>
    <w:rsid w:val="00407FE4"/>
    <w:rsid w:val="00412F68"/>
    <w:rsid w:val="0041311D"/>
    <w:rsid w:val="00415784"/>
    <w:rsid w:val="00415806"/>
    <w:rsid w:val="004159BE"/>
    <w:rsid w:val="004168B3"/>
    <w:rsid w:val="0041784C"/>
    <w:rsid w:val="00417DAC"/>
    <w:rsid w:val="00417E13"/>
    <w:rsid w:val="00420CBC"/>
    <w:rsid w:val="00421432"/>
    <w:rsid w:val="00421CD5"/>
    <w:rsid w:val="00421E9D"/>
    <w:rsid w:val="00422784"/>
    <w:rsid w:val="00423EE9"/>
    <w:rsid w:val="00425EC2"/>
    <w:rsid w:val="00427187"/>
    <w:rsid w:val="00427696"/>
    <w:rsid w:val="00427FB8"/>
    <w:rsid w:val="00431253"/>
    <w:rsid w:val="00432066"/>
    <w:rsid w:val="00435D37"/>
    <w:rsid w:val="00436469"/>
    <w:rsid w:val="00436FB4"/>
    <w:rsid w:val="004379FA"/>
    <w:rsid w:val="00442E20"/>
    <w:rsid w:val="0044465C"/>
    <w:rsid w:val="0044550D"/>
    <w:rsid w:val="004471B9"/>
    <w:rsid w:val="00447221"/>
    <w:rsid w:val="004509F6"/>
    <w:rsid w:val="00453CE3"/>
    <w:rsid w:val="00454093"/>
    <w:rsid w:val="00454C7D"/>
    <w:rsid w:val="00455227"/>
    <w:rsid w:val="004574D9"/>
    <w:rsid w:val="0045758B"/>
    <w:rsid w:val="00461324"/>
    <w:rsid w:val="0046148B"/>
    <w:rsid w:val="00461657"/>
    <w:rsid w:val="00461995"/>
    <w:rsid w:val="004634E4"/>
    <w:rsid w:val="004639A5"/>
    <w:rsid w:val="004655E7"/>
    <w:rsid w:val="0046659C"/>
    <w:rsid w:val="00466A02"/>
    <w:rsid w:val="00466E96"/>
    <w:rsid w:val="00466F15"/>
    <w:rsid w:val="00467511"/>
    <w:rsid w:val="0047022C"/>
    <w:rsid w:val="004725CB"/>
    <w:rsid w:val="0047278D"/>
    <w:rsid w:val="00475763"/>
    <w:rsid w:val="00475BE2"/>
    <w:rsid w:val="004763AB"/>
    <w:rsid w:val="00480082"/>
    <w:rsid w:val="00483B9D"/>
    <w:rsid w:val="0048470D"/>
    <w:rsid w:val="004848E8"/>
    <w:rsid w:val="00484EA7"/>
    <w:rsid w:val="00485744"/>
    <w:rsid w:val="004865CE"/>
    <w:rsid w:val="004868F5"/>
    <w:rsid w:val="0048699B"/>
    <w:rsid w:val="00487296"/>
    <w:rsid w:val="0049070F"/>
    <w:rsid w:val="00492F24"/>
    <w:rsid w:val="004932C1"/>
    <w:rsid w:val="00493B63"/>
    <w:rsid w:val="004940E0"/>
    <w:rsid w:val="00496861"/>
    <w:rsid w:val="004A1113"/>
    <w:rsid w:val="004A2665"/>
    <w:rsid w:val="004A3449"/>
    <w:rsid w:val="004A350C"/>
    <w:rsid w:val="004A382B"/>
    <w:rsid w:val="004A3894"/>
    <w:rsid w:val="004A38D1"/>
    <w:rsid w:val="004A3B47"/>
    <w:rsid w:val="004A55B1"/>
    <w:rsid w:val="004A56BE"/>
    <w:rsid w:val="004A5717"/>
    <w:rsid w:val="004A61E8"/>
    <w:rsid w:val="004A62DA"/>
    <w:rsid w:val="004B1C2A"/>
    <w:rsid w:val="004B1ECF"/>
    <w:rsid w:val="004B378C"/>
    <w:rsid w:val="004B41B2"/>
    <w:rsid w:val="004B5F63"/>
    <w:rsid w:val="004B7800"/>
    <w:rsid w:val="004B7883"/>
    <w:rsid w:val="004B7C4B"/>
    <w:rsid w:val="004C0135"/>
    <w:rsid w:val="004C0541"/>
    <w:rsid w:val="004C16F3"/>
    <w:rsid w:val="004C206D"/>
    <w:rsid w:val="004C373F"/>
    <w:rsid w:val="004C3C31"/>
    <w:rsid w:val="004C659C"/>
    <w:rsid w:val="004D3E46"/>
    <w:rsid w:val="004D49A0"/>
    <w:rsid w:val="004D4E0F"/>
    <w:rsid w:val="004D7775"/>
    <w:rsid w:val="004E02D3"/>
    <w:rsid w:val="004E28B9"/>
    <w:rsid w:val="004E4063"/>
    <w:rsid w:val="004E475F"/>
    <w:rsid w:val="004E6169"/>
    <w:rsid w:val="004E6C21"/>
    <w:rsid w:val="004E7676"/>
    <w:rsid w:val="004F17AF"/>
    <w:rsid w:val="004F2797"/>
    <w:rsid w:val="004F288B"/>
    <w:rsid w:val="004F2D36"/>
    <w:rsid w:val="004F31D0"/>
    <w:rsid w:val="004F3817"/>
    <w:rsid w:val="004F4CFC"/>
    <w:rsid w:val="004F50B8"/>
    <w:rsid w:val="004F62C2"/>
    <w:rsid w:val="004F7808"/>
    <w:rsid w:val="004F7D2D"/>
    <w:rsid w:val="004F7F54"/>
    <w:rsid w:val="004F7F71"/>
    <w:rsid w:val="005025EC"/>
    <w:rsid w:val="005027D6"/>
    <w:rsid w:val="0050365D"/>
    <w:rsid w:val="005065E6"/>
    <w:rsid w:val="005070CF"/>
    <w:rsid w:val="005078B9"/>
    <w:rsid w:val="0051201B"/>
    <w:rsid w:val="0051345D"/>
    <w:rsid w:val="00516264"/>
    <w:rsid w:val="00516511"/>
    <w:rsid w:val="00517175"/>
    <w:rsid w:val="00521DE6"/>
    <w:rsid w:val="005221F4"/>
    <w:rsid w:val="00522282"/>
    <w:rsid w:val="00523A4E"/>
    <w:rsid w:val="00524587"/>
    <w:rsid w:val="00524802"/>
    <w:rsid w:val="0052511E"/>
    <w:rsid w:val="0052531F"/>
    <w:rsid w:val="005253D1"/>
    <w:rsid w:val="005264EC"/>
    <w:rsid w:val="00530AE6"/>
    <w:rsid w:val="00532B88"/>
    <w:rsid w:val="005331BD"/>
    <w:rsid w:val="005340BA"/>
    <w:rsid w:val="005343F8"/>
    <w:rsid w:val="00534ED3"/>
    <w:rsid w:val="0053502A"/>
    <w:rsid w:val="0053621B"/>
    <w:rsid w:val="00536525"/>
    <w:rsid w:val="0053722D"/>
    <w:rsid w:val="005374C9"/>
    <w:rsid w:val="00540842"/>
    <w:rsid w:val="00540D55"/>
    <w:rsid w:val="00541131"/>
    <w:rsid w:val="00541D70"/>
    <w:rsid w:val="0054279F"/>
    <w:rsid w:val="005429A2"/>
    <w:rsid w:val="005436E2"/>
    <w:rsid w:val="00543A1F"/>
    <w:rsid w:val="005468F5"/>
    <w:rsid w:val="00546967"/>
    <w:rsid w:val="00547212"/>
    <w:rsid w:val="005479C8"/>
    <w:rsid w:val="00547B34"/>
    <w:rsid w:val="005523CF"/>
    <w:rsid w:val="00552402"/>
    <w:rsid w:val="0055364A"/>
    <w:rsid w:val="00553E61"/>
    <w:rsid w:val="0055409D"/>
    <w:rsid w:val="00555066"/>
    <w:rsid w:val="0055507E"/>
    <w:rsid w:val="00555A5E"/>
    <w:rsid w:val="005562D6"/>
    <w:rsid w:val="005568D7"/>
    <w:rsid w:val="0055713F"/>
    <w:rsid w:val="00560113"/>
    <w:rsid w:val="00560529"/>
    <w:rsid w:val="00560667"/>
    <w:rsid w:val="00561992"/>
    <w:rsid w:val="00564436"/>
    <w:rsid w:val="005644BB"/>
    <w:rsid w:val="0056509E"/>
    <w:rsid w:val="00565662"/>
    <w:rsid w:val="00566BFA"/>
    <w:rsid w:val="005700F4"/>
    <w:rsid w:val="00570C9B"/>
    <w:rsid w:val="00570EEF"/>
    <w:rsid w:val="005715D6"/>
    <w:rsid w:val="00571A37"/>
    <w:rsid w:val="0057438A"/>
    <w:rsid w:val="00575B7D"/>
    <w:rsid w:val="00580172"/>
    <w:rsid w:val="00580859"/>
    <w:rsid w:val="00581749"/>
    <w:rsid w:val="005818A8"/>
    <w:rsid w:val="005829D9"/>
    <w:rsid w:val="00583591"/>
    <w:rsid w:val="005838F0"/>
    <w:rsid w:val="005852DA"/>
    <w:rsid w:val="005858DC"/>
    <w:rsid w:val="00585B6B"/>
    <w:rsid w:val="00585F7B"/>
    <w:rsid w:val="005874DD"/>
    <w:rsid w:val="0058776D"/>
    <w:rsid w:val="00590ABD"/>
    <w:rsid w:val="00590B7B"/>
    <w:rsid w:val="005916D5"/>
    <w:rsid w:val="00592DF3"/>
    <w:rsid w:val="00593B25"/>
    <w:rsid w:val="00595DA2"/>
    <w:rsid w:val="00596079"/>
    <w:rsid w:val="005966E6"/>
    <w:rsid w:val="005A054F"/>
    <w:rsid w:val="005A13E6"/>
    <w:rsid w:val="005A1C61"/>
    <w:rsid w:val="005A4AB8"/>
    <w:rsid w:val="005A5064"/>
    <w:rsid w:val="005A5229"/>
    <w:rsid w:val="005B0DB1"/>
    <w:rsid w:val="005B18F4"/>
    <w:rsid w:val="005B25F8"/>
    <w:rsid w:val="005B2BF5"/>
    <w:rsid w:val="005B5CB7"/>
    <w:rsid w:val="005B5F21"/>
    <w:rsid w:val="005B7040"/>
    <w:rsid w:val="005C19AB"/>
    <w:rsid w:val="005C363C"/>
    <w:rsid w:val="005C3915"/>
    <w:rsid w:val="005C3D3E"/>
    <w:rsid w:val="005C4CBE"/>
    <w:rsid w:val="005C4DBD"/>
    <w:rsid w:val="005C4E87"/>
    <w:rsid w:val="005C5F38"/>
    <w:rsid w:val="005D07D1"/>
    <w:rsid w:val="005D0E14"/>
    <w:rsid w:val="005D2F3D"/>
    <w:rsid w:val="005D4BC4"/>
    <w:rsid w:val="005D5D14"/>
    <w:rsid w:val="005D6EEB"/>
    <w:rsid w:val="005D751B"/>
    <w:rsid w:val="005E0358"/>
    <w:rsid w:val="005E038B"/>
    <w:rsid w:val="005E150E"/>
    <w:rsid w:val="005E199C"/>
    <w:rsid w:val="005E2852"/>
    <w:rsid w:val="005E2B06"/>
    <w:rsid w:val="005E35C9"/>
    <w:rsid w:val="005E4CD1"/>
    <w:rsid w:val="005E5941"/>
    <w:rsid w:val="005E6D35"/>
    <w:rsid w:val="005F060E"/>
    <w:rsid w:val="005F13D5"/>
    <w:rsid w:val="005F50EA"/>
    <w:rsid w:val="005F568D"/>
    <w:rsid w:val="006006C6"/>
    <w:rsid w:val="00601FC6"/>
    <w:rsid w:val="006050EA"/>
    <w:rsid w:val="006070E0"/>
    <w:rsid w:val="006071F2"/>
    <w:rsid w:val="00607217"/>
    <w:rsid w:val="00607500"/>
    <w:rsid w:val="00607541"/>
    <w:rsid w:val="0061084D"/>
    <w:rsid w:val="00610DDD"/>
    <w:rsid w:val="006127E9"/>
    <w:rsid w:val="00612A53"/>
    <w:rsid w:val="00612A74"/>
    <w:rsid w:val="00612F5E"/>
    <w:rsid w:val="00613676"/>
    <w:rsid w:val="006139C9"/>
    <w:rsid w:val="006142D5"/>
    <w:rsid w:val="006152FB"/>
    <w:rsid w:val="0061569F"/>
    <w:rsid w:val="00616B6E"/>
    <w:rsid w:val="00617CA0"/>
    <w:rsid w:val="00620ACF"/>
    <w:rsid w:val="00620FA4"/>
    <w:rsid w:val="0062188F"/>
    <w:rsid w:val="00621B53"/>
    <w:rsid w:val="0062271A"/>
    <w:rsid w:val="00622F10"/>
    <w:rsid w:val="00622FAC"/>
    <w:rsid w:val="00623BC4"/>
    <w:rsid w:val="00624C12"/>
    <w:rsid w:val="00625410"/>
    <w:rsid w:val="00625786"/>
    <w:rsid w:val="006304FD"/>
    <w:rsid w:val="00632692"/>
    <w:rsid w:val="00632F90"/>
    <w:rsid w:val="00634B74"/>
    <w:rsid w:val="006357BA"/>
    <w:rsid w:val="0063610A"/>
    <w:rsid w:val="00642A13"/>
    <w:rsid w:val="00642F40"/>
    <w:rsid w:val="006435D8"/>
    <w:rsid w:val="00644D6F"/>
    <w:rsid w:val="00645ED4"/>
    <w:rsid w:val="00647463"/>
    <w:rsid w:val="00647B12"/>
    <w:rsid w:val="006509EE"/>
    <w:rsid w:val="00651027"/>
    <w:rsid w:val="0065108A"/>
    <w:rsid w:val="006534C5"/>
    <w:rsid w:val="0065398C"/>
    <w:rsid w:val="00653CF3"/>
    <w:rsid w:val="00654A8A"/>
    <w:rsid w:val="0065518C"/>
    <w:rsid w:val="00655E97"/>
    <w:rsid w:val="0065775B"/>
    <w:rsid w:val="00657F58"/>
    <w:rsid w:val="00661339"/>
    <w:rsid w:val="00661C7E"/>
    <w:rsid w:val="00663690"/>
    <w:rsid w:val="00664DEB"/>
    <w:rsid w:val="00666EFC"/>
    <w:rsid w:val="0066756D"/>
    <w:rsid w:val="00670373"/>
    <w:rsid w:val="006705D4"/>
    <w:rsid w:val="00670C5E"/>
    <w:rsid w:val="00670C6E"/>
    <w:rsid w:val="00671200"/>
    <w:rsid w:val="00671844"/>
    <w:rsid w:val="00671961"/>
    <w:rsid w:val="006723F0"/>
    <w:rsid w:val="00672DCB"/>
    <w:rsid w:val="006751BF"/>
    <w:rsid w:val="006752C1"/>
    <w:rsid w:val="006756E9"/>
    <w:rsid w:val="006759B4"/>
    <w:rsid w:val="00675DCF"/>
    <w:rsid w:val="006760A4"/>
    <w:rsid w:val="00676256"/>
    <w:rsid w:val="00676A4B"/>
    <w:rsid w:val="00676B97"/>
    <w:rsid w:val="00676C8B"/>
    <w:rsid w:val="0067730D"/>
    <w:rsid w:val="00677377"/>
    <w:rsid w:val="006807FE"/>
    <w:rsid w:val="00680A78"/>
    <w:rsid w:val="00681351"/>
    <w:rsid w:val="00681A9E"/>
    <w:rsid w:val="00682718"/>
    <w:rsid w:val="00684818"/>
    <w:rsid w:val="00684902"/>
    <w:rsid w:val="00685393"/>
    <w:rsid w:val="00690A2B"/>
    <w:rsid w:val="00690D87"/>
    <w:rsid w:val="00690EA9"/>
    <w:rsid w:val="006910F4"/>
    <w:rsid w:val="00692810"/>
    <w:rsid w:val="0069434B"/>
    <w:rsid w:val="00694445"/>
    <w:rsid w:val="00694991"/>
    <w:rsid w:val="00695141"/>
    <w:rsid w:val="00695AC5"/>
    <w:rsid w:val="006966E3"/>
    <w:rsid w:val="006971AF"/>
    <w:rsid w:val="00697A91"/>
    <w:rsid w:val="006A0B4A"/>
    <w:rsid w:val="006A144B"/>
    <w:rsid w:val="006A1C8D"/>
    <w:rsid w:val="006A290B"/>
    <w:rsid w:val="006A478E"/>
    <w:rsid w:val="006A4801"/>
    <w:rsid w:val="006A5DE6"/>
    <w:rsid w:val="006A5F7F"/>
    <w:rsid w:val="006A6C58"/>
    <w:rsid w:val="006A6FB2"/>
    <w:rsid w:val="006B159D"/>
    <w:rsid w:val="006B22E5"/>
    <w:rsid w:val="006B2866"/>
    <w:rsid w:val="006B3579"/>
    <w:rsid w:val="006B4777"/>
    <w:rsid w:val="006B5211"/>
    <w:rsid w:val="006B5863"/>
    <w:rsid w:val="006B729D"/>
    <w:rsid w:val="006B7725"/>
    <w:rsid w:val="006C1458"/>
    <w:rsid w:val="006C15C6"/>
    <w:rsid w:val="006C1C26"/>
    <w:rsid w:val="006C27EC"/>
    <w:rsid w:val="006C28CF"/>
    <w:rsid w:val="006C2906"/>
    <w:rsid w:val="006C2EF6"/>
    <w:rsid w:val="006C3C84"/>
    <w:rsid w:val="006C5096"/>
    <w:rsid w:val="006C5F17"/>
    <w:rsid w:val="006C6303"/>
    <w:rsid w:val="006C6B7E"/>
    <w:rsid w:val="006C6BF9"/>
    <w:rsid w:val="006C6C06"/>
    <w:rsid w:val="006C7BA4"/>
    <w:rsid w:val="006C7EA3"/>
    <w:rsid w:val="006D1A57"/>
    <w:rsid w:val="006D1BC2"/>
    <w:rsid w:val="006D2608"/>
    <w:rsid w:val="006D2A9C"/>
    <w:rsid w:val="006D2B20"/>
    <w:rsid w:val="006D2D6C"/>
    <w:rsid w:val="006D3720"/>
    <w:rsid w:val="006D3727"/>
    <w:rsid w:val="006D3763"/>
    <w:rsid w:val="006D4A5C"/>
    <w:rsid w:val="006D53D7"/>
    <w:rsid w:val="006D74DB"/>
    <w:rsid w:val="006E11AC"/>
    <w:rsid w:val="006E4746"/>
    <w:rsid w:val="006E4B91"/>
    <w:rsid w:val="006E6751"/>
    <w:rsid w:val="006E7282"/>
    <w:rsid w:val="006F0752"/>
    <w:rsid w:val="006F1525"/>
    <w:rsid w:val="006F1AFE"/>
    <w:rsid w:val="006F2861"/>
    <w:rsid w:val="006F4309"/>
    <w:rsid w:val="006F4C84"/>
    <w:rsid w:val="006F5E1B"/>
    <w:rsid w:val="006F6B2B"/>
    <w:rsid w:val="006F6D5E"/>
    <w:rsid w:val="006F7123"/>
    <w:rsid w:val="006F7C03"/>
    <w:rsid w:val="00701093"/>
    <w:rsid w:val="007027D1"/>
    <w:rsid w:val="00703B0B"/>
    <w:rsid w:val="00705089"/>
    <w:rsid w:val="007055C9"/>
    <w:rsid w:val="007067B2"/>
    <w:rsid w:val="00706A33"/>
    <w:rsid w:val="00706CF0"/>
    <w:rsid w:val="00707E96"/>
    <w:rsid w:val="00710BC7"/>
    <w:rsid w:val="00712271"/>
    <w:rsid w:val="00712C9A"/>
    <w:rsid w:val="00712CC4"/>
    <w:rsid w:val="00713AA0"/>
    <w:rsid w:val="00715116"/>
    <w:rsid w:val="00715429"/>
    <w:rsid w:val="00715597"/>
    <w:rsid w:val="00715DEB"/>
    <w:rsid w:val="00716A7D"/>
    <w:rsid w:val="00716B14"/>
    <w:rsid w:val="0071757A"/>
    <w:rsid w:val="00717FE8"/>
    <w:rsid w:val="00720A33"/>
    <w:rsid w:val="00721DCD"/>
    <w:rsid w:val="007227E1"/>
    <w:rsid w:val="00722A4C"/>
    <w:rsid w:val="007234B4"/>
    <w:rsid w:val="00725D07"/>
    <w:rsid w:val="00725E16"/>
    <w:rsid w:val="00727967"/>
    <w:rsid w:val="00727BED"/>
    <w:rsid w:val="007307C9"/>
    <w:rsid w:val="007319C8"/>
    <w:rsid w:val="007326D7"/>
    <w:rsid w:val="00733826"/>
    <w:rsid w:val="00733BCB"/>
    <w:rsid w:val="0073431B"/>
    <w:rsid w:val="00734688"/>
    <w:rsid w:val="00734729"/>
    <w:rsid w:val="00736E76"/>
    <w:rsid w:val="0073706D"/>
    <w:rsid w:val="007375FD"/>
    <w:rsid w:val="00737DB4"/>
    <w:rsid w:val="007406F2"/>
    <w:rsid w:val="00742C04"/>
    <w:rsid w:val="00743684"/>
    <w:rsid w:val="007452A1"/>
    <w:rsid w:val="00745BCE"/>
    <w:rsid w:val="00746132"/>
    <w:rsid w:val="007469F9"/>
    <w:rsid w:val="00747828"/>
    <w:rsid w:val="007515DA"/>
    <w:rsid w:val="007534AA"/>
    <w:rsid w:val="00753C0A"/>
    <w:rsid w:val="00753E85"/>
    <w:rsid w:val="007548EE"/>
    <w:rsid w:val="00754D46"/>
    <w:rsid w:val="00754F86"/>
    <w:rsid w:val="0075551E"/>
    <w:rsid w:val="00755DB9"/>
    <w:rsid w:val="00755FB7"/>
    <w:rsid w:val="0075626E"/>
    <w:rsid w:val="00756761"/>
    <w:rsid w:val="00756F11"/>
    <w:rsid w:val="007579F4"/>
    <w:rsid w:val="00757A6C"/>
    <w:rsid w:val="0076100C"/>
    <w:rsid w:val="00761287"/>
    <w:rsid w:val="0076182F"/>
    <w:rsid w:val="007618B8"/>
    <w:rsid w:val="00762622"/>
    <w:rsid w:val="0076413B"/>
    <w:rsid w:val="007652FD"/>
    <w:rsid w:val="0076645A"/>
    <w:rsid w:val="007675AF"/>
    <w:rsid w:val="00771538"/>
    <w:rsid w:val="00771D94"/>
    <w:rsid w:val="007722BC"/>
    <w:rsid w:val="00772A01"/>
    <w:rsid w:val="00772F45"/>
    <w:rsid w:val="00773C65"/>
    <w:rsid w:val="00775529"/>
    <w:rsid w:val="00776A67"/>
    <w:rsid w:val="00776DE5"/>
    <w:rsid w:val="00777134"/>
    <w:rsid w:val="00781377"/>
    <w:rsid w:val="00781FAF"/>
    <w:rsid w:val="00783810"/>
    <w:rsid w:val="00783A9F"/>
    <w:rsid w:val="00784166"/>
    <w:rsid w:val="0078476D"/>
    <w:rsid w:val="00784BF8"/>
    <w:rsid w:val="00784DAE"/>
    <w:rsid w:val="00784E09"/>
    <w:rsid w:val="00785339"/>
    <w:rsid w:val="00786F50"/>
    <w:rsid w:val="00787E88"/>
    <w:rsid w:val="00791DC2"/>
    <w:rsid w:val="00793A27"/>
    <w:rsid w:val="00793F4D"/>
    <w:rsid w:val="007941BB"/>
    <w:rsid w:val="00794B8C"/>
    <w:rsid w:val="00796ED1"/>
    <w:rsid w:val="007978AC"/>
    <w:rsid w:val="00797B66"/>
    <w:rsid w:val="00797BA2"/>
    <w:rsid w:val="007A0816"/>
    <w:rsid w:val="007A1882"/>
    <w:rsid w:val="007A1CFE"/>
    <w:rsid w:val="007A2091"/>
    <w:rsid w:val="007A2838"/>
    <w:rsid w:val="007A299E"/>
    <w:rsid w:val="007A2D7A"/>
    <w:rsid w:val="007A33EE"/>
    <w:rsid w:val="007A3B09"/>
    <w:rsid w:val="007A5A5D"/>
    <w:rsid w:val="007A67CB"/>
    <w:rsid w:val="007A6A82"/>
    <w:rsid w:val="007A73EE"/>
    <w:rsid w:val="007A7E1A"/>
    <w:rsid w:val="007B0888"/>
    <w:rsid w:val="007B0B93"/>
    <w:rsid w:val="007B41C4"/>
    <w:rsid w:val="007B5A1B"/>
    <w:rsid w:val="007B5C2E"/>
    <w:rsid w:val="007B7DBE"/>
    <w:rsid w:val="007B7EED"/>
    <w:rsid w:val="007C1EE8"/>
    <w:rsid w:val="007C2107"/>
    <w:rsid w:val="007C2827"/>
    <w:rsid w:val="007C43BE"/>
    <w:rsid w:val="007C49FF"/>
    <w:rsid w:val="007C601C"/>
    <w:rsid w:val="007D0106"/>
    <w:rsid w:val="007D033B"/>
    <w:rsid w:val="007D0956"/>
    <w:rsid w:val="007D2063"/>
    <w:rsid w:val="007D2D64"/>
    <w:rsid w:val="007D39CD"/>
    <w:rsid w:val="007D410B"/>
    <w:rsid w:val="007D48C4"/>
    <w:rsid w:val="007D4C9D"/>
    <w:rsid w:val="007D4EE7"/>
    <w:rsid w:val="007D5AB1"/>
    <w:rsid w:val="007D6AA1"/>
    <w:rsid w:val="007E0203"/>
    <w:rsid w:val="007E056C"/>
    <w:rsid w:val="007E0761"/>
    <w:rsid w:val="007E081D"/>
    <w:rsid w:val="007E1AB8"/>
    <w:rsid w:val="007E293C"/>
    <w:rsid w:val="007E36EB"/>
    <w:rsid w:val="007E380A"/>
    <w:rsid w:val="007E5CC1"/>
    <w:rsid w:val="007E7DDD"/>
    <w:rsid w:val="007F182C"/>
    <w:rsid w:val="007F33E9"/>
    <w:rsid w:val="007F388B"/>
    <w:rsid w:val="007F4571"/>
    <w:rsid w:val="007F4D55"/>
    <w:rsid w:val="007F61AF"/>
    <w:rsid w:val="007F775F"/>
    <w:rsid w:val="007F7F34"/>
    <w:rsid w:val="0080031F"/>
    <w:rsid w:val="00801411"/>
    <w:rsid w:val="00801DB8"/>
    <w:rsid w:val="0080291E"/>
    <w:rsid w:val="00802B7F"/>
    <w:rsid w:val="00804F0B"/>
    <w:rsid w:val="00805844"/>
    <w:rsid w:val="00805F78"/>
    <w:rsid w:val="00806B4B"/>
    <w:rsid w:val="00810837"/>
    <w:rsid w:val="00810CC6"/>
    <w:rsid w:val="00810CDD"/>
    <w:rsid w:val="00811332"/>
    <w:rsid w:val="0081184B"/>
    <w:rsid w:val="00811943"/>
    <w:rsid w:val="00811DF5"/>
    <w:rsid w:val="00812862"/>
    <w:rsid w:val="00812E0B"/>
    <w:rsid w:val="00813346"/>
    <w:rsid w:val="00813F13"/>
    <w:rsid w:val="00814063"/>
    <w:rsid w:val="00815A2F"/>
    <w:rsid w:val="00817A6A"/>
    <w:rsid w:val="0082070B"/>
    <w:rsid w:val="0082084A"/>
    <w:rsid w:val="00822F67"/>
    <w:rsid w:val="008251C2"/>
    <w:rsid w:val="0082570B"/>
    <w:rsid w:val="008269CE"/>
    <w:rsid w:val="0082721B"/>
    <w:rsid w:val="00827AAB"/>
    <w:rsid w:val="0083011C"/>
    <w:rsid w:val="008312F3"/>
    <w:rsid w:val="008343BA"/>
    <w:rsid w:val="0083553F"/>
    <w:rsid w:val="008355A8"/>
    <w:rsid w:val="00836A00"/>
    <w:rsid w:val="00841315"/>
    <w:rsid w:val="00842AFE"/>
    <w:rsid w:val="00842C5E"/>
    <w:rsid w:val="00842FB5"/>
    <w:rsid w:val="00843DFF"/>
    <w:rsid w:val="00844116"/>
    <w:rsid w:val="00844B4B"/>
    <w:rsid w:val="00845320"/>
    <w:rsid w:val="00845675"/>
    <w:rsid w:val="0084680E"/>
    <w:rsid w:val="00846B0D"/>
    <w:rsid w:val="00847B5B"/>
    <w:rsid w:val="00847C9F"/>
    <w:rsid w:val="00847EBF"/>
    <w:rsid w:val="0085138D"/>
    <w:rsid w:val="00854098"/>
    <w:rsid w:val="0085673A"/>
    <w:rsid w:val="00856DE2"/>
    <w:rsid w:val="008573C7"/>
    <w:rsid w:val="00857B59"/>
    <w:rsid w:val="00860BDB"/>
    <w:rsid w:val="00861096"/>
    <w:rsid w:val="008617B7"/>
    <w:rsid w:val="00861D85"/>
    <w:rsid w:val="00861F52"/>
    <w:rsid w:val="00862C51"/>
    <w:rsid w:val="00863019"/>
    <w:rsid w:val="00864891"/>
    <w:rsid w:val="00864D7E"/>
    <w:rsid w:val="008654E2"/>
    <w:rsid w:val="008656F4"/>
    <w:rsid w:val="00866008"/>
    <w:rsid w:val="00870795"/>
    <w:rsid w:val="00871ED5"/>
    <w:rsid w:val="008722E4"/>
    <w:rsid w:val="00873808"/>
    <w:rsid w:val="00873FD5"/>
    <w:rsid w:val="00874F31"/>
    <w:rsid w:val="0087527E"/>
    <w:rsid w:val="00875C4F"/>
    <w:rsid w:val="008770B1"/>
    <w:rsid w:val="00877642"/>
    <w:rsid w:val="00877FE9"/>
    <w:rsid w:val="00880646"/>
    <w:rsid w:val="00881C0B"/>
    <w:rsid w:val="00882650"/>
    <w:rsid w:val="00883754"/>
    <w:rsid w:val="008842AB"/>
    <w:rsid w:val="008844C7"/>
    <w:rsid w:val="008855BC"/>
    <w:rsid w:val="00886302"/>
    <w:rsid w:val="00886930"/>
    <w:rsid w:val="00886E1B"/>
    <w:rsid w:val="0089243B"/>
    <w:rsid w:val="00892AFB"/>
    <w:rsid w:val="0089368B"/>
    <w:rsid w:val="00893A0A"/>
    <w:rsid w:val="0089702D"/>
    <w:rsid w:val="008A1B88"/>
    <w:rsid w:val="008A1D16"/>
    <w:rsid w:val="008A1FE3"/>
    <w:rsid w:val="008A20BC"/>
    <w:rsid w:val="008A280E"/>
    <w:rsid w:val="008A30DD"/>
    <w:rsid w:val="008A31C0"/>
    <w:rsid w:val="008A3BC7"/>
    <w:rsid w:val="008A3F44"/>
    <w:rsid w:val="008A466B"/>
    <w:rsid w:val="008A68EC"/>
    <w:rsid w:val="008A73B0"/>
    <w:rsid w:val="008B285E"/>
    <w:rsid w:val="008B2B3C"/>
    <w:rsid w:val="008B4A2E"/>
    <w:rsid w:val="008B58DE"/>
    <w:rsid w:val="008B599F"/>
    <w:rsid w:val="008B6202"/>
    <w:rsid w:val="008B665D"/>
    <w:rsid w:val="008B6D0D"/>
    <w:rsid w:val="008C01EB"/>
    <w:rsid w:val="008C15C8"/>
    <w:rsid w:val="008C215C"/>
    <w:rsid w:val="008C2299"/>
    <w:rsid w:val="008C34B7"/>
    <w:rsid w:val="008C3941"/>
    <w:rsid w:val="008C4151"/>
    <w:rsid w:val="008C5163"/>
    <w:rsid w:val="008C5984"/>
    <w:rsid w:val="008C7C7F"/>
    <w:rsid w:val="008D0308"/>
    <w:rsid w:val="008D0998"/>
    <w:rsid w:val="008D20A3"/>
    <w:rsid w:val="008D27EB"/>
    <w:rsid w:val="008D2C8B"/>
    <w:rsid w:val="008D30AF"/>
    <w:rsid w:val="008D3CDF"/>
    <w:rsid w:val="008D4618"/>
    <w:rsid w:val="008D5823"/>
    <w:rsid w:val="008D6A5D"/>
    <w:rsid w:val="008D6E96"/>
    <w:rsid w:val="008D6F6A"/>
    <w:rsid w:val="008D6F78"/>
    <w:rsid w:val="008D76BE"/>
    <w:rsid w:val="008E0886"/>
    <w:rsid w:val="008E0E90"/>
    <w:rsid w:val="008E10D6"/>
    <w:rsid w:val="008E27E6"/>
    <w:rsid w:val="008E2B58"/>
    <w:rsid w:val="008E2F63"/>
    <w:rsid w:val="008E3805"/>
    <w:rsid w:val="008E3D20"/>
    <w:rsid w:val="008E4582"/>
    <w:rsid w:val="008E462B"/>
    <w:rsid w:val="008E5EDA"/>
    <w:rsid w:val="008E636B"/>
    <w:rsid w:val="008E6D00"/>
    <w:rsid w:val="008E7183"/>
    <w:rsid w:val="008E77D5"/>
    <w:rsid w:val="008F0415"/>
    <w:rsid w:val="008F0BE5"/>
    <w:rsid w:val="008F195C"/>
    <w:rsid w:val="008F34CB"/>
    <w:rsid w:val="008F3986"/>
    <w:rsid w:val="008F4F59"/>
    <w:rsid w:val="008F6653"/>
    <w:rsid w:val="008F71E6"/>
    <w:rsid w:val="008F7755"/>
    <w:rsid w:val="009008A2"/>
    <w:rsid w:val="00900F62"/>
    <w:rsid w:val="0090210D"/>
    <w:rsid w:val="0090227C"/>
    <w:rsid w:val="00902289"/>
    <w:rsid w:val="009022BB"/>
    <w:rsid w:val="009024E9"/>
    <w:rsid w:val="009045B3"/>
    <w:rsid w:val="0090493D"/>
    <w:rsid w:val="00904C72"/>
    <w:rsid w:val="00904D4B"/>
    <w:rsid w:val="00904F52"/>
    <w:rsid w:val="00905430"/>
    <w:rsid w:val="00905BF5"/>
    <w:rsid w:val="00905F6A"/>
    <w:rsid w:val="00907FE0"/>
    <w:rsid w:val="00910CBD"/>
    <w:rsid w:val="0091144B"/>
    <w:rsid w:val="00912260"/>
    <w:rsid w:val="009126D6"/>
    <w:rsid w:val="00915576"/>
    <w:rsid w:val="00915B6A"/>
    <w:rsid w:val="0091631F"/>
    <w:rsid w:val="00916A0F"/>
    <w:rsid w:val="00917A7F"/>
    <w:rsid w:val="00920528"/>
    <w:rsid w:val="00922BF8"/>
    <w:rsid w:val="0092368D"/>
    <w:rsid w:val="0092378E"/>
    <w:rsid w:val="0092403C"/>
    <w:rsid w:val="0092474C"/>
    <w:rsid w:val="00925448"/>
    <w:rsid w:val="00925536"/>
    <w:rsid w:val="00925FF2"/>
    <w:rsid w:val="009271A2"/>
    <w:rsid w:val="009329C9"/>
    <w:rsid w:val="00933305"/>
    <w:rsid w:val="0093378D"/>
    <w:rsid w:val="0093484E"/>
    <w:rsid w:val="00935A48"/>
    <w:rsid w:val="00937C0F"/>
    <w:rsid w:val="009404CE"/>
    <w:rsid w:val="00940D56"/>
    <w:rsid w:val="00941C71"/>
    <w:rsid w:val="00941E99"/>
    <w:rsid w:val="0094299F"/>
    <w:rsid w:val="00942C49"/>
    <w:rsid w:val="009472A1"/>
    <w:rsid w:val="00947B02"/>
    <w:rsid w:val="00947E4E"/>
    <w:rsid w:val="009508FA"/>
    <w:rsid w:val="00951A56"/>
    <w:rsid w:val="009543FD"/>
    <w:rsid w:val="009545F5"/>
    <w:rsid w:val="009553DE"/>
    <w:rsid w:val="00955421"/>
    <w:rsid w:val="0095549B"/>
    <w:rsid w:val="00956F1D"/>
    <w:rsid w:val="0095708D"/>
    <w:rsid w:val="009570EC"/>
    <w:rsid w:val="00957325"/>
    <w:rsid w:val="009611F6"/>
    <w:rsid w:val="009613CE"/>
    <w:rsid w:val="00961D65"/>
    <w:rsid w:val="00962341"/>
    <w:rsid w:val="00962426"/>
    <w:rsid w:val="009636C3"/>
    <w:rsid w:val="009637F1"/>
    <w:rsid w:val="009647DB"/>
    <w:rsid w:val="00965B35"/>
    <w:rsid w:val="00965E55"/>
    <w:rsid w:val="00965FCD"/>
    <w:rsid w:val="009667E4"/>
    <w:rsid w:val="00966CC3"/>
    <w:rsid w:val="009674E4"/>
    <w:rsid w:val="00967750"/>
    <w:rsid w:val="009707F3"/>
    <w:rsid w:val="00970817"/>
    <w:rsid w:val="00972F5D"/>
    <w:rsid w:val="00973022"/>
    <w:rsid w:val="0097377E"/>
    <w:rsid w:val="00974320"/>
    <w:rsid w:val="00974AD2"/>
    <w:rsid w:val="00974F42"/>
    <w:rsid w:val="00975511"/>
    <w:rsid w:val="0098296F"/>
    <w:rsid w:val="00982E62"/>
    <w:rsid w:val="009836D7"/>
    <w:rsid w:val="00984907"/>
    <w:rsid w:val="0098562F"/>
    <w:rsid w:val="00985C9B"/>
    <w:rsid w:val="009860B5"/>
    <w:rsid w:val="00991F66"/>
    <w:rsid w:val="00992420"/>
    <w:rsid w:val="00992B90"/>
    <w:rsid w:val="00993E5A"/>
    <w:rsid w:val="00994964"/>
    <w:rsid w:val="00994D96"/>
    <w:rsid w:val="009960CD"/>
    <w:rsid w:val="009A0736"/>
    <w:rsid w:val="009A1376"/>
    <w:rsid w:val="009A1423"/>
    <w:rsid w:val="009A2337"/>
    <w:rsid w:val="009A24E1"/>
    <w:rsid w:val="009A2EA5"/>
    <w:rsid w:val="009A4C61"/>
    <w:rsid w:val="009A5640"/>
    <w:rsid w:val="009A63D0"/>
    <w:rsid w:val="009A6A3E"/>
    <w:rsid w:val="009A6D2F"/>
    <w:rsid w:val="009A74A7"/>
    <w:rsid w:val="009A792A"/>
    <w:rsid w:val="009B1B81"/>
    <w:rsid w:val="009B1C0A"/>
    <w:rsid w:val="009B320B"/>
    <w:rsid w:val="009B5779"/>
    <w:rsid w:val="009B65AF"/>
    <w:rsid w:val="009B6603"/>
    <w:rsid w:val="009B6985"/>
    <w:rsid w:val="009C0493"/>
    <w:rsid w:val="009C162D"/>
    <w:rsid w:val="009C1D43"/>
    <w:rsid w:val="009C406B"/>
    <w:rsid w:val="009C41DE"/>
    <w:rsid w:val="009C42D7"/>
    <w:rsid w:val="009C4EAF"/>
    <w:rsid w:val="009C5011"/>
    <w:rsid w:val="009C5462"/>
    <w:rsid w:val="009C62C0"/>
    <w:rsid w:val="009C756D"/>
    <w:rsid w:val="009D04AF"/>
    <w:rsid w:val="009D198A"/>
    <w:rsid w:val="009D2F97"/>
    <w:rsid w:val="009D36B4"/>
    <w:rsid w:val="009D3AEA"/>
    <w:rsid w:val="009D3E8D"/>
    <w:rsid w:val="009D45FA"/>
    <w:rsid w:val="009D64D9"/>
    <w:rsid w:val="009D6D64"/>
    <w:rsid w:val="009D7885"/>
    <w:rsid w:val="009E04A3"/>
    <w:rsid w:val="009E21B0"/>
    <w:rsid w:val="009E36CD"/>
    <w:rsid w:val="009E510B"/>
    <w:rsid w:val="009E58AC"/>
    <w:rsid w:val="009E5D48"/>
    <w:rsid w:val="009E70C1"/>
    <w:rsid w:val="009E7177"/>
    <w:rsid w:val="009F0EB0"/>
    <w:rsid w:val="009F1090"/>
    <w:rsid w:val="009F18E0"/>
    <w:rsid w:val="009F1C25"/>
    <w:rsid w:val="009F2C2B"/>
    <w:rsid w:val="009F3035"/>
    <w:rsid w:val="009F3089"/>
    <w:rsid w:val="009F35DF"/>
    <w:rsid w:val="009F3C6F"/>
    <w:rsid w:val="009F3CF9"/>
    <w:rsid w:val="009F3DA9"/>
    <w:rsid w:val="009F4195"/>
    <w:rsid w:val="009F4E29"/>
    <w:rsid w:val="00A00218"/>
    <w:rsid w:val="00A0035B"/>
    <w:rsid w:val="00A01261"/>
    <w:rsid w:val="00A0226B"/>
    <w:rsid w:val="00A040F6"/>
    <w:rsid w:val="00A060B3"/>
    <w:rsid w:val="00A06C70"/>
    <w:rsid w:val="00A06E10"/>
    <w:rsid w:val="00A07539"/>
    <w:rsid w:val="00A10CF5"/>
    <w:rsid w:val="00A119B4"/>
    <w:rsid w:val="00A119F1"/>
    <w:rsid w:val="00A11CDE"/>
    <w:rsid w:val="00A11E17"/>
    <w:rsid w:val="00A14996"/>
    <w:rsid w:val="00A14F8F"/>
    <w:rsid w:val="00A16685"/>
    <w:rsid w:val="00A16C9B"/>
    <w:rsid w:val="00A17447"/>
    <w:rsid w:val="00A20571"/>
    <w:rsid w:val="00A2097F"/>
    <w:rsid w:val="00A209F6"/>
    <w:rsid w:val="00A20D1B"/>
    <w:rsid w:val="00A20F05"/>
    <w:rsid w:val="00A22776"/>
    <w:rsid w:val="00A22911"/>
    <w:rsid w:val="00A233F2"/>
    <w:rsid w:val="00A2480A"/>
    <w:rsid w:val="00A2559B"/>
    <w:rsid w:val="00A25D5F"/>
    <w:rsid w:val="00A30660"/>
    <w:rsid w:val="00A30E95"/>
    <w:rsid w:val="00A3121D"/>
    <w:rsid w:val="00A324F2"/>
    <w:rsid w:val="00A33860"/>
    <w:rsid w:val="00A34E49"/>
    <w:rsid w:val="00A34E9D"/>
    <w:rsid w:val="00A3560C"/>
    <w:rsid w:val="00A35C10"/>
    <w:rsid w:val="00A360C2"/>
    <w:rsid w:val="00A36F39"/>
    <w:rsid w:val="00A37526"/>
    <w:rsid w:val="00A4133A"/>
    <w:rsid w:val="00A419CE"/>
    <w:rsid w:val="00A423C3"/>
    <w:rsid w:val="00A429F2"/>
    <w:rsid w:val="00A4482B"/>
    <w:rsid w:val="00A44F75"/>
    <w:rsid w:val="00A451E5"/>
    <w:rsid w:val="00A45934"/>
    <w:rsid w:val="00A45F99"/>
    <w:rsid w:val="00A468B1"/>
    <w:rsid w:val="00A4692E"/>
    <w:rsid w:val="00A46C9C"/>
    <w:rsid w:val="00A46DEF"/>
    <w:rsid w:val="00A524E5"/>
    <w:rsid w:val="00A52BC0"/>
    <w:rsid w:val="00A52EA8"/>
    <w:rsid w:val="00A55764"/>
    <w:rsid w:val="00A55823"/>
    <w:rsid w:val="00A559ED"/>
    <w:rsid w:val="00A55AB0"/>
    <w:rsid w:val="00A5642C"/>
    <w:rsid w:val="00A56F16"/>
    <w:rsid w:val="00A57868"/>
    <w:rsid w:val="00A57CDB"/>
    <w:rsid w:val="00A6220E"/>
    <w:rsid w:val="00A62711"/>
    <w:rsid w:val="00A63167"/>
    <w:rsid w:val="00A66994"/>
    <w:rsid w:val="00A66BEC"/>
    <w:rsid w:val="00A67103"/>
    <w:rsid w:val="00A67F78"/>
    <w:rsid w:val="00A719D1"/>
    <w:rsid w:val="00A73828"/>
    <w:rsid w:val="00A74590"/>
    <w:rsid w:val="00A75004"/>
    <w:rsid w:val="00A76BD3"/>
    <w:rsid w:val="00A80523"/>
    <w:rsid w:val="00A8105B"/>
    <w:rsid w:val="00A8196A"/>
    <w:rsid w:val="00A81A72"/>
    <w:rsid w:val="00A84EF6"/>
    <w:rsid w:val="00A85320"/>
    <w:rsid w:val="00A85322"/>
    <w:rsid w:val="00A862EE"/>
    <w:rsid w:val="00A86AE2"/>
    <w:rsid w:val="00A919D2"/>
    <w:rsid w:val="00A92C88"/>
    <w:rsid w:val="00A93193"/>
    <w:rsid w:val="00A94105"/>
    <w:rsid w:val="00A9414F"/>
    <w:rsid w:val="00A94444"/>
    <w:rsid w:val="00A944B7"/>
    <w:rsid w:val="00A965E6"/>
    <w:rsid w:val="00A96B95"/>
    <w:rsid w:val="00A975A4"/>
    <w:rsid w:val="00AA1568"/>
    <w:rsid w:val="00AA4229"/>
    <w:rsid w:val="00AA4C9B"/>
    <w:rsid w:val="00AA53FC"/>
    <w:rsid w:val="00AA57C2"/>
    <w:rsid w:val="00AA6372"/>
    <w:rsid w:val="00AB08DE"/>
    <w:rsid w:val="00AB1AAD"/>
    <w:rsid w:val="00AB356D"/>
    <w:rsid w:val="00AB3700"/>
    <w:rsid w:val="00AB47EB"/>
    <w:rsid w:val="00AB4C24"/>
    <w:rsid w:val="00AB4C79"/>
    <w:rsid w:val="00AB517A"/>
    <w:rsid w:val="00AB7198"/>
    <w:rsid w:val="00AC2EF2"/>
    <w:rsid w:val="00AC33D0"/>
    <w:rsid w:val="00AC41A8"/>
    <w:rsid w:val="00AC4D78"/>
    <w:rsid w:val="00AC4E44"/>
    <w:rsid w:val="00AC717C"/>
    <w:rsid w:val="00AC7CE7"/>
    <w:rsid w:val="00AD02E0"/>
    <w:rsid w:val="00AD0474"/>
    <w:rsid w:val="00AD0892"/>
    <w:rsid w:val="00AD0FC1"/>
    <w:rsid w:val="00AD1B16"/>
    <w:rsid w:val="00AD1CF2"/>
    <w:rsid w:val="00AD2C28"/>
    <w:rsid w:val="00AD308A"/>
    <w:rsid w:val="00AD4978"/>
    <w:rsid w:val="00AD5FD2"/>
    <w:rsid w:val="00AD677F"/>
    <w:rsid w:val="00AD69AC"/>
    <w:rsid w:val="00AD6C85"/>
    <w:rsid w:val="00AD6E0C"/>
    <w:rsid w:val="00AD71D3"/>
    <w:rsid w:val="00AD725A"/>
    <w:rsid w:val="00AD7672"/>
    <w:rsid w:val="00AE1A52"/>
    <w:rsid w:val="00AE2C4C"/>
    <w:rsid w:val="00AE2FC9"/>
    <w:rsid w:val="00AE3B29"/>
    <w:rsid w:val="00AE3EC8"/>
    <w:rsid w:val="00AE46D2"/>
    <w:rsid w:val="00AF16EF"/>
    <w:rsid w:val="00AF2A35"/>
    <w:rsid w:val="00AF39C0"/>
    <w:rsid w:val="00AF3F13"/>
    <w:rsid w:val="00AF62DF"/>
    <w:rsid w:val="00AF6471"/>
    <w:rsid w:val="00AF71DC"/>
    <w:rsid w:val="00B012FF"/>
    <w:rsid w:val="00B022B2"/>
    <w:rsid w:val="00B02D66"/>
    <w:rsid w:val="00B039A4"/>
    <w:rsid w:val="00B0449D"/>
    <w:rsid w:val="00B0595F"/>
    <w:rsid w:val="00B063C0"/>
    <w:rsid w:val="00B10371"/>
    <w:rsid w:val="00B12463"/>
    <w:rsid w:val="00B12C9A"/>
    <w:rsid w:val="00B12E31"/>
    <w:rsid w:val="00B12FFF"/>
    <w:rsid w:val="00B13932"/>
    <w:rsid w:val="00B1410C"/>
    <w:rsid w:val="00B144B8"/>
    <w:rsid w:val="00B14CA8"/>
    <w:rsid w:val="00B15B7B"/>
    <w:rsid w:val="00B215A7"/>
    <w:rsid w:val="00B21B23"/>
    <w:rsid w:val="00B22227"/>
    <w:rsid w:val="00B2229B"/>
    <w:rsid w:val="00B2262C"/>
    <w:rsid w:val="00B2447D"/>
    <w:rsid w:val="00B2654F"/>
    <w:rsid w:val="00B27D61"/>
    <w:rsid w:val="00B30BC0"/>
    <w:rsid w:val="00B355D6"/>
    <w:rsid w:val="00B36D48"/>
    <w:rsid w:val="00B40133"/>
    <w:rsid w:val="00B41E7A"/>
    <w:rsid w:val="00B42AAB"/>
    <w:rsid w:val="00B434CF"/>
    <w:rsid w:val="00B43B1F"/>
    <w:rsid w:val="00B46ABF"/>
    <w:rsid w:val="00B47CAB"/>
    <w:rsid w:val="00B50021"/>
    <w:rsid w:val="00B50CF4"/>
    <w:rsid w:val="00B5154B"/>
    <w:rsid w:val="00B51806"/>
    <w:rsid w:val="00B52271"/>
    <w:rsid w:val="00B5329A"/>
    <w:rsid w:val="00B53433"/>
    <w:rsid w:val="00B57358"/>
    <w:rsid w:val="00B57E89"/>
    <w:rsid w:val="00B600D9"/>
    <w:rsid w:val="00B603E6"/>
    <w:rsid w:val="00B62D9E"/>
    <w:rsid w:val="00B6394D"/>
    <w:rsid w:val="00B63FBA"/>
    <w:rsid w:val="00B6519A"/>
    <w:rsid w:val="00B663B8"/>
    <w:rsid w:val="00B669C4"/>
    <w:rsid w:val="00B66E0F"/>
    <w:rsid w:val="00B67014"/>
    <w:rsid w:val="00B71665"/>
    <w:rsid w:val="00B71C0B"/>
    <w:rsid w:val="00B72332"/>
    <w:rsid w:val="00B72446"/>
    <w:rsid w:val="00B74947"/>
    <w:rsid w:val="00B7591E"/>
    <w:rsid w:val="00B75991"/>
    <w:rsid w:val="00B76838"/>
    <w:rsid w:val="00B77D13"/>
    <w:rsid w:val="00B801BF"/>
    <w:rsid w:val="00B810E2"/>
    <w:rsid w:val="00B81BD0"/>
    <w:rsid w:val="00B82794"/>
    <w:rsid w:val="00B82B9C"/>
    <w:rsid w:val="00B82F96"/>
    <w:rsid w:val="00B84CCB"/>
    <w:rsid w:val="00B862AF"/>
    <w:rsid w:val="00B86637"/>
    <w:rsid w:val="00B87E79"/>
    <w:rsid w:val="00B90D97"/>
    <w:rsid w:val="00B91241"/>
    <w:rsid w:val="00B92746"/>
    <w:rsid w:val="00B92D47"/>
    <w:rsid w:val="00B96894"/>
    <w:rsid w:val="00BA06C1"/>
    <w:rsid w:val="00BA0B65"/>
    <w:rsid w:val="00BA1E04"/>
    <w:rsid w:val="00BA1F78"/>
    <w:rsid w:val="00BA54D0"/>
    <w:rsid w:val="00BA6C18"/>
    <w:rsid w:val="00BA6F69"/>
    <w:rsid w:val="00BA6FEF"/>
    <w:rsid w:val="00BB058C"/>
    <w:rsid w:val="00BB24C2"/>
    <w:rsid w:val="00BB30FF"/>
    <w:rsid w:val="00BB360B"/>
    <w:rsid w:val="00BB40F6"/>
    <w:rsid w:val="00BB573E"/>
    <w:rsid w:val="00BB5FE7"/>
    <w:rsid w:val="00BB60B2"/>
    <w:rsid w:val="00BB68A6"/>
    <w:rsid w:val="00BB785F"/>
    <w:rsid w:val="00BB7878"/>
    <w:rsid w:val="00BB7D3F"/>
    <w:rsid w:val="00BB7F73"/>
    <w:rsid w:val="00BC05DD"/>
    <w:rsid w:val="00BC1BBF"/>
    <w:rsid w:val="00BC2E39"/>
    <w:rsid w:val="00BC3FB6"/>
    <w:rsid w:val="00BC4BB9"/>
    <w:rsid w:val="00BC5779"/>
    <w:rsid w:val="00BC6076"/>
    <w:rsid w:val="00BC6DA1"/>
    <w:rsid w:val="00BC6E86"/>
    <w:rsid w:val="00BC73F7"/>
    <w:rsid w:val="00BC76FE"/>
    <w:rsid w:val="00BD0C9A"/>
    <w:rsid w:val="00BD18F0"/>
    <w:rsid w:val="00BD30D2"/>
    <w:rsid w:val="00BE1624"/>
    <w:rsid w:val="00BE20AC"/>
    <w:rsid w:val="00BE2E1E"/>
    <w:rsid w:val="00BE3C50"/>
    <w:rsid w:val="00BE3FF4"/>
    <w:rsid w:val="00BE47BD"/>
    <w:rsid w:val="00BE5B52"/>
    <w:rsid w:val="00BE6311"/>
    <w:rsid w:val="00BE6E6D"/>
    <w:rsid w:val="00BF0ACC"/>
    <w:rsid w:val="00BF0C5D"/>
    <w:rsid w:val="00BF1440"/>
    <w:rsid w:val="00BF1786"/>
    <w:rsid w:val="00BF1A0B"/>
    <w:rsid w:val="00BF1F70"/>
    <w:rsid w:val="00BF2B93"/>
    <w:rsid w:val="00BF301B"/>
    <w:rsid w:val="00BF43FA"/>
    <w:rsid w:val="00BF6AAD"/>
    <w:rsid w:val="00BF7150"/>
    <w:rsid w:val="00BF72CE"/>
    <w:rsid w:val="00C00F88"/>
    <w:rsid w:val="00C00FED"/>
    <w:rsid w:val="00C0135E"/>
    <w:rsid w:val="00C01F4F"/>
    <w:rsid w:val="00C025D3"/>
    <w:rsid w:val="00C053D3"/>
    <w:rsid w:val="00C07170"/>
    <w:rsid w:val="00C077DA"/>
    <w:rsid w:val="00C0788A"/>
    <w:rsid w:val="00C07EBB"/>
    <w:rsid w:val="00C11266"/>
    <w:rsid w:val="00C123A0"/>
    <w:rsid w:val="00C131FA"/>
    <w:rsid w:val="00C13F58"/>
    <w:rsid w:val="00C14571"/>
    <w:rsid w:val="00C1491F"/>
    <w:rsid w:val="00C157D1"/>
    <w:rsid w:val="00C15E22"/>
    <w:rsid w:val="00C16FE2"/>
    <w:rsid w:val="00C20050"/>
    <w:rsid w:val="00C20226"/>
    <w:rsid w:val="00C20BFE"/>
    <w:rsid w:val="00C20E5A"/>
    <w:rsid w:val="00C2155E"/>
    <w:rsid w:val="00C22E55"/>
    <w:rsid w:val="00C23729"/>
    <w:rsid w:val="00C25367"/>
    <w:rsid w:val="00C26844"/>
    <w:rsid w:val="00C2734A"/>
    <w:rsid w:val="00C309B8"/>
    <w:rsid w:val="00C31D0E"/>
    <w:rsid w:val="00C321B7"/>
    <w:rsid w:val="00C32DED"/>
    <w:rsid w:val="00C34184"/>
    <w:rsid w:val="00C34787"/>
    <w:rsid w:val="00C34AC1"/>
    <w:rsid w:val="00C35CAA"/>
    <w:rsid w:val="00C37756"/>
    <w:rsid w:val="00C37AF3"/>
    <w:rsid w:val="00C37B69"/>
    <w:rsid w:val="00C40651"/>
    <w:rsid w:val="00C40CFD"/>
    <w:rsid w:val="00C41BAB"/>
    <w:rsid w:val="00C41D78"/>
    <w:rsid w:val="00C41E50"/>
    <w:rsid w:val="00C42122"/>
    <w:rsid w:val="00C427B1"/>
    <w:rsid w:val="00C42838"/>
    <w:rsid w:val="00C43371"/>
    <w:rsid w:val="00C45B6B"/>
    <w:rsid w:val="00C4601D"/>
    <w:rsid w:val="00C46235"/>
    <w:rsid w:val="00C47275"/>
    <w:rsid w:val="00C479E2"/>
    <w:rsid w:val="00C50494"/>
    <w:rsid w:val="00C51BC7"/>
    <w:rsid w:val="00C520E4"/>
    <w:rsid w:val="00C53291"/>
    <w:rsid w:val="00C535A6"/>
    <w:rsid w:val="00C53A70"/>
    <w:rsid w:val="00C549E0"/>
    <w:rsid w:val="00C565D2"/>
    <w:rsid w:val="00C56A3A"/>
    <w:rsid w:val="00C576EA"/>
    <w:rsid w:val="00C57CD2"/>
    <w:rsid w:val="00C603DE"/>
    <w:rsid w:val="00C608DB"/>
    <w:rsid w:val="00C6164F"/>
    <w:rsid w:val="00C62171"/>
    <w:rsid w:val="00C6348A"/>
    <w:rsid w:val="00C63916"/>
    <w:rsid w:val="00C63FC1"/>
    <w:rsid w:val="00C6406C"/>
    <w:rsid w:val="00C64636"/>
    <w:rsid w:val="00C646AC"/>
    <w:rsid w:val="00C652CE"/>
    <w:rsid w:val="00C6630B"/>
    <w:rsid w:val="00C663B6"/>
    <w:rsid w:val="00C701AF"/>
    <w:rsid w:val="00C7054F"/>
    <w:rsid w:val="00C70D2D"/>
    <w:rsid w:val="00C72651"/>
    <w:rsid w:val="00C72C89"/>
    <w:rsid w:val="00C73B10"/>
    <w:rsid w:val="00C74B05"/>
    <w:rsid w:val="00C75F0D"/>
    <w:rsid w:val="00C75F73"/>
    <w:rsid w:val="00C80520"/>
    <w:rsid w:val="00C80EF3"/>
    <w:rsid w:val="00C81007"/>
    <w:rsid w:val="00C83BDD"/>
    <w:rsid w:val="00C84A12"/>
    <w:rsid w:val="00C85EA2"/>
    <w:rsid w:val="00C86D66"/>
    <w:rsid w:val="00C87E02"/>
    <w:rsid w:val="00C90367"/>
    <w:rsid w:val="00C907BB"/>
    <w:rsid w:val="00C909BF"/>
    <w:rsid w:val="00C9152B"/>
    <w:rsid w:val="00C9246F"/>
    <w:rsid w:val="00C9290A"/>
    <w:rsid w:val="00C93D87"/>
    <w:rsid w:val="00C93DA1"/>
    <w:rsid w:val="00C94C39"/>
    <w:rsid w:val="00C9626E"/>
    <w:rsid w:val="00C97975"/>
    <w:rsid w:val="00CA211C"/>
    <w:rsid w:val="00CA2C46"/>
    <w:rsid w:val="00CA2DC5"/>
    <w:rsid w:val="00CA44ED"/>
    <w:rsid w:val="00CA6E7C"/>
    <w:rsid w:val="00CA7C68"/>
    <w:rsid w:val="00CA7C77"/>
    <w:rsid w:val="00CB0013"/>
    <w:rsid w:val="00CB04AC"/>
    <w:rsid w:val="00CB0D35"/>
    <w:rsid w:val="00CB1EA7"/>
    <w:rsid w:val="00CB2C84"/>
    <w:rsid w:val="00CB311F"/>
    <w:rsid w:val="00CB407D"/>
    <w:rsid w:val="00CB4560"/>
    <w:rsid w:val="00CB47DE"/>
    <w:rsid w:val="00CB7966"/>
    <w:rsid w:val="00CC16C7"/>
    <w:rsid w:val="00CC199B"/>
    <w:rsid w:val="00CC2AAE"/>
    <w:rsid w:val="00CC51BF"/>
    <w:rsid w:val="00CC53C4"/>
    <w:rsid w:val="00CC577F"/>
    <w:rsid w:val="00CC67DD"/>
    <w:rsid w:val="00CC6A54"/>
    <w:rsid w:val="00CD019B"/>
    <w:rsid w:val="00CD1303"/>
    <w:rsid w:val="00CD16E6"/>
    <w:rsid w:val="00CD1F78"/>
    <w:rsid w:val="00CD3371"/>
    <w:rsid w:val="00CD4B5D"/>
    <w:rsid w:val="00CD68CA"/>
    <w:rsid w:val="00CD699F"/>
    <w:rsid w:val="00CD707C"/>
    <w:rsid w:val="00CD769F"/>
    <w:rsid w:val="00CE0770"/>
    <w:rsid w:val="00CE0D08"/>
    <w:rsid w:val="00CE1254"/>
    <w:rsid w:val="00CE3C0D"/>
    <w:rsid w:val="00CE518B"/>
    <w:rsid w:val="00CE69B5"/>
    <w:rsid w:val="00CE6CFC"/>
    <w:rsid w:val="00CE7444"/>
    <w:rsid w:val="00CF0291"/>
    <w:rsid w:val="00CF0D75"/>
    <w:rsid w:val="00CF162C"/>
    <w:rsid w:val="00CF1DF9"/>
    <w:rsid w:val="00CF4E1E"/>
    <w:rsid w:val="00CF586D"/>
    <w:rsid w:val="00CF5FA3"/>
    <w:rsid w:val="00CF6F35"/>
    <w:rsid w:val="00D004D6"/>
    <w:rsid w:val="00D0057C"/>
    <w:rsid w:val="00D00D24"/>
    <w:rsid w:val="00D0131E"/>
    <w:rsid w:val="00D01C27"/>
    <w:rsid w:val="00D02C61"/>
    <w:rsid w:val="00D0344E"/>
    <w:rsid w:val="00D0409E"/>
    <w:rsid w:val="00D04EE0"/>
    <w:rsid w:val="00D0655B"/>
    <w:rsid w:val="00D06D66"/>
    <w:rsid w:val="00D0711F"/>
    <w:rsid w:val="00D10F1E"/>
    <w:rsid w:val="00D134CD"/>
    <w:rsid w:val="00D14D13"/>
    <w:rsid w:val="00D15C59"/>
    <w:rsid w:val="00D17067"/>
    <w:rsid w:val="00D17EA4"/>
    <w:rsid w:val="00D20419"/>
    <w:rsid w:val="00D20CDA"/>
    <w:rsid w:val="00D21899"/>
    <w:rsid w:val="00D222E7"/>
    <w:rsid w:val="00D2271A"/>
    <w:rsid w:val="00D253F6"/>
    <w:rsid w:val="00D26B12"/>
    <w:rsid w:val="00D26EB8"/>
    <w:rsid w:val="00D27200"/>
    <w:rsid w:val="00D31577"/>
    <w:rsid w:val="00D31748"/>
    <w:rsid w:val="00D3212B"/>
    <w:rsid w:val="00D32131"/>
    <w:rsid w:val="00D322B0"/>
    <w:rsid w:val="00D32FC1"/>
    <w:rsid w:val="00D333BF"/>
    <w:rsid w:val="00D33EDE"/>
    <w:rsid w:val="00D3402D"/>
    <w:rsid w:val="00D34181"/>
    <w:rsid w:val="00D34827"/>
    <w:rsid w:val="00D35983"/>
    <w:rsid w:val="00D3631D"/>
    <w:rsid w:val="00D36486"/>
    <w:rsid w:val="00D4058D"/>
    <w:rsid w:val="00D40A23"/>
    <w:rsid w:val="00D41AE3"/>
    <w:rsid w:val="00D44ED9"/>
    <w:rsid w:val="00D45256"/>
    <w:rsid w:val="00D47D6A"/>
    <w:rsid w:val="00D501DA"/>
    <w:rsid w:val="00D506A3"/>
    <w:rsid w:val="00D50FD4"/>
    <w:rsid w:val="00D51C00"/>
    <w:rsid w:val="00D51E0A"/>
    <w:rsid w:val="00D527AF"/>
    <w:rsid w:val="00D52AB9"/>
    <w:rsid w:val="00D5378F"/>
    <w:rsid w:val="00D542E5"/>
    <w:rsid w:val="00D55775"/>
    <w:rsid w:val="00D564C8"/>
    <w:rsid w:val="00D5714E"/>
    <w:rsid w:val="00D57413"/>
    <w:rsid w:val="00D60D35"/>
    <w:rsid w:val="00D61692"/>
    <w:rsid w:val="00D61837"/>
    <w:rsid w:val="00D64F6E"/>
    <w:rsid w:val="00D64FD3"/>
    <w:rsid w:val="00D66F3C"/>
    <w:rsid w:val="00D67D95"/>
    <w:rsid w:val="00D710FD"/>
    <w:rsid w:val="00D71690"/>
    <w:rsid w:val="00D719A0"/>
    <w:rsid w:val="00D733AC"/>
    <w:rsid w:val="00D73AA8"/>
    <w:rsid w:val="00D75F50"/>
    <w:rsid w:val="00D76A94"/>
    <w:rsid w:val="00D7718A"/>
    <w:rsid w:val="00D77F3E"/>
    <w:rsid w:val="00D800B5"/>
    <w:rsid w:val="00D803C1"/>
    <w:rsid w:val="00D834E8"/>
    <w:rsid w:val="00D848EE"/>
    <w:rsid w:val="00D85C94"/>
    <w:rsid w:val="00D85F1E"/>
    <w:rsid w:val="00D8651E"/>
    <w:rsid w:val="00D86A49"/>
    <w:rsid w:val="00D90D26"/>
    <w:rsid w:val="00D91904"/>
    <w:rsid w:val="00D928AF"/>
    <w:rsid w:val="00D92C91"/>
    <w:rsid w:val="00D94466"/>
    <w:rsid w:val="00D96B77"/>
    <w:rsid w:val="00D96CD3"/>
    <w:rsid w:val="00DA1A1F"/>
    <w:rsid w:val="00DA2655"/>
    <w:rsid w:val="00DA2F0A"/>
    <w:rsid w:val="00DA35C2"/>
    <w:rsid w:val="00DA372E"/>
    <w:rsid w:val="00DA3BC4"/>
    <w:rsid w:val="00DA6330"/>
    <w:rsid w:val="00DB0D61"/>
    <w:rsid w:val="00DB2EE2"/>
    <w:rsid w:val="00DB3636"/>
    <w:rsid w:val="00DB3E5E"/>
    <w:rsid w:val="00DB3FE3"/>
    <w:rsid w:val="00DB4A28"/>
    <w:rsid w:val="00DB51B0"/>
    <w:rsid w:val="00DB55E7"/>
    <w:rsid w:val="00DB561E"/>
    <w:rsid w:val="00DB67E3"/>
    <w:rsid w:val="00DB6B8F"/>
    <w:rsid w:val="00DB6DB6"/>
    <w:rsid w:val="00DB721D"/>
    <w:rsid w:val="00DB7C5D"/>
    <w:rsid w:val="00DC006E"/>
    <w:rsid w:val="00DC0241"/>
    <w:rsid w:val="00DC1184"/>
    <w:rsid w:val="00DC19DD"/>
    <w:rsid w:val="00DC3690"/>
    <w:rsid w:val="00DC47F3"/>
    <w:rsid w:val="00DC48C0"/>
    <w:rsid w:val="00DC4AD1"/>
    <w:rsid w:val="00DC4EE0"/>
    <w:rsid w:val="00DC6634"/>
    <w:rsid w:val="00DC7E28"/>
    <w:rsid w:val="00DD0300"/>
    <w:rsid w:val="00DD230D"/>
    <w:rsid w:val="00DD2925"/>
    <w:rsid w:val="00DD2C83"/>
    <w:rsid w:val="00DD351E"/>
    <w:rsid w:val="00DD5A8F"/>
    <w:rsid w:val="00DD6AB8"/>
    <w:rsid w:val="00DD6B2D"/>
    <w:rsid w:val="00DD756A"/>
    <w:rsid w:val="00DD75DD"/>
    <w:rsid w:val="00DE0595"/>
    <w:rsid w:val="00DE1A7C"/>
    <w:rsid w:val="00DE2A1F"/>
    <w:rsid w:val="00DE2C31"/>
    <w:rsid w:val="00DE4794"/>
    <w:rsid w:val="00DE47FC"/>
    <w:rsid w:val="00DE495F"/>
    <w:rsid w:val="00DE63E8"/>
    <w:rsid w:val="00DE7609"/>
    <w:rsid w:val="00DF1C86"/>
    <w:rsid w:val="00DF1ED1"/>
    <w:rsid w:val="00DF228E"/>
    <w:rsid w:val="00DF2695"/>
    <w:rsid w:val="00DF27B1"/>
    <w:rsid w:val="00DF2AA3"/>
    <w:rsid w:val="00DF2C31"/>
    <w:rsid w:val="00DF4F9D"/>
    <w:rsid w:val="00DF6B9D"/>
    <w:rsid w:val="00E00EA3"/>
    <w:rsid w:val="00E00EAA"/>
    <w:rsid w:val="00E01B04"/>
    <w:rsid w:val="00E01F45"/>
    <w:rsid w:val="00E0269D"/>
    <w:rsid w:val="00E02E82"/>
    <w:rsid w:val="00E03367"/>
    <w:rsid w:val="00E041ED"/>
    <w:rsid w:val="00E04E50"/>
    <w:rsid w:val="00E0598B"/>
    <w:rsid w:val="00E05C49"/>
    <w:rsid w:val="00E06855"/>
    <w:rsid w:val="00E0706D"/>
    <w:rsid w:val="00E074E4"/>
    <w:rsid w:val="00E07C08"/>
    <w:rsid w:val="00E139E6"/>
    <w:rsid w:val="00E143F2"/>
    <w:rsid w:val="00E14901"/>
    <w:rsid w:val="00E157D0"/>
    <w:rsid w:val="00E16763"/>
    <w:rsid w:val="00E20800"/>
    <w:rsid w:val="00E2133B"/>
    <w:rsid w:val="00E22571"/>
    <w:rsid w:val="00E2307A"/>
    <w:rsid w:val="00E2362B"/>
    <w:rsid w:val="00E237D9"/>
    <w:rsid w:val="00E249A9"/>
    <w:rsid w:val="00E25472"/>
    <w:rsid w:val="00E27F19"/>
    <w:rsid w:val="00E30184"/>
    <w:rsid w:val="00E3083C"/>
    <w:rsid w:val="00E30F05"/>
    <w:rsid w:val="00E318AD"/>
    <w:rsid w:val="00E32169"/>
    <w:rsid w:val="00E328B1"/>
    <w:rsid w:val="00E34692"/>
    <w:rsid w:val="00E34A15"/>
    <w:rsid w:val="00E35767"/>
    <w:rsid w:val="00E35972"/>
    <w:rsid w:val="00E35BCC"/>
    <w:rsid w:val="00E36E18"/>
    <w:rsid w:val="00E37149"/>
    <w:rsid w:val="00E37A47"/>
    <w:rsid w:val="00E40915"/>
    <w:rsid w:val="00E41355"/>
    <w:rsid w:val="00E42290"/>
    <w:rsid w:val="00E43D7A"/>
    <w:rsid w:val="00E44BCC"/>
    <w:rsid w:val="00E453FC"/>
    <w:rsid w:val="00E456CD"/>
    <w:rsid w:val="00E4745C"/>
    <w:rsid w:val="00E474C1"/>
    <w:rsid w:val="00E50BCF"/>
    <w:rsid w:val="00E51282"/>
    <w:rsid w:val="00E517E8"/>
    <w:rsid w:val="00E523EF"/>
    <w:rsid w:val="00E527EE"/>
    <w:rsid w:val="00E53719"/>
    <w:rsid w:val="00E5473E"/>
    <w:rsid w:val="00E54993"/>
    <w:rsid w:val="00E54D5C"/>
    <w:rsid w:val="00E54F87"/>
    <w:rsid w:val="00E565C1"/>
    <w:rsid w:val="00E56648"/>
    <w:rsid w:val="00E56972"/>
    <w:rsid w:val="00E56E69"/>
    <w:rsid w:val="00E57610"/>
    <w:rsid w:val="00E57695"/>
    <w:rsid w:val="00E57725"/>
    <w:rsid w:val="00E57C4B"/>
    <w:rsid w:val="00E610DC"/>
    <w:rsid w:val="00E64AA5"/>
    <w:rsid w:val="00E64E93"/>
    <w:rsid w:val="00E660EE"/>
    <w:rsid w:val="00E72541"/>
    <w:rsid w:val="00E72808"/>
    <w:rsid w:val="00E72F93"/>
    <w:rsid w:val="00E734B7"/>
    <w:rsid w:val="00E73E27"/>
    <w:rsid w:val="00E75796"/>
    <w:rsid w:val="00E8093F"/>
    <w:rsid w:val="00E82901"/>
    <w:rsid w:val="00E82AAA"/>
    <w:rsid w:val="00E82C42"/>
    <w:rsid w:val="00E83DA8"/>
    <w:rsid w:val="00E83E92"/>
    <w:rsid w:val="00E842DE"/>
    <w:rsid w:val="00E84A41"/>
    <w:rsid w:val="00E8523D"/>
    <w:rsid w:val="00E85243"/>
    <w:rsid w:val="00E85E7A"/>
    <w:rsid w:val="00E87BA7"/>
    <w:rsid w:val="00E9031B"/>
    <w:rsid w:val="00E90B13"/>
    <w:rsid w:val="00E9108B"/>
    <w:rsid w:val="00E91311"/>
    <w:rsid w:val="00E91ED3"/>
    <w:rsid w:val="00E92380"/>
    <w:rsid w:val="00E95A95"/>
    <w:rsid w:val="00EA0BE5"/>
    <w:rsid w:val="00EA2FB5"/>
    <w:rsid w:val="00EA43D5"/>
    <w:rsid w:val="00EA5738"/>
    <w:rsid w:val="00EA60A7"/>
    <w:rsid w:val="00EB250E"/>
    <w:rsid w:val="00EB32D7"/>
    <w:rsid w:val="00EB3658"/>
    <w:rsid w:val="00EB39B5"/>
    <w:rsid w:val="00EB39E1"/>
    <w:rsid w:val="00EB405A"/>
    <w:rsid w:val="00EB4C0B"/>
    <w:rsid w:val="00EB54F9"/>
    <w:rsid w:val="00EB568C"/>
    <w:rsid w:val="00EB6068"/>
    <w:rsid w:val="00EB64B9"/>
    <w:rsid w:val="00EB7CD3"/>
    <w:rsid w:val="00EC0C1D"/>
    <w:rsid w:val="00EC0D33"/>
    <w:rsid w:val="00EC1003"/>
    <w:rsid w:val="00EC3691"/>
    <w:rsid w:val="00EC3B14"/>
    <w:rsid w:val="00EC4680"/>
    <w:rsid w:val="00EC6854"/>
    <w:rsid w:val="00EC70BD"/>
    <w:rsid w:val="00ED05BC"/>
    <w:rsid w:val="00ED0E4C"/>
    <w:rsid w:val="00ED21BB"/>
    <w:rsid w:val="00ED2422"/>
    <w:rsid w:val="00ED2988"/>
    <w:rsid w:val="00ED3980"/>
    <w:rsid w:val="00ED3FE9"/>
    <w:rsid w:val="00ED4AD3"/>
    <w:rsid w:val="00ED4E43"/>
    <w:rsid w:val="00ED66A9"/>
    <w:rsid w:val="00EE0167"/>
    <w:rsid w:val="00EE0860"/>
    <w:rsid w:val="00EE096D"/>
    <w:rsid w:val="00EE0F98"/>
    <w:rsid w:val="00EE2019"/>
    <w:rsid w:val="00EE219A"/>
    <w:rsid w:val="00EE2426"/>
    <w:rsid w:val="00EE337A"/>
    <w:rsid w:val="00EE4F3A"/>
    <w:rsid w:val="00EE5F9C"/>
    <w:rsid w:val="00EE60E4"/>
    <w:rsid w:val="00EE63F9"/>
    <w:rsid w:val="00EE6DDB"/>
    <w:rsid w:val="00EE725A"/>
    <w:rsid w:val="00EE7773"/>
    <w:rsid w:val="00EF0EF4"/>
    <w:rsid w:val="00EF3CD5"/>
    <w:rsid w:val="00EF4511"/>
    <w:rsid w:val="00EF490F"/>
    <w:rsid w:val="00EF5EA4"/>
    <w:rsid w:val="00EF5EA9"/>
    <w:rsid w:val="00EF668F"/>
    <w:rsid w:val="00EF6766"/>
    <w:rsid w:val="00EF6D1A"/>
    <w:rsid w:val="00EF737D"/>
    <w:rsid w:val="00F00B04"/>
    <w:rsid w:val="00F01200"/>
    <w:rsid w:val="00F02C33"/>
    <w:rsid w:val="00F032DD"/>
    <w:rsid w:val="00F03604"/>
    <w:rsid w:val="00F03B06"/>
    <w:rsid w:val="00F03CCF"/>
    <w:rsid w:val="00F04386"/>
    <w:rsid w:val="00F048C2"/>
    <w:rsid w:val="00F04AF5"/>
    <w:rsid w:val="00F053FC"/>
    <w:rsid w:val="00F064DC"/>
    <w:rsid w:val="00F076BD"/>
    <w:rsid w:val="00F10750"/>
    <w:rsid w:val="00F10EBC"/>
    <w:rsid w:val="00F1178A"/>
    <w:rsid w:val="00F11F0D"/>
    <w:rsid w:val="00F1270D"/>
    <w:rsid w:val="00F13EE1"/>
    <w:rsid w:val="00F176FB"/>
    <w:rsid w:val="00F17E2E"/>
    <w:rsid w:val="00F2080E"/>
    <w:rsid w:val="00F20B19"/>
    <w:rsid w:val="00F215F0"/>
    <w:rsid w:val="00F21847"/>
    <w:rsid w:val="00F21D60"/>
    <w:rsid w:val="00F22301"/>
    <w:rsid w:val="00F231BA"/>
    <w:rsid w:val="00F2366D"/>
    <w:rsid w:val="00F24232"/>
    <w:rsid w:val="00F24992"/>
    <w:rsid w:val="00F25012"/>
    <w:rsid w:val="00F2525E"/>
    <w:rsid w:val="00F26EE8"/>
    <w:rsid w:val="00F27924"/>
    <w:rsid w:val="00F3219F"/>
    <w:rsid w:val="00F32946"/>
    <w:rsid w:val="00F32E78"/>
    <w:rsid w:val="00F34299"/>
    <w:rsid w:val="00F36375"/>
    <w:rsid w:val="00F37E59"/>
    <w:rsid w:val="00F37F75"/>
    <w:rsid w:val="00F40003"/>
    <w:rsid w:val="00F409E5"/>
    <w:rsid w:val="00F4195C"/>
    <w:rsid w:val="00F41ABF"/>
    <w:rsid w:val="00F43051"/>
    <w:rsid w:val="00F44108"/>
    <w:rsid w:val="00F500C1"/>
    <w:rsid w:val="00F52271"/>
    <w:rsid w:val="00F52987"/>
    <w:rsid w:val="00F54342"/>
    <w:rsid w:val="00F54BF8"/>
    <w:rsid w:val="00F550CB"/>
    <w:rsid w:val="00F5720E"/>
    <w:rsid w:val="00F5737B"/>
    <w:rsid w:val="00F61509"/>
    <w:rsid w:val="00F619FF"/>
    <w:rsid w:val="00F6365F"/>
    <w:rsid w:val="00F65299"/>
    <w:rsid w:val="00F653CD"/>
    <w:rsid w:val="00F65D2D"/>
    <w:rsid w:val="00F6620F"/>
    <w:rsid w:val="00F664A5"/>
    <w:rsid w:val="00F6696A"/>
    <w:rsid w:val="00F67252"/>
    <w:rsid w:val="00F67463"/>
    <w:rsid w:val="00F70CC9"/>
    <w:rsid w:val="00F72EE3"/>
    <w:rsid w:val="00F737D1"/>
    <w:rsid w:val="00F73FC6"/>
    <w:rsid w:val="00F74097"/>
    <w:rsid w:val="00F743B0"/>
    <w:rsid w:val="00F80192"/>
    <w:rsid w:val="00F8107E"/>
    <w:rsid w:val="00F81AF7"/>
    <w:rsid w:val="00F81F17"/>
    <w:rsid w:val="00F8300B"/>
    <w:rsid w:val="00F838C5"/>
    <w:rsid w:val="00F83B3C"/>
    <w:rsid w:val="00F8680A"/>
    <w:rsid w:val="00F911BE"/>
    <w:rsid w:val="00F9185B"/>
    <w:rsid w:val="00F92862"/>
    <w:rsid w:val="00F92BD8"/>
    <w:rsid w:val="00F92EB4"/>
    <w:rsid w:val="00F93E6F"/>
    <w:rsid w:val="00F943E3"/>
    <w:rsid w:val="00F94653"/>
    <w:rsid w:val="00F967FC"/>
    <w:rsid w:val="00F96C7B"/>
    <w:rsid w:val="00FA053C"/>
    <w:rsid w:val="00FA0AE5"/>
    <w:rsid w:val="00FA1BE2"/>
    <w:rsid w:val="00FA2AA4"/>
    <w:rsid w:val="00FA2F08"/>
    <w:rsid w:val="00FA3278"/>
    <w:rsid w:val="00FA3780"/>
    <w:rsid w:val="00FA3E67"/>
    <w:rsid w:val="00FB03D2"/>
    <w:rsid w:val="00FB0828"/>
    <w:rsid w:val="00FB33D1"/>
    <w:rsid w:val="00FB495F"/>
    <w:rsid w:val="00FB54D1"/>
    <w:rsid w:val="00FB55B2"/>
    <w:rsid w:val="00FB6971"/>
    <w:rsid w:val="00FB6B92"/>
    <w:rsid w:val="00FB73F7"/>
    <w:rsid w:val="00FC1555"/>
    <w:rsid w:val="00FC1EDA"/>
    <w:rsid w:val="00FC2E1D"/>
    <w:rsid w:val="00FC39C8"/>
    <w:rsid w:val="00FC3AFD"/>
    <w:rsid w:val="00FC4259"/>
    <w:rsid w:val="00FD004E"/>
    <w:rsid w:val="00FD0116"/>
    <w:rsid w:val="00FD0297"/>
    <w:rsid w:val="00FD06B2"/>
    <w:rsid w:val="00FD0AB9"/>
    <w:rsid w:val="00FD2C51"/>
    <w:rsid w:val="00FD2F04"/>
    <w:rsid w:val="00FD41E4"/>
    <w:rsid w:val="00FD4282"/>
    <w:rsid w:val="00FD6D73"/>
    <w:rsid w:val="00FE0243"/>
    <w:rsid w:val="00FE097A"/>
    <w:rsid w:val="00FE138A"/>
    <w:rsid w:val="00FE28DC"/>
    <w:rsid w:val="00FE3405"/>
    <w:rsid w:val="00FE4291"/>
    <w:rsid w:val="00FE4F9D"/>
    <w:rsid w:val="00FE5A47"/>
    <w:rsid w:val="00FE5CB3"/>
    <w:rsid w:val="00FE6153"/>
    <w:rsid w:val="00FE641C"/>
    <w:rsid w:val="00FE6A48"/>
    <w:rsid w:val="00FE7290"/>
    <w:rsid w:val="00FE76FA"/>
    <w:rsid w:val="00FF0188"/>
    <w:rsid w:val="00FF13A2"/>
    <w:rsid w:val="00FF1463"/>
    <w:rsid w:val="00FF2BA5"/>
    <w:rsid w:val="00FF2D0B"/>
    <w:rsid w:val="00FF390E"/>
    <w:rsid w:val="00FF3DED"/>
    <w:rsid w:val="00FF5BDC"/>
    <w:rsid w:val="00FF5D0A"/>
    <w:rsid w:val="00FF614F"/>
    <w:rsid w:val="00FF6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054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semiHidden="0" w:uiPriority="0" w:unhideWhenUsed="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2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D61692"/>
    <w:rPr>
      <w:rFonts w:eastAsia="PMingLiU" w:cs="Calibri"/>
      <w:lang w:eastAsia="zh-TW"/>
    </w:rPr>
  </w:style>
  <w:style w:type="character" w:customStyle="1" w:styleId="NoSpacingChar">
    <w:name w:val="No Spacing Char"/>
    <w:basedOn w:val="DefaultParagraphFont"/>
    <w:link w:val="NoSpacing"/>
    <w:uiPriority w:val="99"/>
    <w:locked/>
    <w:rsid w:val="00D61692"/>
    <w:rPr>
      <w:rFonts w:eastAsia="PMingLiU" w:cs="Calibri"/>
      <w:sz w:val="22"/>
      <w:szCs w:val="22"/>
      <w:lang w:val="en-US" w:eastAsia="zh-TW" w:bidi="ar-SA"/>
    </w:rPr>
  </w:style>
  <w:style w:type="paragraph" w:styleId="ListParagraph">
    <w:name w:val="List Paragraph"/>
    <w:basedOn w:val="Normal"/>
    <w:uiPriority w:val="99"/>
    <w:qFormat/>
    <w:rsid w:val="00D61692"/>
    <w:pPr>
      <w:ind w:left="720"/>
    </w:pPr>
    <w:rPr>
      <w:rFonts w:eastAsia="PMingLiU" w:cs="Calibri"/>
      <w:lang w:eastAsia="zh-TW"/>
    </w:rPr>
  </w:style>
  <w:style w:type="paragraph" w:styleId="Caption">
    <w:name w:val="caption"/>
    <w:basedOn w:val="Normal"/>
    <w:next w:val="Normal"/>
    <w:link w:val="CaptionChar"/>
    <w:uiPriority w:val="99"/>
    <w:qFormat/>
    <w:rsid w:val="00D61692"/>
    <w:rPr>
      <w:rFonts w:eastAsia="PMingLiU" w:cs="Calibri"/>
      <w:b/>
      <w:bCs/>
      <w:sz w:val="20"/>
      <w:szCs w:val="20"/>
      <w:lang w:eastAsia="zh-TW"/>
    </w:rPr>
  </w:style>
  <w:style w:type="paragraph" w:styleId="BalloonText">
    <w:name w:val="Balloon Text"/>
    <w:basedOn w:val="Normal"/>
    <w:link w:val="BalloonTextChar"/>
    <w:uiPriority w:val="99"/>
    <w:semiHidden/>
    <w:rsid w:val="00D6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1692"/>
    <w:rPr>
      <w:rFonts w:ascii="Tahoma" w:hAnsi="Tahoma" w:cs="Tahoma"/>
      <w:sz w:val="16"/>
      <w:szCs w:val="16"/>
    </w:rPr>
  </w:style>
  <w:style w:type="paragraph" w:customStyle="1" w:styleId="Default">
    <w:name w:val="Default"/>
    <w:rsid w:val="00E05C49"/>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rsid w:val="000421A3"/>
    <w:rPr>
      <w:rFonts w:cs="Times New Roman"/>
      <w:sz w:val="16"/>
      <w:szCs w:val="16"/>
    </w:rPr>
  </w:style>
  <w:style w:type="paragraph" w:styleId="CommentText">
    <w:name w:val="annotation text"/>
    <w:basedOn w:val="Normal"/>
    <w:link w:val="CommentTextChar"/>
    <w:uiPriority w:val="99"/>
    <w:semiHidden/>
    <w:rsid w:val="000421A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421A3"/>
    <w:rPr>
      <w:rFonts w:cs="Times New Roman"/>
      <w:sz w:val="20"/>
      <w:szCs w:val="20"/>
    </w:rPr>
  </w:style>
  <w:style w:type="paragraph" w:styleId="CommentSubject">
    <w:name w:val="annotation subject"/>
    <w:basedOn w:val="CommentText"/>
    <w:next w:val="CommentText"/>
    <w:link w:val="CommentSubjectChar"/>
    <w:uiPriority w:val="99"/>
    <w:semiHidden/>
    <w:rsid w:val="000421A3"/>
    <w:rPr>
      <w:b/>
      <w:bCs/>
    </w:rPr>
  </w:style>
  <w:style w:type="character" w:customStyle="1" w:styleId="CommentSubjectChar">
    <w:name w:val="Comment Subject Char"/>
    <w:basedOn w:val="CommentTextChar"/>
    <w:link w:val="CommentSubject"/>
    <w:uiPriority w:val="99"/>
    <w:semiHidden/>
    <w:locked/>
    <w:rsid w:val="000421A3"/>
    <w:rPr>
      <w:b/>
      <w:bCs/>
    </w:rPr>
  </w:style>
  <w:style w:type="paragraph" w:customStyle="1" w:styleId="xmsonormal">
    <w:name w:val="x_msonormal"/>
    <w:basedOn w:val="Normal"/>
    <w:uiPriority w:val="99"/>
    <w:rsid w:val="00694445"/>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semiHidden/>
    <w:rsid w:val="00965FCD"/>
    <w:pPr>
      <w:tabs>
        <w:tab w:val="center" w:pos="4703"/>
        <w:tab w:val="right" w:pos="9406"/>
      </w:tabs>
      <w:spacing w:after="0" w:line="240" w:lineRule="auto"/>
    </w:pPr>
  </w:style>
  <w:style w:type="character" w:customStyle="1" w:styleId="HeaderChar">
    <w:name w:val="Header Char"/>
    <w:basedOn w:val="DefaultParagraphFont"/>
    <w:link w:val="Header"/>
    <w:uiPriority w:val="99"/>
    <w:semiHidden/>
    <w:locked/>
    <w:rsid w:val="00965FCD"/>
    <w:rPr>
      <w:rFonts w:cs="Times New Roman"/>
    </w:rPr>
  </w:style>
  <w:style w:type="paragraph" w:styleId="Footer">
    <w:name w:val="footer"/>
    <w:basedOn w:val="Normal"/>
    <w:link w:val="FooterChar"/>
    <w:uiPriority w:val="99"/>
    <w:semiHidden/>
    <w:rsid w:val="00965FCD"/>
    <w:pPr>
      <w:tabs>
        <w:tab w:val="center" w:pos="4703"/>
        <w:tab w:val="right" w:pos="9406"/>
      </w:tabs>
      <w:spacing w:after="0" w:line="240" w:lineRule="auto"/>
    </w:pPr>
  </w:style>
  <w:style w:type="character" w:customStyle="1" w:styleId="FooterChar">
    <w:name w:val="Footer Char"/>
    <w:basedOn w:val="DefaultParagraphFont"/>
    <w:link w:val="Footer"/>
    <w:uiPriority w:val="99"/>
    <w:semiHidden/>
    <w:locked/>
    <w:rsid w:val="00965FCD"/>
    <w:rPr>
      <w:rFonts w:cs="Times New Roman"/>
    </w:rPr>
  </w:style>
  <w:style w:type="paragraph" w:customStyle="1" w:styleId="msonospacing0">
    <w:name w:val="msonospacing"/>
    <w:uiPriority w:val="99"/>
    <w:rsid w:val="0055364A"/>
    <w:rPr>
      <w:rFonts w:ascii="PMingLiU" w:eastAsia="PMingLiU" w:hAnsi="Times New Roman"/>
      <w:lang w:eastAsia="zh-TW"/>
    </w:rPr>
  </w:style>
  <w:style w:type="table" w:styleId="TableGrid">
    <w:name w:val="Table Grid"/>
    <w:basedOn w:val="TableNormal"/>
    <w:uiPriority w:val="99"/>
    <w:rsid w:val="00CD130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84DC2"/>
    <w:pPr>
      <w:spacing w:before="100" w:beforeAutospacing="1" w:after="119" w:line="240" w:lineRule="auto"/>
    </w:pPr>
    <w:rPr>
      <w:rFonts w:ascii="Times New Roman" w:hAnsi="Times New Roman"/>
      <w:sz w:val="24"/>
      <w:szCs w:val="24"/>
      <w:lang w:val="sr-Latn-CS" w:eastAsia="sr-Latn-CS"/>
    </w:rPr>
  </w:style>
  <w:style w:type="character" w:customStyle="1" w:styleId="CaptionChar">
    <w:name w:val="Caption Char"/>
    <w:basedOn w:val="DefaultParagraphFont"/>
    <w:link w:val="Caption"/>
    <w:uiPriority w:val="99"/>
    <w:locked/>
    <w:rsid w:val="005253D1"/>
    <w:rPr>
      <w:rFonts w:ascii="Calibri" w:eastAsia="PMingLiU" w:hAnsi="Calibri" w:cs="Calibri"/>
      <w:b/>
      <w:bCs/>
      <w:sz w:val="20"/>
      <w:szCs w:val="20"/>
      <w:lang w:eastAsia="zh-TW"/>
    </w:rPr>
  </w:style>
  <w:style w:type="paragraph" w:styleId="FootnoteText">
    <w:name w:val="footnote text"/>
    <w:basedOn w:val="Normal"/>
    <w:link w:val="FootnoteTextChar"/>
    <w:uiPriority w:val="99"/>
    <w:semiHidden/>
    <w:rsid w:val="007F61A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F61AF"/>
    <w:rPr>
      <w:rFonts w:eastAsia="Times New Roman" w:cs="Times New Roman"/>
      <w:sz w:val="20"/>
      <w:szCs w:val="20"/>
    </w:rPr>
  </w:style>
  <w:style w:type="character" w:styleId="FootnoteReference">
    <w:name w:val="footnote reference"/>
    <w:basedOn w:val="DefaultParagraphFont"/>
    <w:uiPriority w:val="99"/>
    <w:semiHidden/>
    <w:rsid w:val="007F61AF"/>
    <w:rPr>
      <w:rFonts w:cs="Times New Roman"/>
      <w:vertAlign w:val="superscript"/>
    </w:rPr>
  </w:style>
  <w:style w:type="paragraph" w:styleId="DocumentMap">
    <w:name w:val="Document Map"/>
    <w:basedOn w:val="Normal"/>
    <w:link w:val="DocumentMapChar"/>
    <w:uiPriority w:val="99"/>
    <w:semiHidden/>
    <w:rsid w:val="0002564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6630B"/>
    <w:rPr>
      <w:rFonts w:ascii="Times New Roman" w:hAnsi="Times New Roman" w:cs="Times New Roman"/>
      <w:sz w:val="2"/>
    </w:rPr>
  </w:style>
  <w:style w:type="character" w:styleId="Hyperlink">
    <w:name w:val="Hyperlink"/>
    <w:basedOn w:val="DefaultParagraphFont"/>
    <w:uiPriority w:val="99"/>
    <w:rsid w:val="00034D42"/>
    <w:rPr>
      <w:rFonts w:cs="Times New Roman"/>
      <w:color w:val="0000FF"/>
      <w:u w:val="single"/>
    </w:rPr>
  </w:style>
  <w:style w:type="character" w:styleId="FollowedHyperlink">
    <w:name w:val="FollowedHyperlink"/>
    <w:basedOn w:val="DefaultParagraphFont"/>
    <w:uiPriority w:val="99"/>
    <w:semiHidden/>
    <w:unhideWhenUsed/>
    <w:rsid w:val="0003497A"/>
    <w:rPr>
      <w:color w:val="800080"/>
      <w:u w:val="single"/>
    </w:rPr>
  </w:style>
  <w:style w:type="paragraph" w:customStyle="1" w:styleId="xl170">
    <w:name w:val="xl170"/>
    <w:basedOn w:val="Normal"/>
    <w:rsid w:val="0003497A"/>
    <w:pPr>
      <w:spacing w:before="100" w:beforeAutospacing="1" w:after="100" w:afterAutospacing="1" w:line="240" w:lineRule="auto"/>
    </w:pPr>
    <w:rPr>
      <w:rFonts w:cs="Calibri"/>
      <w:color w:val="000000"/>
      <w:sz w:val="24"/>
      <w:szCs w:val="24"/>
      <w:lang w:val="sr-Latn-CS" w:eastAsia="sr-Latn-CS"/>
    </w:rPr>
  </w:style>
  <w:style w:type="paragraph" w:customStyle="1" w:styleId="xl171">
    <w:name w:val="xl171"/>
    <w:basedOn w:val="Normal"/>
    <w:rsid w:val="0003497A"/>
    <w:pPr>
      <w:spacing w:before="100" w:beforeAutospacing="1" w:after="100" w:afterAutospacing="1" w:line="240" w:lineRule="auto"/>
    </w:pPr>
    <w:rPr>
      <w:rFonts w:cs="Calibri"/>
      <w:color w:val="000000"/>
      <w:sz w:val="18"/>
      <w:szCs w:val="18"/>
      <w:lang w:val="sr-Latn-CS" w:eastAsia="sr-Latn-CS"/>
    </w:rPr>
  </w:style>
  <w:style w:type="paragraph" w:customStyle="1" w:styleId="xl172">
    <w:name w:val="xl172"/>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18"/>
      <w:szCs w:val="18"/>
      <w:lang w:val="sr-Latn-CS" w:eastAsia="sr-Latn-CS"/>
    </w:rPr>
  </w:style>
  <w:style w:type="paragraph" w:customStyle="1" w:styleId="xl173">
    <w:name w:val="xl173"/>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174">
    <w:name w:val="xl174"/>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175">
    <w:name w:val="xl175"/>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76">
    <w:name w:val="xl176"/>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177">
    <w:name w:val="xl177"/>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78">
    <w:name w:val="xl178"/>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179">
    <w:name w:val="xl179"/>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80">
    <w:name w:val="xl180"/>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81">
    <w:name w:val="xl181"/>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82">
    <w:name w:val="xl182"/>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183">
    <w:name w:val="xl183"/>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84">
    <w:name w:val="xl184"/>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185">
    <w:name w:val="xl185"/>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86">
    <w:name w:val="xl186"/>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187">
    <w:name w:val="xl187"/>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88">
    <w:name w:val="xl188"/>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color w:val="993300"/>
      <w:sz w:val="16"/>
      <w:szCs w:val="16"/>
      <w:lang w:val="sr-Latn-CS" w:eastAsia="sr-Latn-CS"/>
    </w:rPr>
  </w:style>
  <w:style w:type="paragraph" w:customStyle="1" w:styleId="xl189">
    <w:name w:val="xl189"/>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190">
    <w:name w:val="xl190"/>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91">
    <w:name w:val="xl191"/>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192">
    <w:name w:val="xl192"/>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93">
    <w:name w:val="xl193"/>
    <w:basedOn w:val="Normal"/>
    <w:rsid w:val="00034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194">
    <w:name w:val="xl194"/>
    <w:basedOn w:val="Normal"/>
    <w:rsid w:val="00034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195">
    <w:name w:val="xl195"/>
    <w:basedOn w:val="Normal"/>
    <w:rsid w:val="00034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196">
    <w:name w:val="xl196"/>
    <w:basedOn w:val="Normal"/>
    <w:rsid w:val="00034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97">
    <w:name w:val="xl197"/>
    <w:basedOn w:val="Normal"/>
    <w:rsid w:val="00034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98">
    <w:name w:val="xl198"/>
    <w:basedOn w:val="Normal"/>
    <w:rsid w:val="00034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199">
    <w:name w:val="xl199"/>
    <w:basedOn w:val="Normal"/>
    <w:rsid w:val="000349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cs="Calibri"/>
      <w:b/>
      <w:bCs/>
      <w:sz w:val="18"/>
      <w:szCs w:val="18"/>
      <w:lang w:val="sr-Latn-CS" w:eastAsia="sr-Latn-CS"/>
    </w:rPr>
  </w:style>
  <w:style w:type="paragraph" w:customStyle="1" w:styleId="xl200">
    <w:name w:val="xl200"/>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sz w:val="16"/>
      <w:szCs w:val="16"/>
      <w:lang w:val="sr-Latn-CS" w:eastAsia="sr-Latn-CS"/>
    </w:rPr>
  </w:style>
  <w:style w:type="paragraph" w:customStyle="1" w:styleId="xl201">
    <w:name w:val="xl201"/>
    <w:basedOn w:val="Normal"/>
    <w:rsid w:val="000349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cs="Calibri"/>
      <w:b/>
      <w:bCs/>
      <w:sz w:val="16"/>
      <w:szCs w:val="16"/>
      <w:lang w:val="sr-Latn-CS" w:eastAsia="sr-Latn-CS"/>
    </w:rPr>
  </w:style>
  <w:style w:type="paragraph" w:customStyle="1" w:styleId="xl202">
    <w:name w:val="xl202"/>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03">
    <w:name w:val="xl203"/>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04">
    <w:name w:val="xl204"/>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05">
    <w:name w:val="xl205"/>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06">
    <w:name w:val="xl206"/>
    <w:basedOn w:val="Normal"/>
    <w:rsid w:val="00034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b/>
      <w:bCs/>
      <w:sz w:val="16"/>
      <w:szCs w:val="16"/>
      <w:lang w:val="sr-Latn-CS" w:eastAsia="sr-Latn-CS"/>
    </w:rPr>
  </w:style>
  <w:style w:type="paragraph" w:customStyle="1" w:styleId="xl207">
    <w:name w:val="xl207"/>
    <w:basedOn w:val="Normal"/>
    <w:rsid w:val="00034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208">
    <w:name w:val="xl208"/>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16"/>
      <w:szCs w:val="16"/>
      <w:lang w:val="sr-Latn-CS" w:eastAsia="sr-Latn-CS"/>
    </w:rPr>
  </w:style>
  <w:style w:type="paragraph" w:customStyle="1" w:styleId="xl209">
    <w:name w:val="xl209"/>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16"/>
      <w:szCs w:val="16"/>
      <w:lang w:val="sr-Latn-CS" w:eastAsia="sr-Latn-CS"/>
    </w:rPr>
  </w:style>
  <w:style w:type="paragraph" w:customStyle="1" w:styleId="xl210">
    <w:name w:val="xl210"/>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11">
    <w:name w:val="xl211"/>
    <w:basedOn w:val="Normal"/>
    <w:rsid w:val="00034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12">
    <w:name w:val="xl212"/>
    <w:basedOn w:val="Normal"/>
    <w:rsid w:val="000349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213">
    <w:name w:val="xl213"/>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14">
    <w:name w:val="xl214"/>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15">
    <w:name w:val="xl215"/>
    <w:basedOn w:val="Normal"/>
    <w:rsid w:val="000349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16">
    <w:name w:val="xl216"/>
    <w:basedOn w:val="Normal"/>
    <w:rsid w:val="000349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17">
    <w:name w:val="xl217"/>
    <w:basedOn w:val="Normal"/>
    <w:rsid w:val="000349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character" w:customStyle="1" w:styleId="hps">
    <w:name w:val="hps"/>
    <w:basedOn w:val="DefaultParagraphFont"/>
    <w:rsid w:val="00172816"/>
  </w:style>
  <w:style w:type="character" w:customStyle="1" w:styleId="atn">
    <w:name w:val="atn"/>
    <w:basedOn w:val="DefaultParagraphFont"/>
    <w:rsid w:val="00172816"/>
  </w:style>
  <w:style w:type="paragraph" w:customStyle="1" w:styleId="xl230">
    <w:name w:val="xl230"/>
    <w:basedOn w:val="Normal"/>
    <w:rsid w:val="00842C5E"/>
    <w:pPr>
      <w:spacing w:before="100" w:beforeAutospacing="1" w:after="100" w:afterAutospacing="1" w:line="240" w:lineRule="auto"/>
    </w:pPr>
    <w:rPr>
      <w:rFonts w:cs="Calibri"/>
      <w:color w:val="000000"/>
      <w:sz w:val="24"/>
      <w:szCs w:val="24"/>
      <w:lang w:val="sr-Latn-CS" w:eastAsia="sr-Latn-CS"/>
    </w:rPr>
  </w:style>
  <w:style w:type="paragraph" w:customStyle="1" w:styleId="xl231">
    <w:name w:val="xl231"/>
    <w:basedOn w:val="Normal"/>
    <w:rsid w:val="00842C5E"/>
    <w:pPr>
      <w:spacing w:before="100" w:beforeAutospacing="1" w:after="100" w:afterAutospacing="1" w:line="240" w:lineRule="auto"/>
    </w:pPr>
    <w:rPr>
      <w:rFonts w:cs="Calibri"/>
      <w:color w:val="000000"/>
      <w:sz w:val="18"/>
      <w:szCs w:val="18"/>
      <w:lang w:val="sr-Latn-CS" w:eastAsia="sr-Latn-CS"/>
    </w:rPr>
  </w:style>
  <w:style w:type="paragraph" w:customStyle="1" w:styleId="xl232">
    <w:name w:val="xl232"/>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18"/>
      <w:szCs w:val="18"/>
      <w:lang w:val="sr-Latn-CS" w:eastAsia="sr-Latn-CS"/>
    </w:rPr>
  </w:style>
  <w:style w:type="paragraph" w:customStyle="1" w:styleId="xl233">
    <w:name w:val="xl233"/>
    <w:basedOn w:val="Normal"/>
    <w:rsid w:val="00842C5E"/>
    <w:pPr>
      <w:pBdr>
        <w:bottom w:val="single" w:sz="4" w:space="0" w:color="auto"/>
      </w:pBdr>
      <w:spacing w:before="100" w:beforeAutospacing="1" w:after="100" w:afterAutospacing="1" w:line="240" w:lineRule="auto"/>
      <w:jc w:val="center"/>
    </w:pPr>
    <w:rPr>
      <w:rFonts w:cs="Calibri"/>
      <w:b/>
      <w:bCs/>
      <w:sz w:val="18"/>
      <w:szCs w:val="18"/>
      <w:lang w:val="sr-Latn-CS" w:eastAsia="sr-Latn-CS"/>
    </w:rPr>
  </w:style>
  <w:style w:type="paragraph" w:customStyle="1" w:styleId="xl234">
    <w:name w:val="xl234"/>
    <w:basedOn w:val="Normal"/>
    <w:rsid w:val="00842C5E"/>
    <w:pPr>
      <w:pBdr>
        <w:top w:val="single" w:sz="4" w:space="0" w:color="auto"/>
        <w:bottom w:val="single" w:sz="4" w:space="0" w:color="auto"/>
      </w:pBdr>
      <w:shd w:val="clear" w:color="000000" w:fill="FFFF99"/>
      <w:spacing w:before="100" w:beforeAutospacing="1" w:after="100" w:afterAutospacing="1" w:line="240" w:lineRule="auto"/>
      <w:textAlignment w:val="top"/>
    </w:pPr>
    <w:rPr>
      <w:rFonts w:cs="Calibri"/>
      <w:b/>
      <w:bCs/>
      <w:sz w:val="18"/>
      <w:szCs w:val="18"/>
      <w:lang w:val="sr-Latn-CS" w:eastAsia="sr-Latn-CS"/>
    </w:rPr>
  </w:style>
  <w:style w:type="paragraph" w:customStyle="1" w:styleId="xl235">
    <w:name w:val="xl235"/>
    <w:basedOn w:val="Normal"/>
    <w:rsid w:val="00842C5E"/>
    <w:pPr>
      <w:pBdr>
        <w:top w:val="single" w:sz="4" w:space="0" w:color="auto"/>
        <w:bottom w:val="single" w:sz="4" w:space="0" w:color="auto"/>
      </w:pBdr>
      <w:spacing w:before="100" w:beforeAutospacing="1" w:after="100" w:afterAutospacing="1" w:line="240" w:lineRule="auto"/>
      <w:textAlignment w:val="top"/>
    </w:pPr>
    <w:rPr>
      <w:rFonts w:cs="Calibri"/>
      <w:b/>
      <w:bCs/>
      <w:sz w:val="18"/>
      <w:szCs w:val="18"/>
      <w:lang w:val="sr-Latn-CS" w:eastAsia="sr-Latn-CS"/>
    </w:rPr>
  </w:style>
  <w:style w:type="paragraph" w:customStyle="1" w:styleId="xl236">
    <w:name w:val="xl236"/>
    <w:basedOn w:val="Normal"/>
    <w:rsid w:val="00842C5E"/>
    <w:pPr>
      <w:pBdr>
        <w:top w:val="single" w:sz="4" w:space="0" w:color="auto"/>
        <w:bottom w:val="single" w:sz="4" w:space="0" w:color="auto"/>
      </w:pBdr>
      <w:shd w:val="clear" w:color="000000" w:fill="FFFF99"/>
      <w:spacing w:before="100" w:beforeAutospacing="1" w:after="100" w:afterAutospacing="1" w:line="240" w:lineRule="auto"/>
      <w:textAlignment w:val="top"/>
    </w:pPr>
    <w:rPr>
      <w:rFonts w:cs="Calibri"/>
      <w:b/>
      <w:bCs/>
      <w:color w:val="FF0000"/>
      <w:sz w:val="18"/>
      <w:szCs w:val="18"/>
      <w:lang w:val="sr-Latn-CS" w:eastAsia="sr-Latn-CS"/>
    </w:rPr>
  </w:style>
  <w:style w:type="paragraph" w:customStyle="1" w:styleId="xl237">
    <w:name w:val="xl237"/>
    <w:basedOn w:val="Normal"/>
    <w:rsid w:val="00842C5E"/>
    <w:pPr>
      <w:pBdr>
        <w:top w:val="single" w:sz="4" w:space="0" w:color="auto"/>
        <w:bottom w:val="double" w:sz="6" w:space="0" w:color="auto"/>
      </w:pBdr>
      <w:spacing w:before="100" w:beforeAutospacing="1" w:after="100" w:afterAutospacing="1" w:line="240" w:lineRule="auto"/>
      <w:textAlignment w:val="top"/>
    </w:pPr>
    <w:rPr>
      <w:rFonts w:cs="Calibri"/>
      <w:b/>
      <w:bCs/>
      <w:sz w:val="18"/>
      <w:szCs w:val="18"/>
      <w:lang w:val="sr-Latn-CS" w:eastAsia="sr-Latn-CS"/>
    </w:rPr>
  </w:style>
  <w:style w:type="paragraph" w:customStyle="1" w:styleId="xl238">
    <w:name w:val="xl238"/>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39">
    <w:name w:val="xl239"/>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40">
    <w:name w:val="xl240"/>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41">
    <w:name w:val="xl241"/>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42">
    <w:name w:val="xl242"/>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43">
    <w:name w:val="xl243"/>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44">
    <w:name w:val="xl244"/>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45">
    <w:name w:val="xl245"/>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46">
    <w:name w:val="xl246"/>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47">
    <w:name w:val="xl247"/>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48">
    <w:name w:val="xl248"/>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49">
    <w:name w:val="xl249"/>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50">
    <w:name w:val="xl250"/>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51">
    <w:name w:val="xl251"/>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52">
    <w:name w:val="xl252"/>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color w:val="993300"/>
      <w:sz w:val="16"/>
      <w:szCs w:val="16"/>
      <w:lang w:val="sr-Latn-CS" w:eastAsia="sr-Latn-CS"/>
    </w:rPr>
  </w:style>
  <w:style w:type="paragraph" w:customStyle="1" w:styleId="xl253">
    <w:name w:val="xl253"/>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54">
    <w:name w:val="xl254"/>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55">
    <w:name w:val="xl255"/>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56">
    <w:name w:val="xl256"/>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57">
    <w:name w:val="xl257"/>
    <w:basedOn w:val="Normal"/>
    <w:rsid w:val="00842C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258">
    <w:name w:val="xl258"/>
    <w:basedOn w:val="Normal"/>
    <w:rsid w:val="00842C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259">
    <w:name w:val="xl259"/>
    <w:basedOn w:val="Normal"/>
    <w:rsid w:val="00842C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260">
    <w:name w:val="xl260"/>
    <w:basedOn w:val="Normal"/>
    <w:rsid w:val="00842C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61">
    <w:name w:val="xl261"/>
    <w:basedOn w:val="Normal"/>
    <w:rsid w:val="00842C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62">
    <w:name w:val="xl262"/>
    <w:basedOn w:val="Normal"/>
    <w:rsid w:val="00842C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63">
    <w:name w:val="xl263"/>
    <w:basedOn w:val="Normal"/>
    <w:rsid w:val="00842C5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cs="Calibri"/>
      <w:b/>
      <w:bCs/>
      <w:sz w:val="18"/>
      <w:szCs w:val="18"/>
      <w:lang w:val="sr-Latn-CS" w:eastAsia="sr-Latn-CS"/>
    </w:rPr>
  </w:style>
  <w:style w:type="paragraph" w:customStyle="1" w:styleId="xl264">
    <w:name w:val="xl264"/>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b/>
      <w:bCs/>
      <w:sz w:val="16"/>
      <w:szCs w:val="16"/>
      <w:lang w:val="sr-Latn-CS" w:eastAsia="sr-Latn-CS"/>
    </w:rPr>
  </w:style>
  <w:style w:type="paragraph" w:customStyle="1" w:styleId="xl265">
    <w:name w:val="xl265"/>
    <w:basedOn w:val="Normal"/>
    <w:rsid w:val="00842C5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center"/>
    </w:pPr>
    <w:rPr>
      <w:rFonts w:cs="Calibri"/>
      <w:b/>
      <w:bCs/>
      <w:sz w:val="16"/>
      <w:szCs w:val="16"/>
      <w:lang w:val="sr-Latn-CS" w:eastAsia="sr-Latn-CS"/>
    </w:rPr>
  </w:style>
  <w:style w:type="paragraph" w:customStyle="1" w:styleId="xl266">
    <w:name w:val="xl266"/>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67">
    <w:name w:val="xl267"/>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68">
    <w:name w:val="xl268"/>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69">
    <w:name w:val="xl269"/>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70">
    <w:name w:val="xl270"/>
    <w:basedOn w:val="Normal"/>
    <w:rsid w:val="00842C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271">
    <w:name w:val="xl271"/>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16"/>
      <w:szCs w:val="16"/>
      <w:lang w:val="sr-Latn-CS" w:eastAsia="sr-Latn-CS"/>
    </w:rPr>
  </w:style>
  <w:style w:type="paragraph" w:customStyle="1" w:styleId="xl272">
    <w:name w:val="xl272"/>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16"/>
      <w:szCs w:val="16"/>
      <w:lang w:val="sr-Latn-CS" w:eastAsia="sr-Latn-CS"/>
    </w:rPr>
  </w:style>
  <w:style w:type="paragraph" w:customStyle="1" w:styleId="xl273">
    <w:name w:val="xl273"/>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74">
    <w:name w:val="xl274"/>
    <w:basedOn w:val="Normal"/>
    <w:rsid w:val="00842C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75">
    <w:name w:val="xl275"/>
    <w:basedOn w:val="Normal"/>
    <w:rsid w:val="00842C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276">
    <w:name w:val="xl276"/>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77">
    <w:name w:val="xl277"/>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78">
    <w:name w:val="xl278"/>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79">
    <w:name w:val="xl279"/>
    <w:basedOn w:val="Normal"/>
    <w:rsid w:val="00842C5E"/>
    <w:pPr>
      <w:spacing w:before="100" w:beforeAutospacing="1" w:after="100" w:afterAutospacing="1" w:line="240" w:lineRule="auto"/>
    </w:pPr>
    <w:rPr>
      <w:rFonts w:cs="Calibri"/>
      <w:color w:val="000000"/>
      <w:sz w:val="24"/>
      <w:szCs w:val="24"/>
      <w:lang w:val="sr-Latn-CS" w:eastAsia="sr-Latn-CS"/>
    </w:rPr>
  </w:style>
  <w:style w:type="paragraph" w:customStyle="1" w:styleId="xl280">
    <w:name w:val="xl280"/>
    <w:basedOn w:val="Normal"/>
    <w:rsid w:val="00842C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281">
    <w:name w:val="xl281"/>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82">
    <w:name w:val="xl282"/>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83">
    <w:name w:val="xl283"/>
    <w:basedOn w:val="Normal"/>
    <w:rsid w:val="00842C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84">
    <w:name w:val="xl284"/>
    <w:basedOn w:val="Normal"/>
    <w:rsid w:val="00842C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85">
    <w:name w:val="xl285"/>
    <w:basedOn w:val="Normal"/>
    <w:rsid w:val="00842C5E"/>
    <w:pPr>
      <w:pBdr>
        <w:top w:val="single" w:sz="4" w:space="0" w:color="auto"/>
        <w:bottom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86">
    <w:name w:val="xl286"/>
    <w:basedOn w:val="Normal"/>
    <w:rsid w:val="00842C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87">
    <w:name w:val="xl287"/>
    <w:basedOn w:val="Normal"/>
    <w:rsid w:val="00CE3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88">
    <w:name w:val="xl288"/>
    <w:basedOn w:val="Normal"/>
    <w:rsid w:val="00CE3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289">
    <w:name w:val="xl289"/>
    <w:basedOn w:val="Normal"/>
    <w:rsid w:val="00CE3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290">
    <w:name w:val="xl290"/>
    <w:basedOn w:val="Normal"/>
    <w:rsid w:val="00CE3C0D"/>
    <w:pPr>
      <w:spacing w:before="100" w:beforeAutospacing="1" w:after="100" w:afterAutospacing="1" w:line="240" w:lineRule="auto"/>
    </w:pPr>
    <w:rPr>
      <w:rFonts w:cs="Calibri"/>
      <w:color w:val="000000"/>
      <w:sz w:val="24"/>
      <w:szCs w:val="24"/>
      <w:lang w:val="sr-Latn-CS" w:eastAsia="sr-Latn-CS"/>
    </w:rPr>
  </w:style>
  <w:style w:type="paragraph" w:customStyle="1" w:styleId="xl291">
    <w:name w:val="xl291"/>
    <w:basedOn w:val="Normal"/>
    <w:rsid w:val="00CE3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292">
    <w:name w:val="xl292"/>
    <w:basedOn w:val="Normal"/>
    <w:rsid w:val="00CE3C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93">
    <w:name w:val="xl293"/>
    <w:basedOn w:val="Normal"/>
    <w:rsid w:val="00CE3C0D"/>
    <w:pPr>
      <w:pBdr>
        <w:top w:val="single" w:sz="4" w:space="0" w:color="auto"/>
        <w:left w:val="single" w:sz="4" w:space="0" w:color="auto"/>
        <w:right w:val="single" w:sz="4" w:space="0" w:color="auto"/>
      </w:pBdr>
      <w:spacing w:before="100" w:beforeAutospacing="1" w:after="100" w:afterAutospacing="1" w:line="240" w:lineRule="auto"/>
    </w:pPr>
    <w:rPr>
      <w:rFonts w:cs="Calibri"/>
      <w:color w:val="000000"/>
      <w:sz w:val="18"/>
      <w:szCs w:val="18"/>
      <w:lang w:val="sr-Latn-CS" w:eastAsia="sr-Latn-CS"/>
    </w:rPr>
  </w:style>
  <w:style w:type="paragraph" w:customStyle="1" w:styleId="xl294">
    <w:name w:val="xl294"/>
    <w:basedOn w:val="Normal"/>
    <w:rsid w:val="00CE3C0D"/>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cs="Calibri"/>
      <w:color w:val="000000"/>
      <w:sz w:val="18"/>
      <w:szCs w:val="18"/>
      <w:lang w:val="sr-Latn-CS" w:eastAsia="sr-Latn-CS"/>
    </w:rPr>
  </w:style>
  <w:style w:type="paragraph" w:customStyle="1" w:styleId="xl295">
    <w:name w:val="xl295"/>
    <w:basedOn w:val="Normal"/>
    <w:rsid w:val="00CE3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18"/>
      <w:szCs w:val="18"/>
      <w:lang w:val="sr-Latn-CS" w:eastAsia="sr-Latn-CS"/>
    </w:rPr>
  </w:style>
  <w:style w:type="paragraph" w:customStyle="1" w:styleId="xl296">
    <w:name w:val="xl296"/>
    <w:basedOn w:val="Normal"/>
    <w:rsid w:val="00CE3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97">
    <w:name w:val="xl297"/>
    <w:basedOn w:val="Normal"/>
    <w:rsid w:val="00CE3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98">
    <w:name w:val="xl298"/>
    <w:basedOn w:val="Normal"/>
    <w:rsid w:val="00CE3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299">
    <w:name w:val="xl299"/>
    <w:basedOn w:val="Normal"/>
    <w:rsid w:val="00CE3C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300">
    <w:name w:val="xl300"/>
    <w:basedOn w:val="Normal"/>
    <w:rsid w:val="00CE3C0D"/>
    <w:pPr>
      <w:pBdr>
        <w:top w:val="single" w:sz="4" w:space="0" w:color="auto"/>
        <w:bottom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301">
    <w:name w:val="xl301"/>
    <w:basedOn w:val="Normal"/>
    <w:rsid w:val="00CE3C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character" w:styleId="Strong">
    <w:name w:val="Strong"/>
    <w:basedOn w:val="DefaultParagraphFont"/>
    <w:uiPriority w:val="22"/>
    <w:qFormat/>
    <w:locked/>
    <w:rsid w:val="007D2063"/>
    <w:rPr>
      <w:b/>
      <w:bCs/>
    </w:rPr>
  </w:style>
  <w:style w:type="paragraph" w:customStyle="1" w:styleId="xl302">
    <w:name w:val="xl302"/>
    <w:basedOn w:val="Normal"/>
    <w:rsid w:val="00DB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303">
    <w:name w:val="xl303"/>
    <w:basedOn w:val="Normal"/>
    <w:rsid w:val="00DB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304">
    <w:name w:val="xl304"/>
    <w:basedOn w:val="Normal"/>
    <w:rsid w:val="00DB3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305">
    <w:name w:val="xl305"/>
    <w:basedOn w:val="Normal"/>
    <w:rsid w:val="00DB3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16"/>
      <w:szCs w:val="16"/>
      <w:lang w:val="sr-Latn-CS" w:eastAsia="sr-Latn-CS"/>
    </w:rPr>
  </w:style>
  <w:style w:type="paragraph" w:customStyle="1" w:styleId="xl306">
    <w:name w:val="xl306"/>
    <w:basedOn w:val="Normal"/>
    <w:rsid w:val="00DB3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16"/>
      <w:szCs w:val="16"/>
      <w:lang w:val="sr-Latn-CS" w:eastAsia="sr-Latn-CS"/>
    </w:rPr>
  </w:style>
  <w:style w:type="paragraph" w:customStyle="1" w:styleId="xl307">
    <w:name w:val="xl307"/>
    <w:basedOn w:val="Normal"/>
    <w:rsid w:val="00DB3636"/>
    <w:pPr>
      <w:spacing w:before="100" w:beforeAutospacing="1" w:after="100" w:afterAutospacing="1" w:line="240" w:lineRule="auto"/>
    </w:pPr>
    <w:rPr>
      <w:rFonts w:cs="Calibri"/>
      <w:color w:val="000000"/>
      <w:sz w:val="24"/>
      <w:szCs w:val="24"/>
      <w:lang w:val="sr-Latn-CS" w:eastAsia="sr-Latn-CS"/>
    </w:rPr>
  </w:style>
  <w:style w:type="paragraph" w:customStyle="1" w:styleId="xl308">
    <w:name w:val="xl308"/>
    <w:basedOn w:val="Normal"/>
    <w:rsid w:val="00DB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cs="Calibri"/>
      <w:sz w:val="16"/>
      <w:szCs w:val="16"/>
      <w:lang w:val="sr-Latn-CS" w:eastAsia="sr-Latn-CS"/>
    </w:rPr>
  </w:style>
  <w:style w:type="paragraph" w:customStyle="1" w:styleId="xl309">
    <w:name w:val="xl309"/>
    <w:basedOn w:val="Normal"/>
    <w:rsid w:val="00DB36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310">
    <w:name w:val="xl310"/>
    <w:basedOn w:val="Normal"/>
    <w:rsid w:val="00DB36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16"/>
      <w:szCs w:val="16"/>
      <w:lang w:val="sr-Latn-CS" w:eastAsia="sr-Latn-CS"/>
    </w:rPr>
  </w:style>
  <w:style w:type="paragraph" w:customStyle="1" w:styleId="xl311">
    <w:name w:val="xl311"/>
    <w:basedOn w:val="Normal"/>
    <w:rsid w:val="00DB36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b/>
      <w:bCs/>
      <w:sz w:val="16"/>
      <w:szCs w:val="16"/>
      <w:lang w:val="sr-Latn-CS" w:eastAsia="sr-Latn-CS"/>
    </w:rPr>
  </w:style>
  <w:style w:type="paragraph" w:customStyle="1" w:styleId="xl312">
    <w:name w:val="xl312"/>
    <w:basedOn w:val="Normal"/>
    <w:rsid w:val="00DB3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313">
    <w:name w:val="xl313"/>
    <w:basedOn w:val="Normal"/>
    <w:rsid w:val="00DB3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314">
    <w:name w:val="xl314"/>
    <w:basedOn w:val="Normal"/>
    <w:rsid w:val="00DB36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315">
    <w:name w:val="xl315"/>
    <w:basedOn w:val="Normal"/>
    <w:rsid w:val="00DB36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316">
    <w:name w:val="xl316"/>
    <w:basedOn w:val="Normal"/>
    <w:rsid w:val="00DB3636"/>
    <w:pPr>
      <w:pBdr>
        <w:top w:val="single" w:sz="4" w:space="0" w:color="auto"/>
        <w:bottom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 w:type="paragraph" w:customStyle="1" w:styleId="xl317">
    <w:name w:val="xl317"/>
    <w:basedOn w:val="Normal"/>
    <w:rsid w:val="00DB36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Calibri"/>
      <w:sz w:val="16"/>
      <w:szCs w:val="16"/>
      <w:lang w:val="sr-Latn-CS" w:eastAsia="sr-Latn-CS"/>
    </w:rPr>
  </w:style>
</w:styles>
</file>

<file path=word/webSettings.xml><?xml version="1.0" encoding="utf-8"?>
<w:webSettings xmlns:r="http://schemas.openxmlformats.org/officeDocument/2006/relationships" xmlns:w="http://schemas.openxmlformats.org/wordprocessingml/2006/main">
  <w:divs>
    <w:div w:id="108866218">
      <w:bodyDiv w:val="1"/>
      <w:marLeft w:val="0"/>
      <w:marRight w:val="0"/>
      <w:marTop w:val="0"/>
      <w:marBottom w:val="0"/>
      <w:divBdr>
        <w:top w:val="none" w:sz="0" w:space="0" w:color="auto"/>
        <w:left w:val="none" w:sz="0" w:space="0" w:color="auto"/>
        <w:bottom w:val="none" w:sz="0" w:space="0" w:color="auto"/>
        <w:right w:val="none" w:sz="0" w:space="0" w:color="auto"/>
      </w:divBdr>
    </w:div>
    <w:div w:id="117377437">
      <w:bodyDiv w:val="1"/>
      <w:marLeft w:val="0"/>
      <w:marRight w:val="0"/>
      <w:marTop w:val="0"/>
      <w:marBottom w:val="0"/>
      <w:divBdr>
        <w:top w:val="none" w:sz="0" w:space="0" w:color="auto"/>
        <w:left w:val="none" w:sz="0" w:space="0" w:color="auto"/>
        <w:bottom w:val="none" w:sz="0" w:space="0" w:color="auto"/>
        <w:right w:val="none" w:sz="0" w:space="0" w:color="auto"/>
      </w:divBdr>
    </w:div>
    <w:div w:id="188297644">
      <w:bodyDiv w:val="1"/>
      <w:marLeft w:val="0"/>
      <w:marRight w:val="0"/>
      <w:marTop w:val="0"/>
      <w:marBottom w:val="0"/>
      <w:divBdr>
        <w:top w:val="none" w:sz="0" w:space="0" w:color="auto"/>
        <w:left w:val="none" w:sz="0" w:space="0" w:color="auto"/>
        <w:bottom w:val="none" w:sz="0" w:space="0" w:color="auto"/>
        <w:right w:val="none" w:sz="0" w:space="0" w:color="auto"/>
      </w:divBdr>
    </w:div>
    <w:div w:id="321854402">
      <w:marLeft w:val="0"/>
      <w:marRight w:val="0"/>
      <w:marTop w:val="0"/>
      <w:marBottom w:val="0"/>
      <w:divBdr>
        <w:top w:val="none" w:sz="0" w:space="0" w:color="auto"/>
        <w:left w:val="none" w:sz="0" w:space="0" w:color="auto"/>
        <w:bottom w:val="none" w:sz="0" w:space="0" w:color="auto"/>
        <w:right w:val="none" w:sz="0" w:space="0" w:color="auto"/>
      </w:divBdr>
    </w:div>
    <w:div w:id="321854403">
      <w:marLeft w:val="0"/>
      <w:marRight w:val="0"/>
      <w:marTop w:val="0"/>
      <w:marBottom w:val="0"/>
      <w:divBdr>
        <w:top w:val="none" w:sz="0" w:space="0" w:color="auto"/>
        <w:left w:val="none" w:sz="0" w:space="0" w:color="auto"/>
        <w:bottom w:val="none" w:sz="0" w:space="0" w:color="auto"/>
        <w:right w:val="none" w:sz="0" w:space="0" w:color="auto"/>
      </w:divBdr>
    </w:div>
    <w:div w:id="321854404">
      <w:marLeft w:val="0"/>
      <w:marRight w:val="0"/>
      <w:marTop w:val="0"/>
      <w:marBottom w:val="0"/>
      <w:divBdr>
        <w:top w:val="none" w:sz="0" w:space="0" w:color="auto"/>
        <w:left w:val="none" w:sz="0" w:space="0" w:color="auto"/>
        <w:bottom w:val="none" w:sz="0" w:space="0" w:color="auto"/>
        <w:right w:val="none" w:sz="0" w:space="0" w:color="auto"/>
      </w:divBdr>
    </w:div>
    <w:div w:id="321854405">
      <w:marLeft w:val="0"/>
      <w:marRight w:val="0"/>
      <w:marTop w:val="0"/>
      <w:marBottom w:val="0"/>
      <w:divBdr>
        <w:top w:val="none" w:sz="0" w:space="0" w:color="auto"/>
        <w:left w:val="none" w:sz="0" w:space="0" w:color="auto"/>
        <w:bottom w:val="none" w:sz="0" w:space="0" w:color="auto"/>
        <w:right w:val="none" w:sz="0" w:space="0" w:color="auto"/>
      </w:divBdr>
    </w:div>
    <w:div w:id="321854406">
      <w:marLeft w:val="0"/>
      <w:marRight w:val="0"/>
      <w:marTop w:val="0"/>
      <w:marBottom w:val="0"/>
      <w:divBdr>
        <w:top w:val="none" w:sz="0" w:space="0" w:color="auto"/>
        <w:left w:val="none" w:sz="0" w:space="0" w:color="auto"/>
        <w:bottom w:val="none" w:sz="0" w:space="0" w:color="auto"/>
        <w:right w:val="none" w:sz="0" w:space="0" w:color="auto"/>
      </w:divBdr>
    </w:div>
    <w:div w:id="321854407">
      <w:marLeft w:val="0"/>
      <w:marRight w:val="0"/>
      <w:marTop w:val="0"/>
      <w:marBottom w:val="0"/>
      <w:divBdr>
        <w:top w:val="none" w:sz="0" w:space="0" w:color="auto"/>
        <w:left w:val="none" w:sz="0" w:space="0" w:color="auto"/>
        <w:bottom w:val="none" w:sz="0" w:space="0" w:color="auto"/>
        <w:right w:val="none" w:sz="0" w:space="0" w:color="auto"/>
      </w:divBdr>
    </w:div>
    <w:div w:id="321854408">
      <w:marLeft w:val="0"/>
      <w:marRight w:val="0"/>
      <w:marTop w:val="0"/>
      <w:marBottom w:val="0"/>
      <w:divBdr>
        <w:top w:val="none" w:sz="0" w:space="0" w:color="auto"/>
        <w:left w:val="none" w:sz="0" w:space="0" w:color="auto"/>
        <w:bottom w:val="none" w:sz="0" w:space="0" w:color="auto"/>
        <w:right w:val="none" w:sz="0" w:space="0" w:color="auto"/>
      </w:divBdr>
    </w:div>
    <w:div w:id="321854409">
      <w:marLeft w:val="0"/>
      <w:marRight w:val="0"/>
      <w:marTop w:val="0"/>
      <w:marBottom w:val="0"/>
      <w:divBdr>
        <w:top w:val="none" w:sz="0" w:space="0" w:color="auto"/>
        <w:left w:val="none" w:sz="0" w:space="0" w:color="auto"/>
        <w:bottom w:val="none" w:sz="0" w:space="0" w:color="auto"/>
        <w:right w:val="none" w:sz="0" w:space="0" w:color="auto"/>
      </w:divBdr>
    </w:div>
    <w:div w:id="321854410">
      <w:marLeft w:val="0"/>
      <w:marRight w:val="0"/>
      <w:marTop w:val="0"/>
      <w:marBottom w:val="0"/>
      <w:divBdr>
        <w:top w:val="none" w:sz="0" w:space="0" w:color="auto"/>
        <w:left w:val="none" w:sz="0" w:space="0" w:color="auto"/>
        <w:bottom w:val="none" w:sz="0" w:space="0" w:color="auto"/>
        <w:right w:val="none" w:sz="0" w:space="0" w:color="auto"/>
      </w:divBdr>
    </w:div>
    <w:div w:id="321854411">
      <w:marLeft w:val="0"/>
      <w:marRight w:val="0"/>
      <w:marTop w:val="0"/>
      <w:marBottom w:val="0"/>
      <w:divBdr>
        <w:top w:val="none" w:sz="0" w:space="0" w:color="auto"/>
        <w:left w:val="none" w:sz="0" w:space="0" w:color="auto"/>
        <w:bottom w:val="none" w:sz="0" w:space="0" w:color="auto"/>
        <w:right w:val="none" w:sz="0" w:space="0" w:color="auto"/>
      </w:divBdr>
    </w:div>
    <w:div w:id="321854412">
      <w:marLeft w:val="0"/>
      <w:marRight w:val="0"/>
      <w:marTop w:val="0"/>
      <w:marBottom w:val="0"/>
      <w:divBdr>
        <w:top w:val="none" w:sz="0" w:space="0" w:color="auto"/>
        <w:left w:val="none" w:sz="0" w:space="0" w:color="auto"/>
        <w:bottom w:val="none" w:sz="0" w:space="0" w:color="auto"/>
        <w:right w:val="none" w:sz="0" w:space="0" w:color="auto"/>
      </w:divBdr>
    </w:div>
    <w:div w:id="321854413">
      <w:marLeft w:val="0"/>
      <w:marRight w:val="0"/>
      <w:marTop w:val="0"/>
      <w:marBottom w:val="0"/>
      <w:divBdr>
        <w:top w:val="none" w:sz="0" w:space="0" w:color="auto"/>
        <w:left w:val="none" w:sz="0" w:space="0" w:color="auto"/>
        <w:bottom w:val="none" w:sz="0" w:space="0" w:color="auto"/>
        <w:right w:val="none" w:sz="0" w:space="0" w:color="auto"/>
      </w:divBdr>
    </w:div>
    <w:div w:id="321854414">
      <w:marLeft w:val="0"/>
      <w:marRight w:val="0"/>
      <w:marTop w:val="0"/>
      <w:marBottom w:val="0"/>
      <w:divBdr>
        <w:top w:val="none" w:sz="0" w:space="0" w:color="auto"/>
        <w:left w:val="none" w:sz="0" w:space="0" w:color="auto"/>
        <w:bottom w:val="none" w:sz="0" w:space="0" w:color="auto"/>
        <w:right w:val="none" w:sz="0" w:space="0" w:color="auto"/>
      </w:divBdr>
    </w:div>
    <w:div w:id="321854415">
      <w:marLeft w:val="0"/>
      <w:marRight w:val="0"/>
      <w:marTop w:val="0"/>
      <w:marBottom w:val="0"/>
      <w:divBdr>
        <w:top w:val="none" w:sz="0" w:space="0" w:color="auto"/>
        <w:left w:val="none" w:sz="0" w:space="0" w:color="auto"/>
        <w:bottom w:val="none" w:sz="0" w:space="0" w:color="auto"/>
        <w:right w:val="none" w:sz="0" w:space="0" w:color="auto"/>
      </w:divBdr>
    </w:div>
    <w:div w:id="321854416">
      <w:marLeft w:val="0"/>
      <w:marRight w:val="0"/>
      <w:marTop w:val="0"/>
      <w:marBottom w:val="0"/>
      <w:divBdr>
        <w:top w:val="none" w:sz="0" w:space="0" w:color="auto"/>
        <w:left w:val="none" w:sz="0" w:space="0" w:color="auto"/>
        <w:bottom w:val="none" w:sz="0" w:space="0" w:color="auto"/>
        <w:right w:val="none" w:sz="0" w:space="0" w:color="auto"/>
      </w:divBdr>
    </w:div>
    <w:div w:id="321854417">
      <w:marLeft w:val="0"/>
      <w:marRight w:val="0"/>
      <w:marTop w:val="0"/>
      <w:marBottom w:val="0"/>
      <w:divBdr>
        <w:top w:val="none" w:sz="0" w:space="0" w:color="auto"/>
        <w:left w:val="none" w:sz="0" w:space="0" w:color="auto"/>
        <w:bottom w:val="none" w:sz="0" w:space="0" w:color="auto"/>
        <w:right w:val="none" w:sz="0" w:space="0" w:color="auto"/>
      </w:divBdr>
    </w:div>
    <w:div w:id="321854418">
      <w:marLeft w:val="0"/>
      <w:marRight w:val="0"/>
      <w:marTop w:val="0"/>
      <w:marBottom w:val="0"/>
      <w:divBdr>
        <w:top w:val="none" w:sz="0" w:space="0" w:color="auto"/>
        <w:left w:val="none" w:sz="0" w:space="0" w:color="auto"/>
        <w:bottom w:val="none" w:sz="0" w:space="0" w:color="auto"/>
        <w:right w:val="none" w:sz="0" w:space="0" w:color="auto"/>
      </w:divBdr>
    </w:div>
    <w:div w:id="321854419">
      <w:marLeft w:val="0"/>
      <w:marRight w:val="0"/>
      <w:marTop w:val="0"/>
      <w:marBottom w:val="0"/>
      <w:divBdr>
        <w:top w:val="none" w:sz="0" w:space="0" w:color="auto"/>
        <w:left w:val="none" w:sz="0" w:space="0" w:color="auto"/>
        <w:bottom w:val="none" w:sz="0" w:space="0" w:color="auto"/>
        <w:right w:val="none" w:sz="0" w:space="0" w:color="auto"/>
      </w:divBdr>
    </w:div>
    <w:div w:id="321854420">
      <w:marLeft w:val="0"/>
      <w:marRight w:val="0"/>
      <w:marTop w:val="0"/>
      <w:marBottom w:val="0"/>
      <w:divBdr>
        <w:top w:val="none" w:sz="0" w:space="0" w:color="auto"/>
        <w:left w:val="none" w:sz="0" w:space="0" w:color="auto"/>
        <w:bottom w:val="none" w:sz="0" w:space="0" w:color="auto"/>
        <w:right w:val="none" w:sz="0" w:space="0" w:color="auto"/>
      </w:divBdr>
    </w:div>
    <w:div w:id="321854421">
      <w:marLeft w:val="0"/>
      <w:marRight w:val="0"/>
      <w:marTop w:val="0"/>
      <w:marBottom w:val="0"/>
      <w:divBdr>
        <w:top w:val="none" w:sz="0" w:space="0" w:color="auto"/>
        <w:left w:val="none" w:sz="0" w:space="0" w:color="auto"/>
        <w:bottom w:val="none" w:sz="0" w:space="0" w:color="auto"/>
        <w:right w:val="none" w:sz="0" w:space="0" w:color="auto"/>
      </w:divBdr>
    </w:div>
    <w:div w:id="321854422">
      <w:marLeft w:val="0"/>
      <w:marRight w:val="0"/>
      <w:marTop w:val="0"/>
      <w:marBottom w:val="0"/>
      <w:divBdr>
        <w:top w:val="none" w:sz="0" w:space="0" w:color="auto"/>
        <w:left w:val="none" w:sz="0" w:space="0" w:color="auto"/>
        <w:bottom w:val="none" w:sz="0" w:space="0" w:color="auto"/>
        <w:right w:val="none" w:sz="0" w:space="0" w:color="auto"/>
      </w:divBdr>
    </w:div>
    <w:div w:id="321854423">
      <w:marLeft w:val="0"/>
      <w:marRight w:val="0"/>
      <w:marTop w:val="0"/>
      <w:marBottom w:val="0"/>
      <w:divBdr>
        <w:top w:val="none" w:sz="0" w:space="0" w:color="auto"/>
        <w:left w:val="none" w:sz="0" w:space="0" w:color="auto"/>
        <w:bottom w:val="none" w:sz="0" w:space="0" w:color="auto"/>
        <w:right w:val="none" w:sz="0" w:space="0" w:color="auto"/>
      </w:divBdr>
    </w:div>
    <w:div w:id="321854424">
      <w:marLeft w:val="0"/>
      <w:marRight w:val="0"/>
      <w:marTop w:val="0"/>
      <w:marBottom w:val="0"/>
      <w:divBdr>
        <w:top w:val="none" w:sz="0" w:space="0" w:color="auto"/>
        <w:left w:val="none" w:sz="0" w:space="0" w:color="auto"/>
        <w:bottom w:val="none" w:sz="0" w:space="0" w:color="auto"/>
        <w:right w:val="none" w:sz="0" w:space="0" w:color="auto"/>
      </w:divBdr>
    </w:div>
    <w:div w:id="321854425">
      <w:marLeft w:val="0"/>
      <w:marRight w:val="0"/>
      <w:marTop w:val="0"/>
      <w:marBottom w:val="0"/>
      <w:divBdr>
        <w:top w:val="none" w:sz="0" w:space="0" w:color="auto"/>
        <w:left w:val="none" w:sz="0" w:space="0" w:color="auto"/>
        <w:bottom w:val="none" w:sz="0" w:space="0" w:color="auto"/>
        <w:right w:val="none" w:sz="0" w:space="0" w:color="auto"/>
      </w:divBdr>
    </w:div>
    <w:div w:id="321854426">
      <w:marLeft w:val="0"/>
      <w:marRight w:val="0"/>
      <w:marTop w:val="0"/>
      <w:marBottom w:val="0"/>
      <w:divBdr>
        <w:top w:val="none" w:sz="0" w:space="0" w:color="auto"/>
        <w:left w:val="none" w:sz="0" w:space="0" w:color="auto"/>
        <w:bottom w:val="none" w:sz="0" w:space="0" w:color="auto"/>
        <w:right w:val="none" w:sz="0" w:space="0" w:color="auto"/>
      </w:divBdr>
    </w:div>
    <w:div w:id="321854427">
      <w:marLeft w:val="0"/>
      <w:marRight w:val="0"/>
      <w:marTop w:val="0"/>
      <w:marBottom w:val="0"/>
      <w:divBdr>
        <w:top w:val="none" w:sz="0" w:space="0" w:color="auto"/>
        <w:left w:val="none" w:sz="0" w:space="0" w:color="auto"/>
        <w:bottom w:val="none" w:sz="0" w:space="0" w:color="auto"/>
        <w:right w:val="none" w:sz="0" w:space="0" w:color="auto"/>
      </w:divBdr>
    </w:div>
    <w:div w:id="321854428">
      <w:marLeft w:val="0"/>
      <w:marRight w:val="0"/>
      <w:marTop w:val="0"/>
      <w:marBottom w:val="0"/>
      <w:divBdr>
        <w:top w:val="none" w:sz="0" w:space="0" w:color="auto"/>
        <w:left w:val="none" w:sz="0" w:space="0" w:color="auto"/>
        <w:bottom w:val="none" w:sz="0" w:space="0" w:color="auto"/>
        <w:right w:val="none" w:sz="0" w:space="0" w:color="auto"/>
      </w:divBdr>
    </w:div>
    <w:div w:id="321854429">
      <w:marLeft w:val="0"/>
      <w:marRight w:val="0"/>
      <w:marTop w:val="0"/>
      <w:marBottom w:val="0"/>
      <w:divBdr>
        <w:top w:val="none" w:sz="0" w:space="0" w:color="auto"/>
        <w:left w:val="none" w:sz="0" w:space="0" w:color="auto"/>
        <w:bottom w:val="none" w:sz="0" w:space="0" w:color="auto"/>
        <w:right w:val="none" w:sz="0" w:space="0" w:color="auto"/>
      </w:divBdr>
    </w:div>
    <w:div w:id="321854430">
      <w:marLeft w:val="0"/>
      <w:marRight w:val="0"/>
      <w:marTop w:val="0"/>
      <w:marBottom w:val="0"/>
      <w:divBdr>
        <w:top w:val="none" w:sz="0" w:space="0" w:color="auto"/>
        <w:left w:val="none" w:sz="0" w:space="0" w:color="auto"/>
        <w:bottom w:val="none" w:sz="0" w:space="0" w:color="auto"/>
        <w:right w:val="none" w:sz="0" w:space="0" w:color="auto"/>
      </w:divBdr>
    </w:div>
    <w:div w:id="321854431">
      <w:marLeft w:val="0"/>
      <w:marRight w:val="0"/>
      <w:marTop w:val="0"/>
      <w:marBottom w:val="0"/>
      <w:divBdr>
        <w:top w:val="none" w:sz="0" w:space="0" w:color="auto"/>
        <w:left w:val="none" w:sz="0" w:space="0" w:color="auto"/>
        <w:bottom w:val="none" w:sz="0" w:space="0" w:color="auto"/>
        <w:right w:val="none" w:sz="0" w:space="0" w:color="auto"/>
      </w:divBdr>
    </w:div>
    <w:div w:id="321854432">
      <w:marLeft w:val="0"/>
      <w:marRight w:val="0"/>
      <w:marTop w:val="0"/>
      <w:marBottom w:val="0"/>
      <w:divBdr>
        <w:top w:val="none" w:sz="0" w:space="0" w:color="auto"/>
        <w:left w:val="none" w:sz="0" w:space="0" w:color="auto"/>
        <w:bottom w:val="none" w:sz="0" w:space="0" w:color="auto"/>
        <w:right w:val="none" w:sz="0" w:space="0" w:color="auto"/>
      </w:divBdr>
    </w:div>
    <w:div w:id="321854433">
      <w:marLeft w:val="0"/>
      <w:marRight w:val="0"/>
      <w:marTop w:val="0"/>
      <w:marBottom w:val="0"/>
      <w:divBdr>
        <w:top w:val="none" w:sz="0" w:space="0" w:color="auto"/>
        <w:left w:val="none" w:sz="0" w:space="0" w:color="auto"/>
        <w:bottom w:val="none" w:sz="0" w:space="0" w:color="auto"/>
        <w:right w:val="none" w:sz="0" w:space="0" w:color="auto"/>
      </w:divBdr>
    </w:div>
    <w:div w:id="321854434">
      <w:marLeft w:val="0"/>
      <w:marRight w:val="0"/>
      <w:marTop w:val="0"/>
      <w:marBottom w:val="0"/>
      <w:divBdr>
        <w:top w:val="none" w:sz="0" w:space="0" w:color="auto"/>
        <w:left w:val="none" w:sz="0" w:space="0" w:color="auto"/>
        <w:bottom w:val="none" w:sz="0" w:space="0" w:color="auto"/>
        <w:right w:val="none" w:sz="0" w:space="0" w:color="auto"/>
      </w:divBdr>
    </w:div>
    <w:div w:id="321854435">
      <w:marLeft w:val="0"/>
      <w:marRight w:val="0"/>
      <w:marTop w:val="0"/>
      <w:marBottom w:val="0"/>
      <w:divBdr>
        <w:top w:val="none" w:sz="0" w:space="0" w:color="auto"/>
        <w:left w:val="none" w:sz="0" w:space="0" w:color="auto"/>
        <w:bottom w:val="none" w:sz="0" w:space="0" w:color="auto"/>
        <w:right w:val="none" w:sz="0" w:space="0" w:color="auto"/>
      </w:divBdr>
    </w:div>
    <w:div w:id="321854436">
      <w:marLeft w:val="0"/>
      <w:marRight w:val="0"/>
      <w:marTop w:val="0"/>
      <w:marBottom w:val="0"/>
      <w:divBdr>
        <w:top w:val="none" w:sz="0" w:space="0" w:color="auto"/>
        <w:left w:val="none" w:sz="0" w:space="0" w:color="auto"/>
        <w:bottom w:val="none" w:sz="0" w:space="0" w:color="auto"/>
        <w:right w:val="none" w:sz="0" w:space="0" w:color="auto"/>
      </w:divBdr>
    </w:div>
    <w:div w:id="321854437">
      <w:marLeft w:val="0"/>
      <w:marRight w:val="0"/>
      <w:marTop w:val="0"/>
      <w:marBottom w:val="0"/>
      <w:divBdr>
        <w:top w:val="none" w:sz="0" w:space="0" w:color="auto"/>
        <w:left w:val="none" w:sz="0" w:space="0" w:color="auto"/>
        <w:bottom w:val="none" w:sz="0" w:space="0" w:color="auto"/>
        <w:right w:val="none" w:sz="0" w:space="0" w:color="auto"/>
      </w:divBdr>
    </w:div>
    <w:div w:id="321854438">
      <w:marLeft w:val="0"/>
      <w:marRight w:val="0"/>
      <w:marTop w:val="0"/>
      <w:marBottom w:val="0"/>
      <w:divBdr>
        <w:top w:val="none" w:sz="0" w:space="0" w:color="auto"/>
        <w:left w:val="none" w:sz="0" w:space="0" w:color="auto"/>
        <w:bottom w:val="none" w:sz="0" w:space="0" w:color="auto"/>
        <w:right w:val="none" w:sz="0" w:space="0" w:color="auto"/>
      </w:divBdr>
    </w:div>
    <w:div w:id="321854439">
      <w:marLeft w:val="0"/>
      <w:marRight w:val="0"/>
      <w:marTop w:val="0"/>
      <w:marBottom w:val="0"/>
      <w:divBdr>
        <w:top w:val="none" w:sz="0" w:space="0" w:color="auto"/>
        <w:left w:val="none" w:sz="0" w:space="0" w:color="auto"/>
        <w:bottom w:val="none" w:sz="0" w:space="0" w:color="auto"/>
        <w:right w:val="none" w:sz="0" w:space="0" w:color="auto"/>
      </w:divBdr>
    </w:div>
    <w:div w:id="321854440">
      <w:marLeft w:val="0"/>
      <w:marRight w:val="0"/>
      <w:marTop w:val="0"/>
      <w:marBottom w:val="0"/>
      <w:divBdr>
        <w:top w:val="none" w:sz="0" w:space="0" w:color="auto"/>
        <w:left w:val="none" w:sz="0" w:space="0" w:color="auto"/>
        <w:bottom w:val="none" w:sz="0" w:space="0" w:color="auto"/>
        <w:right w:val="none" w:sz="0" w:space="0" w:color="auto"/>
      </w:divBdr>
    </w:div>
    <w:div w:id="321854441">
      <w:marLeft w:val="0"/>
      <w:marRight w:val="0"/>
      <w:marTop w:val="0"/>
      <w:marBottom w:val="0"/>
      <w:divBdr>
        <w:top w:val="none" w:sz="0" w:space="0" w:color="auto"/>
        <w:left w:val="none" w:sz="0" w:space="0" w:color="auto"/>
        <w:bottom w:val="none" w:sz="0" w:space="0" w:color="auto"/>
        <w:right w:val="none" w:sz="0" w:space="0" w:color="auto"/>
      </w:divBdr>
    </w:div>
    <w:div w:id="321854442">
      <w:marLeft w:val="0"/>
      <w:marRight w:val="0"/>
      <w:marTop w:val="0"/>
      <w:marBottom w:val="0"/>
      <w:divBdr>
        <w:top w:val="none" w:sz="0" w:space="0" w:color="auto"/>
        <w:left w:val="none" w:sz="0" w:space="0" w:color="auto"/>
        <w:bottom w:val="none" w:sz="0" w:space="0" w:color="auto"/>
        <w:right w:val="none" w:sz="0" w:space="0" w:color="auto"/>
      </w:divBdr>
    </w:div>
    <w:div w:id="321854443">
      <w:marLeft w:val="0"/>
      <w:marRight w:val="0"/>
      <w:marTop w:val="0"/>
      <w:marBottom w:val="0"/>
      <w:divBdr>
        <w:top w:val="none" w:sz="0" w:space="0" w:color="auto"/>
        <w:left w:val="none" w:sz="0" w:space="0" w:color="auto"/>
        <w:bottom w:val="none" w:sz="0" w:space="0" w:color="auto"/>
        <w:right w:val="none" w:sz="0" w:space="0" w:color="auto"/>
      </w:divBdr>
    </w:div>
    <w:div w:id="321854444">
      <w:marLeft w:val="0"/>
      <w:marRight w:val="0"/>
      <w:marTop w:val="0"/>
      <w:marBottom w:val="0"/>
      <w:divBdr>
        <w:top w:val="none" w:sz="0" w:space="0" w:color="auto"/>
        <w:left w:val="none" w:sz="0" w:space="0" w:color="auto"/>
        <w:bottom w:val="none" w:sz="0" w:space="0" w:color="auto"/>
        <w:right w:val="none" w:sz="0" w:space="0" w:color="auto"/>
      </w:divBdr>
    </w:div>
    <w:div w:id="321854445">
      <w:marLeft w:val="0"/>
      <w:marRight w:val="0"/>
      <w:marTop w:val="0"/>
      <w:marBottom w:val="0"/>
      <w:divBdr>
        <w:top w:val="none" w:sz="0" w:space="0" w:color="auto"/>
        <w:left w:val="none" w:sz="0" w:space="0" w:color="auto"/>
        <w:bottom w:val="none" w:sz="0" w:space="0" w:color="auto"/>
        <w:right w:val="none" w:sz="0" w:space="0" w:color="auto"/>
      </w:divBdr>
    </w:div>
    <w:div w:id="321854446">
      <w:marLeft w:val="0"/>
      <w:marRight w:val="0"/>
      <w:marTop w:val="0"/>
      <w:marBottom w:val="0"/>
      <w:divBdr>
        <w:top w:val="none" w:sz="0" w:space="0" w:color="auto"/>
        <w:left w:val="none" w:sz="0" w:space="0" w:color="auto"/>
        <w:bottom w:val="none" w:sz="0" w:space="0" w:color="auto"/>
        <w:right w:val="none" w:sz="0" w:space="0" w:color="auto"/>
      </w:divBdr>
    </w:div>
    <w:div w:id="321854447">
      <w:marLeft w:val="0"/>
      <w:marRight w:val="0"/>
      <w:marTop w:val="0"/>
      <w:marBottom w:val="0"/>
      <w:divBdr>
        <w:top w:val="none" w:sz="0" w:space="0" w:color="auto"/>
        <w:left w:val="none" w:sz="0" w:space="0" w:color="auto"/>
        <w:bottom w:val="none" w:sz="0" w:space="0" w:color="auto"/>
        <w:right w:val="none" w:sz="0" w:space="0" w:color="auto"/>
      </w:divBdr>
    </w:div>
    <w:div w:id="321854448">
      <w:marLeft w:val="0"/>
      <w:marRight w:val="0"/>
      <w:marTop w:val="0"/>
      <w:marBottom w:val="0"/>
      <w:divBdr>
        <w:top w:val="none" w:sz="0" w:space="0" w:color="auto"/>
        <w:left w:val="none" w:sz="0" w:space="0" w:color="auto"/>
        <w:bottom w:val="none" w:sz="0" w:space="0" w:color="auto"/>
        <w:right w:val="none" w:sz="0" w:space="0" w:color="auto"/>
      </w:divBdr>
    </w:div>
    <w:div w:id="321854449">
      <w:marLeft w:val="0"/>
      <w:marRight w:val="0"/>
      <w:marTop w:val="0"/>
      <w:marBottom w:val="0"/>
      <w:divBdr>
        <w:top w:val="none" w:sz="0" w:space="0" w:color="auto"/>
        <w:left w:val="none" w:sz="0" w:space="0" w:color="auto"/>
        <w:bottom w:val="none" w:sz="0" w:space="0" w:color="auto"/>
        <w:right w:val="none" w:sz="0" w:space="0" w:color="auto"/>
      </w:divBdr>
    </w:div>
    <w:div w:id="321854450">
      <w:marLeft w:val="0"/>
      <w:marRight w:val="0"/>
      <w:marTop w:val="0"/>
      <w:marBottom w:val="0"/>
      <w:divBdr>
        <w:top w:val="none" w:sz="0" w:space="0" w:color="auto"/>
        <w:left w:val="none" w:sz="0" w:space="0" w:color="auto"/>
        <w:bottom w:val="none" w:sz="0" w:space="0" w:color="auto"/>
        <w:right w:val="none" w:sz="0" w:space="0" w:color="auto"/>
      </w:divBdr>
    </w:div>
    <w:div w:id="321854451">
      <w:marLeft w:val="0"/>
      <w:marRight w:val="0"/>
      <w:marTop w:val="0"/>
      <w:marBottom w:val="0"/>
      <w:divBdr>
        <w:top w:val="none" w:sz="0" w:space="0" w:color="auto"/>
        <w:left w:val="none" w:sz="0" w:space="0" w:color="auto"/>
        <w:bottom w:val="none" w:sz="0" w:space="0" w:color="auto"/>
        <w:right w:val="none" w:sz="0" w:space="0" w:color="auto"/>
      </w:divBdr>
    </w:div>
    <w:div w:id="322854102">
      <w:bodyDiv w:val="1"/>
      <w:marLeft w:val="0"/>
      <w:marRight w:val="0"/>
      <w:marTop w:val="0"/>
      <w:marBottom w:val="0"/>
      <w:divBdr>
        <w:top w:val="none" w:sz="0" w:space="0" w:color="auto"/>
        <w:left w:val="none" w:sz="0" w:space="0" w:color="auto"/>
        <w:bottom w:val="none" w:sz="0" w:space="0" w:color="auto"/>
        <w:right w:val="none" w:sz="0" w:space="0" w:color="auto"/>
      </w:divBdr>
    </w:div>
    <w:div w:id="349601414">
      <w:bodyDiv w:val="1"/>
      <w:marLeft w:val="0"/>
      <w:marRight w:val="0"/>
      <w:marTop w:val="0"/>
      <w:marBottom w:val="0"/>
      <w:divBdr>
        <w:top w:val="none" w:sz="0" w:space="0" w:color="auto"/>
        <w:left w:val="none" w:sz="0" w:space="0" w:color="auto"/>
        <w:bottom w:val="none" w:sz="0" w:space="0" w:color="auto"/>
        <w:right w:val="none" w:sz="0" w:space="0" w:color="auto"/>
      </w:divBdr>
    </w:div>
    <w:div w:id="364716213">
      <w:bodyDiv w:val="1"/>
      <w:marLeft w:val="0"/>
      <w:marRight w:val="0"/>
      <w:marTop w:val="0"/>
      <w:marBottom w:val="0"/>
      <w:divBdr>
        <w:top w:val="none" w:sz="0" w:space="0" w:color="auto"/>
        <w:left w:val="none" w:sz="0" w:space="0" w:color="auto"/>
        <w:bottom w:val="none" w:sz="0" w:space="0" w:color="auto"/>
        <w:right w:val="none" w:sz="0" w:space="0" w:color="auto"/>
      </w:divBdr>
    </w:div>
    <w:div w:id="440879565">
      <w:bodyDiv w:val="1"/>
      <w:marLeft w:val="0"/>
      <w:marRight w:val="0"/>
      <w:marTop w:val="0"/>
      <w:marBottom w:val="0"/>
      <w:divBdr>
        <w:top w:val="none" w:sz="0" w:space="0" w:color="auto"/>
        <w:left w:val="none" w:sz="0" w:space="0" w:color="auto"/>
        <w:bottom w:val="none" w:sz="0" w:space="0" w:color="auto"/>
        <w:right w:val="none" w:sz="0" w:space="0" w:color="auto"/>
      </w:divBdr>
    </w:div>
    <w:div w:id="550388602">
      <w:bodyDiv w:val="1"/>
      <w:marLeft w:val="0"/>
      <w:marRight w:val="0"/>
      <w:marTop w:val="0"/>
      <w:marBottom w:val="0"/>
      <w:divBdr>
        <w:top w:val="none" w:sz="0" w:space="0" w:color="auto"/>
        <w:left w:val="none" w:sz="0" w:space="0" w:color="auto"/>
        <w:bottom w:val="none" w:sz="0" w:space="0" w:color="auto"/>
        <w:right w:val="none" w:sz="0" w:space="0" w:color="auto"/>
      </w:divBdr>
    </w:div>
    <w:div w:id="657000656">
      <w:bodyDiv w:val="1"/>
      <w:marLeft w:val="0"/>
      <w:marRight w:val="0"/>
      <w:marTop w:val="0"/>
      <w:marBottom w:val="0"/>
      <w:divBdr>
        <w:top w:val="none" w:sz="0" w:space="0" w:color="auto"/>
        <w:left w:val="none" w:sz="0" w:space="0" w:color="auto"/>
        <w:bottom w:val="none" w:sz="0" w:space="0" w:color="auto"/>
        <w:right w:val="none" w:sz="0" w:space="0" w:color="auto"/>
      </w:divBdr>
    </w:div>
    <w:div w:id="763653680">
      <w:bodyDiv w:val="1"/>
      <w:marLeft w:val="0"/>
      <w:marRight w:val="0"/>
      <w:marTop w:val="0"/>
      <w:marBottom w:val="0"/>
      <w:divBdr>
        <w:top w:val="none" w:sz="0" w:space="0" w:color="auto"/>
        <w:left w:val="none" w:sz="0" w:space="0" w:color="auto"/>
        <w:bottom w:val="none" w:sz="0" w:space="0" w:color="auto"/>
        <w:right w:val="none" w:sz="0" w:space="0" w:color="auto"/>
      </w:divBdr>
    </w:div>
    <w:div w:id="770861279">
      <w:bodyDiv w:val="1"/>
      <w:marLeft w:val="0"/>
      <w:marRight w:val="0"/>
      <w:marTop w:val="0"/>
      <w:marBottom w:val="0"/>
      <w:divBdr>
        <w:top w:val="none" w:sz="0" w:space="0" w:color="auto"/>
        <w:left w:val="none" w:sz="0" w:space="0" w:color="auto"/>
        <w:bottom w:val="none" w:sz="0" w:space="0" w:color="auto"/>
        <w:right w:val="none" w:sz="0" w:space="0" w:color="auto"/>
      </w:divBdr>
    </w:div>
    <w:div w:id="804199146">
      <w:bodyDiv w:val="1"/>
      <w:marLeft w:val="0"/>
      <w:marRight w:val="0"/>
      <w:marTop w:val="0"/>
      <w:marBottom w:val="0"/>
      <w:divBdr>
        <w:top w:val="none" w:sz="0" w:space="0" w:color="auto"/>
        <w:left w:val="none" w:sz="0" w:space="0" w:color="auto"/>
        <w:bottom w:val="none" w:sz="0" w:space="0" w:color="auto"/>
        <w:right w:val="none" w:sz="0" w:space="0" w:color="auto"/>
      </w:divBdr>
    </w:div>
    <w:div w:id="818308637">
      <w:bodyDiv w:val="1"/>
      <w:marLeft w:val="0"/>
      <w:marRight w:val="0"/>
      <w:marTop w:val="0"/>
      <w:marBottom w:val="0"/>
      <w:divBdr>
        <w:top w:val="none" w:sz="0" w:space="0" w:color="auto"/>
        <w:left w:val="none" w:sz="0" w:space="0" w:color="auto"/>
        <w:bottom w:val="none" w:sz="0" w:space="0" w:color="auto"/>
        <w:right w:val="none" w:sz="0" w:space="0" w:color="auto"/>
      </w:divBdr>
    </w:div>
    <w:div w:id="939340022">
      <w:bodyDiv w:val="1"/>
      <w:marLeft w:val="0"/>
      <w:marRight w:val="0"/>
      <w:marTop w:val="0"/>
      <w:marBottom w:val="0"/>
      <w:divBdr>
        <w:top w:val="none" w:sz="0" w:space="0" w:color="auto"/>
        <w:left w:val="none" w:sz="0" w:space="0" w:color="auto"/>
        <w:bottom w:val="none" w:sz="0" w:space="0" w:color="auto"/>
        <w:right w:val="none" w:sz="0" w:space="0" w:color="auto"/>
      </w:divBdr>
      <w:divsChild>
        <w:div w:id="1978216549">
          <w:marLeft w:val="0"/>
          <w:marRight w:val="0"/>
          <w:marTop w:val="0"/>
          <w:marBottom w:val="0"/>
          <w:divBdr>
            <w:top w:val="none" w:sz="0" w:space="0" w:color="auto"/>
            <w:left w:val="none" w:sz="0" w:space="0" w:color="auto"/>
            <w:bottom w:val="none" w:sz="0" w:space="0" w:color="auto"/>
            <w:right w:val="none" w:sz="0" w:space="0" w:color="auto"/>
          </w:divBdr>
          <w:divsChild>
            <w:div w:id="1959796341">
              <w:marLeft w:val="0"/>
              <w:marRight w:val="0"/>
              <w:marTop w:val="0"/>
              <w:marBottom w:val="0"/>
              <w:divBdr>
                <w:top w:val="none" w:sz="0" w:space="0" w:color="auto"/>
                <w:left w:val="none" w:sz="0" w:space="0" w:color="auto"/>
                <w:bottom w:val="none" w:sz="0" w:space="0" w:color="auto"/>
                <w:right w:val="none" w:sz="0" w:space="0" w:color="auto"/>
              </w:divBdr>
              <w:divsChild>
                <w:div w:id="1032194949">
                  <w:marLeft w:val="0"/>
                  <w:marRight w:val="0"/>
                  <w:marTop w:val="0"/>
                  <w:marBottom w:val="0"/>
                  <w:divBdr>
                    <w:top w:val="none" w:sz="0" w:space="0" w:color="auto"/>
                    <w:left w:val="none" w:sz="0" w:space="0" w:color="auto"/>
                    <w:bottom w:val="none" w:sz="0" w:space="0" w:color="auto"/>
                    <w:right w:val="none" w:sz="0" w:space="0" w:color="auto"/>
                  </w:divBdr>
                  <w:divsChild>
                    <w:div w:id="710764129">
                      <w:marLeft w:val="0"/>
                      <w:marRight w:val="0"/>
                      <w:marTop w:val="0"/>
                      <w:marBottom w:val="0"/>
                      <w:divBdr>
                        <w:top w:val="none" w:sz="0" w:space="0" w:color="auto"/>
                        <w:left w:val="none" w:sz="0" w:space="0" w:color="auto"/>
                        <w:bottom w:val="none" w:sz="0" w:space="0" w:color="auto"/>
                        <w:right w:val="none" w:sz="0" w:space="0" w:color="auto"/>
                      </w:divBdr>
                      <w:divsChild>
                        <w:div w:id="488987315">
                          <w:marLeft w:val="0"/>
                          <w:marRight w:val="0"/>
                          <w:marTop w:val="0"/>
                          <w:marBottom w:val="0"/>
                          <w:divBdr>
                            <w:top w:val="none" w:sz="0" w:space="0" w:color="auto"/>
                            <w:left w:val="none" w:sz="0" w:space="0" w:color="auto"/>
                            <w:bottom w:val="none" w:sz="0" w:space="0" w:color="auto"/>
                            <w:right w:val="none" w:sz="0" w:space="0" w:color="auto"/>
                          </w:divBdr>
                          <w:divsChild>
                            <w:div w:id="1392191518">
                              <w:marLeft w:val="0"/>
                              <w:marRight w:val="0"/>
                              <w:marTop w:val="0"/>
                              <w:marBottom w:val="0"/>
                              <w:divBdr>
                                <w:top w:val="none" w:sz="0" w:space="0" w:color="auto"/>
                                <w:left w:val="none" w:sz="0" w:space="0" w:color="auto"/>
                                <w:bottom w:val="none" w:sz="0" w:space="0" w:color="auto"/>
                                <w:right w:val="none" w:sz="0" w:space="0" w:color="auto"/>
                              </w:divBdr>
                              <w:divsChild>
                                <w:div w:id="480191950">
                                  <w:marLeft w:val="0"/>
                                  <w:marRight w:val="0"/>
                                  <w:marTop w:val="0"/>
                                  <w:marBottom w:val="0"/>
                                  <w:divBdr>
                                    <w:top w:val="none" w:sz="0" w:space="0" w:color="auto"/>
                                    <w:left w:val="none" w:sz="0" w:space="0" w:color="auto"/>
                                    <w:bottom w:val="none" w:sz="0" w:space="0" w:color="auto"/>
                                    <w:right w:val="none" w:sz="0" w:space="0" w:color="auto"/>
                                  </w:divBdr>
                                  <w:divsChild>
                                    <w:div w:id="733238372">
                                      <w:marLeft w:val="40"/>
                                      <w:marRight w:val="0"/>
                                      <w:marTop w:val="0"/>
                                      <w:marBottom w:val="0"/>
                                      <w:divBdr>
                                        <w:top w:val="none" w:sz="0" w:space="0" w:color="auto"/>
                                        <w:left w:val="none" w:sz="0" w:space="0" w:color="auto"/>
                                        <w:bottom w:val="none" w:sz="0" w:space="0" w:color="auto"/>
                                        <w:right w:val="none" w:sz="0" w:space="0" w:color="auto"/>
                                      </w:divBdr>
                                      <w:divsChild>
                                        <w:div w:id="322665245">
                                          <w:marLeft w:val="0"/>
                                          <w:marRight w:val="0"/>
                                          <w:marTop w:val="0"/>
                                          <w:marBottom w:val="0"/>
                                          <w:divBdr>
                                            <w:top w:val="none" w:sz="0" w:space="0" w:color="auto"/>
                                            <w:left w:val="none" w:sz="0" w:space="0" w:color="auto"/>
                                            <w:bottom w:val="none" w:sz="0" w:space="0" w:color="auto"/>
                                            <w:right w:val="none" w:sz="0" w:space="0" w:color="auto"/>
                                          </w:divBdr>
                                          <w:divsChild>
                                            <w:div w:id="6360360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221403">
      <w:bodyDiv w:val="1"/>
      <w:marLeft w:val="0"/>
      <w:marRight w:val="0"/>
      <w:marTop w:val="0"/>
      <w:marBottom w:val="0"/>
      <w:divBdr>
        <w:top w:val="none" w:sz="0" w:space="0" w:color="auto"/>
        <w:left w:val="none" w:sz="0" w:space="0" w:color="auto"/>
        <w:bottom w:val="none" w:sz="0" w:space="0" w:color="auto"/>
        <w:right w:val="none" w:sz="0" w:space="0" w:color="auto"/>
      </w:divBdr>
    </w:div>
    <w:div w:id="1015572317">
      <w:bodyDiv w:val="1"/>
      <w:marLeft w:val="0"/>
      <w:marRight w:val="0"/>
      <w:marTop w:val="0"/>
      <w:marBottom w:val="0"/>
      <w:divBdr>
        <w:top w:val="none" w:sz="0" w:space="0" w:color="auto"/>
        <w:left w:val="none" w:sz="0" w:space="0" w:color="auto"/>
        <w:bottom w:val="none" w:sz="0" w:space="0" w:color="auto"/>
        <w:right w:val="none" w:sz="0" w:space="0" w:color="auto"/>
      </w:divBdr>
    </w:div>
    <w:div w:id="1263303201">
      <w:bodyDiv w:val="1"/>
      <w:marLeft w:val="0"/>
      <w:marRight w:val="0"/>
      <w:marTop w:val="0"/>
      <w:marBottom w:val="0"/>
      <w:divBdr>
        <w:top w:val="none" w:sz="0" w:space="0" w:color="auto"/>
        <w:left w:val="none" w:sz="0" w:space="0" w:color="auto"/>
        <w:bottom w:val="none" w:sz="0" w:space="0" w:color="auto"/>
        <w:right w:val="none" w:sz="0" w:space="0" w:color="auto"/>
      </w:divBdr>
    </w:div>
    <w:div w:id="1354916848">
      <w:bodyDiv w:val="1"/>
      <w:marLeft w:val="0"/>
      <w:marRight w:val="0"/>
      <w:marTop w:val="0"/>
      <w:marBottom w:val="0"/>
      <w:divBdr>
        <w:top w:val="none" w:sz="0" w:space="0" w:color="auto"/>
        <w:left w:val="none" w:sz="0" w:space="0" w:color="auto"/>
        <w:bottom w:val="none" w:sz="0" w:space="0" w:color="auto"/>
        <w:right w:val="none" w:sz="0" w:space="0" w:color="auto"/>
      </w:divBdr>
    </w:div>
    <w:div w:id="1409111388">
      <w:bodyDiv w:val="1"/>
      <w:marLeft w:val="0"/>
      <w:marRight w:val="0"/>
      <w:marTop w:val="0"/>
      <w:marBottom w:val="0"/>
      <w:divBdr>
        <w:top w:val="none" w:sz="0" w:space="0" w:color="auto"/>
        <w:left w:val="none" w:sz="0" w:space="0" w:color="auto"/>
        <w:bottom w:val="none" w:sz="0" w:space="0" w:color="auto"/>
        <w:right w:val="none" w:sz="0" w:space="0" w:color="auto"/>
      </w:divBdr>
    </w:div>
    <w:div w:id="1575310302">
      <w:bodyDiv w:val="1"/>
      <w:marLeft w:val="0"/>
      <w:marRight w:val="0"/>
      <w:marTop w:val="0"/>
      <w:marBottom w:val="0"/>
      <w:divBdr>
        <w:top w:val="none" w:sz="0" w:space="0" w:color="auto"/>
        <w:left w:val="none" w:sz="0" w:space="0" w:color="auto"/>
        <w:bottom w:val="none" w:sz="0" w:space="0" w:color="auto"/>
        <w:right w:val="none" w:sz="0" w:space="0" w:color="auto"/>
      </w:divBdr>
    </w:div>
    <w:div w:id="1609897800">
      <w:bodyDiv w:val="1"/>
      <w:marLeft w:val="0"/>
      <w:marRight w:val="0"/>
      <w:marTop w:val="0"/>
      <w:marBottom w:val="0"/>
      <w:divBdr>
        <w:top w:val="none" w:sz="0" w:space="0" w:color="auto"/>
        <w:left w:val="none" w:sz="0" w:space="0" w:color="auto"/>
        <w:bottom w:val="none" w:sz="0" w:space="0" w:color="auto"/>
        <w:right w:val="none" w:sz="0" w:space="0" w:color="auto"/>
      </w:divBdr>
    </w:div>
    <w:div w:id="1630472515">
      <w:bodyDiv w:val="1"/>
      <w:marLeft w:val="0"/>
      <w:marRight w:val="0"/>
      <w:marTop w:val="0"/>
      <w:marBottom w:val="0"/>
      <w:divBdr>
        <w:top w:val="none" w:sz="0" w:space="0" w:color="auto"/>
        <w:left w:val="none" w:sz="0" w:space="0" w:color="auto"/>
        <w:bottom w:val="none" w:sz="0" w:space="0" w:color="auto"/>
        <w:right w:val="none" w:sz="0" w:space="0" w:color="auto"/>
      </w:divBdr>
    </w:div>
    <w:div w:id="1745175154">
      <w:bodyDiv w:val="1"/>
      <w:marLeft w:val="0"/>
      <w:marRight w:val="0"/>
      <w:marTop w:val="0"/>
      <w:marBottom w:val="0"/>
      <w:divBdr>
        <w:top w:val="none" w:sz="0" w:space="0" w:color="auto"/>
        <w:left w:val="none" w:sz="0" w:space="0" w:color="auto"/>
        <w:bottom w:val="none" w:sz="0" w:space="0" w:color="auto"/>
        <w:right w:val="none" w:sz="0" w:space="0" w:color="auto"/>
      </w:divBdr>
    </w:div>
    <w:div w:id="1758863310">
      <w:bodyDiv w:val="1"/>
      <w:marLeft w:val="0"/>
      <w:marRight w:val="0"/>
      <w:marTop w:val="0"/>
      <w:marBottom w:val="0"/>
      <w:divBdr>
        <w:top w:val="none" w:sz="0" w:space="0" w:color="auto"/>
        <w:left w:val="none" w:sz="0" w:space="0" w:color="auto"/>
        <w:bottom w:val="none" w:sz="0" w:space="0" w:color="auto"/>
        <w:right w:val="none" w:sz="0" w:space="0" w:color="auto"/>
      </w:divBdr>
    </w:div>
    <w:div w:id="1834419016">
      <w:bodyDiv w:val="1"/>
      <w:marLeft w:val="0"/>
      <w:marRight w:val="0"/>
      <w:marTop w:val="0"/>
      <w:marBottom w:val="0"/>
      <w:divBdr>
        <w:top w:val="none" w:sz="0" w:space="0" w:color="auto"/>
        <w:left w:val="none" w:sz="0" w:space="0" w:color="auto"/>
        <w:bottom w:val="none" w:sz="0" w:space="0" w:color="auto"/>
        <w:right w:val="none" w:sz="0" w:space="0" w:color="auto"/>
      </w:divBdr>
    </w:div>
    <w:div w:id="1860006800">
      <w:bodyDiv w:val="1"/>
      <w:marLeft w:val="0"/>
      <w:marRight w:val="0"/>
      <w:marTop w:val="0"/>
      <w:marBottom w:val="0"/>
      <w:divBdr>
        <w:top w:val="none" w:sz="0" w:space="0" w:color="auto"/>
        <w:left w:val="none" w:sz="0" w:space="0" w:color="auto"/>
        <w:bottom w:val="none" w:sz="0" w:space="0" w:color="auto"/>
        <w:right w:val="none" w:sz="0" w:space="0" w:color="auto"/>
      </w:divBdr>
    </w:div>
    <w:div w:id="1870558896">
      <w:bodyDiv w:val="1"/>
      <w:marLeft w:val="0"/>
      <w:marRight w:val="0"/>
      <w:marTop w:val="0"/>
      <w:marBottom w:val="0"/>
      <w:divBdr>
        <w:top w:val="none" w:sz="0" w:space="0" w:color="auto"/>
        <w:left w:val="none" w:sz="0" w:space="0" w:color="auto"/>
        <w:bottom w:val="none" w:sz="0" w:space="0" w:color="auto"/>
        <w:right w:val="none" w:sz="0" w:space="0" w:color="auto"/>
      </w:divBdr>
    </w:div>
    <w:div w:id="2006778685">
      <w:bodyDiv w:val="1"/>
      <w:marLeft w:val="0"/>
      <w:marRight w:val="0"/>
      <w:marTop w:val="0"/>
      <w:marBottom w:val="0"/>
      <w:divBdr>
        <w:top w:val="none" w:sz="0" w:space="0" w:color="auto"/>
        <w:left w:val="none" w:sz="0" w:space="0" w:color="auto"/>
        <w:bottom w:val="none" w:sz="0" w:space="0" w:color="auto"/>
        <w:right w:val="none" w:sz="0" w:space="0" w:color="auto"/>
      </w:divBdr>
    </w:div>
    <w:div w:id="2019498786">
      <w:bodyDiv w:val="1"/>
      <w:marLeft w:val="0"/>
      <w:marRight w:val="0"/>
      <w:marTop w:val="0"/>
      <w:marBottom w:val="0"/>
      <w:divBdr>
        <w:top w:val="none" w:sz="0" w:space="0" w:color="auto"/>
        <w:left w:val="none" w:sz="0" w:space="0" w:color="auto"/>
        <w:bottom w:val="none" w:sz="0" w:space="0" w:color="auto"/>
        <w:right w:val="none" w:sz="0" w:space="0" w:color="auto"/>
      </w:divBdr>
    </w:div>
    <w:div w:id="20701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radovan.zivkovic\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Documents%20and%20Settings\radojka.martinovic\Desktop\mmi_sirovi%20podaci_2013%20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Documents%20and%20Settings\radojka.martinovic\Desktop\mmi_sirovi%20podaci_2013%200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olja.tomanovic\Desktop\mmi-2014_0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tanko.jeknic\Desktop\Dropbox\MINISTARSTVO%20FINANSIJA%20(1)\SEP\02_MMI\MMI%202014\MMI_2014_05\mmi-2014_05.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arija.novosel\Desktop\mmi-2014_0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zdenka.dabovic\Desktop\Copy%20of%20SDI%20stubic%202013%20-%20%20mart%202014%20%20godin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sr-Latn-CS"/>
            </a:pPr>
            <a:r>
              <a:rPr lang="sr-Latn-CS" sz="1000"/>
              <a:t>HICP</a:t>
            </a:r>
            <a:endParaRPr lang="sr-Latn-CS"/>
          </a:p>
        </c:rich>
      </c:tx>
      <c:layout>
        <c:manualLayout>
          <c:xMode val="edge"/>
          <c:yMode val="edge"/>
          <c:x val="0.47358105030259645"/>
          <c:y val="2.9325513196480937E-2"/>
        </c:manualLayout>
      </c:layout>
      <c:overlay val="1"/>
    </c:title>
    <c:plotArea>
      <c:layout>
        <c:manualLayout>
          <c:layoutTarget val="inner"/>
          <c:xMode val="edge"/>
          <c:yMode val="edge"/>
          <c:x val="0.16645539142318"/>
          <c:y val="9.9706744868035213E-2"/>
          <c:w val="0.77293854797075967"/>
          <c:h val="0.71809407255178492"/>
        </c:manualLayout>
      </c:layout>
      <c:lineChart>
        <c:grouping val="standard"/>
        <c:ser>
          <c:idx val="0"/>
          <c:order val="0"/>
          <c:marker>
            <c:symbol val="none"/>
          </c:marker>
          <c:cat>
            <c:strRef>
              <c:f>Sheet1!$B$4:$R$4</c:f>
              <c:strCache>
                <c:ptCount val="17"/>
                <c:pt idx="0">
                  <c:v>2013</c:v>
                </c:pt>
                <c:pt idx="1">
                  <c:v>II</c:v>
                </c:pt>
                <c:pt idx="2">
                  <c:v>III</c:v>
                </c:pt>
                <c:pt idx="3">
                  <c:v>IV</c:v>
                </c:pt>
                <c:pt idx="4">
                  <c:v>V</c:v>
                </c:pt>
                <c:pt idx="5">
                  <c:v>VI</c:v>
                </c:pt>
                <c:pt idx="6">
                  <c:v>VII</c:v>
                </c:pt>
                <c:pt idx="7">
                  <c:v>VIII</c:v>
                </c:pt>
                <c:pt idx="8">
                  <c:v>IX</c:v>
                </c:pt>
                <c:pt idx="9">
                  <c:v>X</c:v>
                </c:pt>
                <c:pt idx="10">
                  <c:v>XI</c:v>
                </c:pt>
                <c:pt idx="11">
                  <c:v>XII</c:v>
                </c:pt>
                <c:pt idx="12">
                  <c:v>2014</c:v>
                </c:pt>
                <c:pt idx="13">
                  <c:v>II</c:v>
                </c:pt>
                <c:pt idx="14">
                  <c:v>III</c:v>
                </c:pt>
                <c:pt idx="15">
                  <c:v>IV</c:v>
                </c:pt>
                <c:pt idx="16">
                  <c:v>V</c:v>
                </c:pt>
              </c:strCache>
            </c:strRef>
          </c:cat>
          <c:val>
            <c:numRef>
              <c:f>Sheet1!$B$5:$R$5</c:f>
              <c:numCache>
                <c:formatCode>General</c:formatCode>
                <c:ptCount val="17"/>
                <c:pt idx="0">
                  <c:v>2</c:v>
                </c:pt>
                <c:pt idx="1">
                  <c:v>1.8</c:v>
                </c:pt>
                <c:pt idx="2">
                  <c:v>1.7000000000000011</c:v>
                </c:pt>
                <c:pt idx="3">
                  <c:v>1.2</c:v>
                </c:pt>
                <c:pt idx="4">
                  <c:v>1.4</c:v>
                </c:pt>
                <c:pt idx="5">
                  <c:v>1.6</c:v>
                </c:pt>
                <c:pt idx="6">
                  <c:v>1.6</c:v>
                </c:pt>
                <c:pt idx="7">
                  <c:v>1.3</c:v>
                </c:pt>
                <c:pt idx="8">
                  <c:v>1.1000000000000001</c:v>
                </c:pt>
                <c:pt idx="9">
                  <c:v>0.70000000000000062</c:v>
                </c:pt>
                <c:pt idx="10">
                  <c:v>0.9</c:v>
                </c:pt>
                <c:pt idx="11">
                  <c:v>0.8</c:v>
                </c:pt>
                <c:pt idx="12">
                  <c:v>0.8</c:v>
                </c:pt>
                <c:pt idx="13">
                  <c:v>0.70000000000000062</c:v>
                </c:pt>
                <c:pt idx="14">
                  <c:v>0.5</c:v>
                </c:pt>
                <c:pt idx="15">
                  <c:v>0.70000000000000062</c:v>
                </c:pt>
                <c:pt idx="16">
                  <c:v>0.5</c:v>
                </c:pt>
              </c:numCache>
            </c:numRef>
          </c:val>
        </c:ser>
        <c:ser>
          <c:idx val="1"/>
          <c:order val="1"/>
          <c:spPr>
            <a:ln>
              <a:prstDash val="sysDot"/>
            </a:ln>
          </c:spPr>
          <c:marker>
            <c:symbol val="none"/>
          </c:marker>
          <c:cat>
            <c:strRef>
              <c:f>Sheet1!$B$4:$R$4</c:f>
              <c:strCache>
                <c:ptCount val="17"/>
                <c:pt idx="0">
                  <c:v>2013</c:v>
                </c:pt>
                <c:pt idx="1">
                  <c:v>II</c:v>
                </c:pt>
                <c:pt idx="2">
                  <c:v>III</c:v>
                </c:pt>
                <c:pt idx="3">
                  <c:v>IV</c:v>
                </c:pt>
                <c:pt idx="4">
                  <c:v>V</c:v>
                </c:pt>
                <c:pt idx="5">
                  <c:v>VI</c:v>
                </c:pt>
                <c:pt idx="6">
                  <c:v>VII</c:v>
                </c:pt>
                <c:pt idx="7">
                  <c:v>VIII</c:v>
                </c:pt>
                <c:pt idx="8">
                  <c:v>IX</c:v>
                </c:pt>
                <c:pt idx="9">
                  <c:v>X</c:v>
                </c:pt>
                <c:pt idx="10">
                  <c:v>XI</c:v>
                </c:pt>
                <c:pt idx="11">
                  <c:v>XII</c:v>
                </c:pt>
                <c:pt idx="12">
                  <c:v>2014</c:v>
                </c:pt>
                <c:pt idx="13">
                  <c:v>II</c:v>
                </c:pt>
                <c:pt idx="14">
                  <c:v>III</c:v>
                </c:pt>
                <c:pt idx="15">
                  <c:v>IV</c:v>
                </c:pt>
                <c:pt idx="16">
                  <c:v>V</c:v>
                </c:pt>
              </c:strCache>
            </c:strRef>
          </c:cat>
          <c:val>
            <c:numRef>
              <c:f>Sheet1!$B$6:$R$6</c:f>
              <c:numCache>
                <c:formatCode>#,##0.0</c:formatCode>
                <c:ptCount val="17"/>
                <c:pt idx="0">
                  <c:v>3.8</c:v>
                </c:pt>
                <c:pt idx="1">
                  <c:v>3.1</c:v>
                </c:pt>
                <c:pt idx="2">
                  <c:v>3</c:v>
                </c:pt>
                <c:pt idx="3">
                  <c:v>2.4</c:v>
                </c:pt>
                <c:pt idx="4">
                  <c:v>2.1</c:v>
                </c:pt>
                <c:pt idx="5">
                  <c:v>1.5</c:v>
                </c:pt>
                <c:pt idx="6">
                  <c:v>2.2000000000000002</c:v>
                </c:pt>
                <c:pt idx="7">
                  <c:v>1.7000000000000011</c:v>
                </c:pt>
                <c:pt idx="8">
                  <c:v>1.5</c:v>
                </c:pt>
                <c:pt idx="9">
                  <c:v>0.30000000000000032</c:v>
                </c:pt>
                <c:pt idx="10">
                  <c:v>0</c:v>
                </c:pt>
                <c:pt idx="11">
                  <c:v>0.4</c:v>
                </c:pt>
                <c:pt idx="12">
                  <c:v>0.1</c:v>
                </c:pt>
                <c:pt idx="13">
                  <c:v>0</c:v>
                </c:pt>
                <c:pt idx="14">
                  <c:v>-0.4</c:v>
                </c:pt>
                <c:pt idx="15">
                  <c:v>-0.8</c:v>
                </c:pt>
              </c:numCache>
            </c:numRef>
          </c:val>
        </c:ser>
        <c:marker val="1"/>
        <c:axId val="71686784"/>
        <c:axId val="71852416"/>
      </c:lineChart>
      <c:catAx>
        <c:axId val="71686784"/>
        <c:scaling>
          <c:orientation val="minMax"/>
        </c:scaling>
        <c:axPos val="b"/>
        <c:tickLblPos val="low"/>
        <c:txPr>
          <a:bodyPr/>
          <a:lstStyle/>
          <a:p>
            <a:pPr>
              <a:defRPr lang="sr-Latn-CS" sz="600"/>
            </a:pPr>
            <a:endParaRPr lang="en-US"/>
          </a:p>
        </c:txPr>
        <c:crossAx val="71852416"/>
        <c:crosses val="autoZero"/>
        <c:auto val="1"/>
        <c:lblAlgn val="ctr"/>
        <c:lblOffset val="100"/>
      </c:catAx>
      <c:valAx>
        <c:axId val="71852416"/>
        <c:scaling>
          <c:orientation val="minMax"/>
          <c:max val="4"/>
          <c:min val="-1"/>
        </c:scaling>
        <c:axPos val="l"/>
        <c:majorGridlines>
          <c:spPr>
            <a:ln w="3175">
              <a:prstDash val="sysDot"/>
            </a:ln>
          </c:spPr>
        </c:majorGridlines>
        <c:numFmt formatCode="#,##0.0" sourceLinked="0"/>
        <c:tickLblPos val="nextTo"/>
        <c:txPr>
          <a:bodyPr/>
          <a:lstStyle/>
          <a:p>
            <a:pPr>
              <a:defRPr lang="sr-Latn-CS" sz="700"/>
            </a:pPr>
            <a:endParaRPr lang="en-US"/>
          </a:p>
        </c:txPr>
        <c:crossAx val="71686784"/>
        <c:crosses val="autoZero"/>
        <c:crossBetween val="between"/>
      </c:valAx>
    </c:plotArea>
    <c:plotVisOnly val="1"/>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sr-Latn-CS" sz="800"/>
            </a:pPr>
            <a:r>
              <a:rPr lang="x-none" sz="800"/>
              <a:t>I</a:t>
            </a:r>
            <a:r>
              <a:rPr lang="en-US" sz="800"/>
              <a:t>ndustrijska proizvodnja</a:t>
            </a:r>
          </a:p>
        </c:rich>
      </c:tx>
    </c:title>
    <c:plotArea>
      <c:layout>
        <c:manualLayout>
          <c:layoutTarget val="inner"/>
          <c:xMode val="edge"/>
          <c:yMode val="edge"/>
          <c:x val="0.19249820534851592"/>
          <c:y val="0.14483152958513179"/>
          <c:w val="0.74980034186722122"/>
          <c:h val="0.52004076104807861"/>
        </c:manualLayout>
      </c:layout>
      <c:lineChart>
        <c:grouping val="standard"/>
        <c:ser>
          <c:idx val="0"/>
          <c:order val="0"/>
          <c:tx>
            <c:strRef>
              <c:f>'Makroekonomski indikatori'!$C$13</c:f>
              <c:strCache>
                <c:ptCount val="1"/>
                <c:pt idx="0">
                  <c:v>Vađenje rude i kamena</c:v>
                </c:pt>
              </c:strCache>
            </c:strRef>
          </c:tx>
          <c:spPr>
            <a:ln>
              <a:solidFill>
                <a:srgbClr val="00B050"/>
              </a:solidFill>
              <a:prstDash val="sysDash"/>
            </a:ln>
          </c:spPr>
          <c:marker>
            <c:symbol val="none"/>
          </c:marker>
          <c:cat>
            <c:strRef>
              <c:f>'Makroekonomski indikatori'!$AE$28:$AR$28</c:f>
              <c:strCache>
                <c:ptCount val="13"/>
                <c:pt idx="0">
                  <c:v>IV</c:v>
                </c:pt>
                <c:pt idx="1">
                  <c:v>V</c:v>
                </c:pt>
                <c:pt idx="2">
                  <c:v>VI</c:v>
                </c:pt>
                <c:pt idx="3">
                  <c:v>VII</c:v>
                </c:pt>
                <c:pt idx="4">
                  <c:v>VIII</c:v>
                </c:pt>
                <c:pt idx="5">
                  <c:v>IX</c:v>
                </c:pt>
                <c:pt idx="6">
                  <c:v>X</c:v>
                </c:pt>
                <c:pt idx="7">
                  <c:v>XI</c:v>
                </c:pt>
                <c:pt idx="8">
                  <c:v>XII</c:v>
                </c:pt>
                <c:pt idx="9">
                  <c:v>2014</c:v>
                </c:pt>
                <c:pt idx="10">
                  <c:v>II</c:v>
                </c:pt>
                <c:pt idx="11">
                  <c:v>III</c:v>
                </c:pt>
                <c:pt idx="12">
                  <c:v>IV</c:v>
                </c:pt>
              </c:strCache>
            </c:strRef>
          </c:cat>
          <c:val>
            <c:numRef>
              <c:f>'Makroekonomski indikatori'!$AE$13:$AR$13</c:f>
              <c:numCache>
                <c:formatCode>General</c:formatCode>
                <c:ptCount val="13"/>
                <c:pt idx="0">
                  <c:v>10.5</c:v>
                </c:pt>
                <c:pt idx="1">
                  <c:v>-6.3</c:v>
                </c:pt>
                <c:pt idx="2">
                  <c:v>124.9</c:v>
                </c:pt>
                <c:pt idx="3">
                  <c:v>-0.70000000000000062</c:v>
                </c:pt>
                <c:pt idx="4">
                  <c:v>7.7</c:v>
                </c:pt>
                <c:pt idx="5" formatCode="0.0">
                  <c:v>-17.5</c:v>
                </c:pt>
                <c:pt idx="6" formatCode="0.0">
                  <c:v>-22.8</c:v>
                </c:pt>
                <c:pt idx="7" formatCode="0.0">
                  <c:v>-23.5</c:v>
                </c:pt>
                <c:pt idx="8" formatCode="0.0">
                  <c:v>38.800000000000004</c:v>
                </c:pt>
                <c:pt idx="9">
                  <c:v>13.8</c:v>
                </c:pt>
                <c:pt idx="10">
                  <c:v>30.8</c:v>
                </c:pt>
                <c:pt idx="11">
                  <c:v>4.9000000000000004</c:v>
                </c:pt>
                <c:pt idx="12">
                  <c:v>114.3</c:v>
                </c:pt>
              </c:numCache>
            </c:numRef>
          </c:val>
          <c:smooth val="1"/>
        </c:ser>
        <c:ser>
          <c:idx val="1"/>
          <c:order val="1"/>
          <c:tx>
            <c:strRef>
              <c:f>'Makroekonomski indikatori'!$C$14</c:f>
              <c:strCache>
                <c:ptCount val="1"/>
                <c:pt idx="0">
                  <c:v>Prerađivačka industrija</c:v>
                </c:pt>
              </c:strCache>
            </c:strRef>
          </c:tx>
          <c:spPr>
            <a:ln>
              <a:solidFill>
                <a:srgbClr val="C00000"/>
              </a:solidFill>
            </a:ln>
          </c:spPr>
          <c:marker>
            <c:symbol val="none"/>
          </c:marker>
          <c:cat>
            <c:strRef>
              <c:f>'Makroekonomski indikatori'!$AE$28:$AR$28</c:f>
              <c:strCache>
                <c:ptCount val="13"/>
                <c:pt idx="0">
                  <c:v>IV</c:v>
                </c:pt>
                <c:pt idx="1">
                  <c:v>V</c:v>
                </c:pt>
                <c:pt idx="2">
                  <c:v>VI</c:v>
                </c:pt>
                <c:pt idx="3">
                  <c:v>VII</c:v>
                </c:pt>
                <c:pt idx="4">
                  <c:v>VIII</c:v>
                </c:pt>
                <c:pt idx="5">
                  <c:v>IX</c:v>
                </c:pt>
                <c:pt idx="6">
                  <c:v>X</c:v>
                </c:pt>
                <c:pt idx="7">
                  <c:v>XI</c:v>
                </c:pt>
                <c:pt idx="8">
                  <c:v>XII</c:v>
                </c:pt>
                <c:pt idx="9">
                  <c:v>2014</c:v>
                </c:pt>
                <c:pt idx="10">
                  <c:v>II</c:v>
                </c:pt>
                <c:pt idx="11">
                  <c:v>III</c:v>
                </c:pt>
                <c:pt idx="12">
                  <c:v>IV</c:v>
                </c:pt>
              </c:strCache>
            </c:strRef>
          </c:cat>
          <c:val>
            <c:numRef>
              <c:f>'Makroekonomski indikatori'!$AE$14:$AR$14</c:f>
              <c:numCache>
                <c:formatCode>0.0</c:formatCode>
                <c:ptCount val="13"/>
                <c:pt idx="0">
                  <c:v>-28.2</c:v>
                </c:pt>
                <c:pt idx="1">
                  <c:v>-11.5</c:v>
                </c:pt>
                <c:pt idx="2">
                  <c:v>-11.1</c:v>
                </c:pt>
                <c:pt idx="3">
                  <c:v>11.7</c:v>
                </c:pt>
                <c:pt idx="4">
                  <c:v>4.7</c:v>
                </c:pt>
                <c:pt idx="5">
                  <c:v>6.5</c:v>
                </c:pt>
                <c:pt idx="6">
                  <c:v>22.7</c:v>
                </c:pt>
                <c:pt idx="7">
                  <c:v>28.2</c:v>
                </c:pt>
                <c:pt idx="8">
                  <c:v>48.8</c:v>
                </c:pt>
                <c:pt idx="9" formatCode="General">
                  <c:v>39.800000000000004</c:v>
                </c:pt>
                <c:pt idx="10" formatCode="General">
                  <c:v>20.5</c:v>
                </c:pt>
                <c:pt idx="11" formatCode="General">
                  <c:v>18.399999999999999</c:v>
                </c:pt>
                <c:pt idx="12" formatCode="General">
                  <c:v>-12.2</c:v>
                </c:pt>
              </c:numCache>
            </c:numRef>
          </c:val>
          <c:smooth val="1"/>
        </c:ser>
        <c:ser>
          <c:idx val="2"/>
          <c:order val="2"/>
          <c:tx>
            <c:strRef>
              <c:f>'Makroekonomski indikatori'!$C$15</c:f>
              <c:strCache>
                <c:ptCount val="1"/>
                <c:pt idx="0">
                  <c:v>Proizvodnja el .energije</c:v>
                </c:pt>
              </c:strCache>
            </c:strRef>
          </c:tx>
          <c:spPr>
            <a:ln>
              <a:solidFill>
                <a:srgbClr val="000099"/>
              </a:solidFill>
              <a:prstDash val="sysDot"/>
            </a:ln>
          </c:spPr>
          <c:marker>
            <c:symbol val="none"/>
          </c:marker>
          <c:cat>
            <c:strRef>
              <c:f>'Makroekonomski indikatori'!$AE$28:$AR$28</c:f>
              <c:strCache>
                <c:ptCount val="13"/>
                <c:pt idx="0">
                  <c:v>IV</c:v>
                </c:pt>
                <c:pt idx="1">
                  <c:v>V</c:v>
                </c:pt>
                <c:pt idx="2">
                  <c:v>VI</c:v>
                </c:pt>
                <c:pt idx="3">
                  <c:v>VII</c:v>
                </c:pt>
                <c:pt idx="4">
                  <c:v>VIII</c:v>
                </c:pt>
                <c:pt idx="5">
                  <c:v>IX</c:v>
                </c:pt>
                <c:pt idx="6">
                  <c:v>X</c:v>
                </c:pt>
                <c:pt idx="7">
                  <c:v>XI</c:v>
                </c:pt>
                <c:pt idx="8">
                  <c:v>XII</c:v>
                </c:pt>
                <c:pt idx="9">
                  <c:v>2014</c:v>
                </c:pt>
                <c:pt idx="10">
                  <c:v>II</c:v>
                </c:pt>
                <c:pt idx="11">
                  <c:v>III</c:v>
                </c:pt>
                <c:pt idx="12">
                  <c:v>IV</c:v>
                </c:pt>
              </c:strCache>
            </c:strRef>
          </c:cat>
          <c:val>
            <c:numRef>
              <c:f>'Makroekonomski indikatori'!$AE$15:$AR$15</c:f>
              <c:numCache>
                <c:formatCode>0.0</c:formatCode>
                <c:ptCount val="13"/>
                <c:pt idx="0">
                  <c:v>75</c:v>
                </c:pt>
                <c:pt idx="1">
                  <c:v>133.4</c:v>
                </c:pt>
                <c:pt idx="2">
                  <c:v>103.7</c:v>
                </c:pt>
                <c:pt idx="3">
                  <c:v>-5.2</c:v>
                </c:pt>
                <c:pt idx="4">
                  <c:v>19.2</c:v>
                </c:pt>
                <c:pt idx="5">
                  <c:v>4.5</c:v>
                </c:pt>
                <c:pt idx="6">
                  <c:v>3.3</c:v>
                </c:pt>
                <c:pt idx="7">
                  <c:v>119.3</c:v>
                </c:pt>
                <c:pt idx="8">
                  <c:v>-16.100000000000001</c:v>
                </c:pt>
                <c:pt idx="9" formatCode="General">
                  <c:v>-12.2</c:v>
                </c:pt>
                <c:pt idx="10" formatCode="General">
                  <c:v>-6.5</c:v>
                </c:pt>
                <c:pt idx="11" formatCode="General">
                  <c:v>-48.1</c:v>
                </c:pt>
                <c:pt idx="12" formatCode="General">
                  <c:v>-44.9</c:v>
                </c:pt>
              </c:numCache>
            </c:numRef>
          </c:val>
          <c:smooth val="1"/>
        </c:ser>
        <c:marker val="1"/>
        <c:axId val="72295552"/>
        <c:axId val="72297088"/>
      </c:lineChart>
      <c:catAx>
        <c:axId val="72295552"/>
        <c:scaling>
          <c:orientation val="minMax"/>
        </c:scaling>
        <c:axPos val="b"/>
        <c:tickLblPos val="low"/>
        <c:txPr>
          <a:bodyPr/>
          <a:lstStyle/>
          <a:p>
            <a:pPr>
              <a:defRPr lang="sr-Latn-CS" sz="600"/>
            </a:pPr>
            <a:endParaRPr lang="en-US"/>
          </a:p>
        </c:txPr>
        <c:crossAx val="72297088"/>
        <c:crosses val="autoZero"/>
        <c:auto val="1"/>
        <c:lblAlgn val="ctr"/>
        <c:lblOffset val="100"/>
      </c:catAx>
      <c:valAx>
        <c:axId val="72297088"/>
        <c:scaling>
          <c:orientation val="minMax"/>
        </c:scaling>
        <c:axPos val="l"/>
        <c:numFmt formatCode="General" sourceLinked="1"/>
        <c:tickLblPos val="nextTo"/>
        <c:txPr>
          <a:bodyPr/>
          <a:lstStyle/>
          <a:p>
            <a:pPr>
              <a:defRPr lang="sr-Latn-CS" sz="600"/>
            </a:pPr>
            <a:endParaRPr lang="en-US"/>
          </a:p>
        </c:txPr>
        <c:crossAx val="72295552"/>
        <c:crosses val="autoZero"/>
        <c:crossBetween val="between"/>
        <c:majorUnit val="40"/>
      </c:valAx>
    </c:plotArea>
    <c:legend>
      <c:legendPos val="b"/>
      <c:layout>
        <c:manualLayout>
          <c:xMode val="edge"/>
          <c:yMode val="edge"/>
          <c:x val="0.17281432998954127"/>
          <c:y val="0.83035657508394156"/>
          <c:w val="0.68290949820789448"/>
          <c:h val="0.167501315169196"/>
        </c:manualLayout>
      </c:layout>
      <c:txPr>
        <a:bodyPr/>
        <a:lstStyle/>
        <a:p>
          <a:pPr>
            <a:defRPr lang="sr-Latn-CS" sz="600"/>
          </a:pPr>
          <a:endParaRPr lang="en-US"/>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sr-Latn-CS" sz="1000"/>
            </a:pPr>
            <a:r>
              <a:rPr lang="x-none" sz="1000"/>
              <a:t>I</a:t>
            </a:r>
            <a:r>
              <a:rPr lang="en-US" sz="1000"/>
              <a:t>nflacija</a:t>
            </a:r>
          </a:p>
        </c:rich>
      </c:tx>
      <c:layout>
        <c:manualLayout>
          <c:xMode val="edge"/>
          <c:yMode val="edge"/>
          <c:x val="0.35700597467451567"/>
          <c:y val="0"/>
        </c:manualLayout>
      </c:layout>
    </c:title>
    <c:plotArea>
      <c:layout>
        <c:manualLayout>
          <c:layoutTarget val="inner"/>
          <c:xMode val="edge"/>
          <c:yMode val="edge"/>
          <c:x val="0.13202247191011235"/>
          <c:y val="0.12978640100926642"/>
          <c:w val="0.84765462914938272"/>
          <c:h val="0.61774615383860021"/>
        </c:manualLayout>
      </c:layout>
      <c:lineChart>
        <c:grouping val="standard"/>
        <c:ser>
          <c:idx val="0"/>
          <c:order val="0"/>
          <c:tx>
            <c:strRef>
              <c:f>'Makroekonomski indikatori'!$C$22</c:f>
              <c:strCache>
                <c:ptCount val="1"/>
                <c:pt idx="0">
                  <c:v>HICP</c:v>
                </c:pt>
              </c:strCache>
            </c:strRef>
          </c:tx>
          <c:spPr>
            <a:ln>
              <a:solidFill>
                <a:srgbClr val="FF0066"/>
              </a:solidFill>
            </a:ln>
          </c:spPr>
          <c:marker>
            <c:symbol val="none"/>
          </c:marker>
          <c:cat>
            <c:strRef>
              <c:f>'Makroekonomski indikatori'!$AE$28:$AR$28</c:f>
              <c:strCache>
                <c:ptCount val="13"/>
                <c:pt idx="0">
                  <c:v>IV</c:v>
                </c:pt>
                <c:pt idx="1">
                  <c:v>V</c:v>
                </c:pt>
                <c:pt idx="2">
                  <c:v>VI</c:v>
                </c:pt>
                <c:pt idx="3">
                  <c:v>VII</c:v>
                </c:pt>
                <c:pt idx="4">
                  <c:v>VIII</c:v>
                </c:pt>
                <c:pt idx="5">
                  <c:v>IX</c:v>
                </c:pt>
                <c:pt idx="6">
                  <c:v>X</c:v>
                </c:pt>
                <c:pt idx="7">
                  <c:v>XI</c:v>
                </c:pt>
                <c:pt idx="8">
                  <c:v>XII</c:v>
                </c:pt>
                <c:pt idx="9">
                  <c:v>2014</c:v>
                </c:pt>
                <c:pt idx="10">
                  <c:v>II</c:v>
                </c:pt>
                <c:pt idx="11">
                  <c:v>III</c:v>
                </c:pt>
                <c:pt idx="12">
                  <c:v>IV</c:v>
                </c:pt>
              </c:strCache>
            </c:strRef>
          </c:cat>
          <c:val>
            <c:numRef>
              <c:f>'Makroekonomski indikatori'!$AE$22:$AR$22</c:f>
              <c:numCache>
                <c:formatCode>#,##0.0</c:formatCode>
                <c:ptCount val="13"/>
                <c:pt idx="0">
                  <c:v>2.4</c:v>
                </c:pt>
                <c:pt idx="1">
                  <c:v>2.1</c:v>
                </c:pt>
                <c:pt idx="2">
                  <c:v>1.5</c:v>
                </c:pt>
                <c:pt idx="3">
                  <c:v>2.2000000000000002</c:v>
                </c:pt>
                <c:pt idx="4">
                  <c:v>1.7</c:v>
                </c:pt>
                <c:pt idx="5">
                  <c:v>1.5</c:v>
                </c:pt>
                <c:pt idx="6">
                  <c:v>0.30000000000000032</c:v>
                </c:pt>
                <c:pt idx="7">
                  <c:v>0</c:v>
                </c:pt>
                <c:pt idx="8">
                  <c:v>0.4</c:v>
                </c:pt>
                <c:pt idx="9" formatCode="General">
                  <c:v>0.1</c:v>
                </c:pt>
                <c:pt idx="10" formatCode="0.0">
                  <c:v>0</c:v>
                </c:pt>
                <c:pt idx="11" formatCode="General">
                  <c:v>-0.4</c:v>
                </c:pt>
                <c:pt idx="12" formatCode="General">
                  <c:v>-0.8</c:v>
                </c:pt>
              </c:numCache>
            </c:numRef>
          </c:val>
          <c:smooth val="1"/>
        </c:ser>
        <c:ser>
          <c:idx val="1"/>
          <c:order val="1"/>
          <c:tx>
            <c:strRef>
              <c:f>'Makroekonomski indikatori'!$C$23</c:f>
              <c:strCache>
                <c:ptCount val="1"/>
                <c:pt idx="0">
                  <c:v>cijene hrane</c:v>
                </c:pt>
              </c:strCache>
            </c:strRef>
          </c:tx>
          <c:spPr>
            <a:ln>
              <a:solidFill>
                <a:srgbClr val="000099"/>
              </a:solidFill>
            </a:ln>
          </c:spPr>
          <c:marker>
            <c:symbol val="none"/>
          </c:marker>
          <c:cat>
            <c:strRef>
              <c:f>'Makroekonomski indikatori'!$AE$28:$AR$28</c:f>
              <c:strCache>
                <c:ptCount val="13"/>
                <c:pt idx="0">
                  <c:v>IV</c:v>
                </c:pt>
                <c:pt idx="1">
                  <c:v>V</c:v>
                </c:pt>
                <c:pt idx="2">
                  <c:v>VI</c:v>
                </c:pt>
                <c:pt idx="3">
                  <c:v>VII</c:v>
                </c:pt>
                <c:pt idx="4">
                  <c:v>VIII</c:v>
                </c:pt>
                <c:pt idx="5">
                  <c:v>IX</c:v>
                </c:pt>
                <c:pt idx="6">
                  <c:v>X</c:v>
                </c:pt>
                <c:pt idx="7">
                  <c:v>XI</c:v>
                </c:pt>
                <c:pt idx="8">
                  <c:v>XII</c:v>
                </c:pt>
                <c:pt idx="9">
                  <c:v>2014</c:v>
                </c:pt>
                <c:pt idx="10">
                  <c:v>II</c:v>
                </c:pt>
                <c:pt idx="11">
                  <c:v>III</c:v>
                </c:pt>
                <c:pt idx="12">
                  <c:v>IV</c:v>
                </c:pt>
              </c:strCache>
            </c:strRef>
          </c:cat>
          <c:val>
            <c:numRef>
              <c:f>'Makroekonomski indikatori'!$AE$23:$AR$23</c:f>
              <c:numCache>
                <c:formatCode>0.0</c:formatCode>
                <c:ptCount val="13"/>
                <c:pt idx="0">
                  <c:v>5.2</c:v>
                </c:pt>
                <c:pt idx="1">
                  <c:v>5.9</c:v>
                </c:pt>
                <c:pt idx="2">
                  <c:v>3.7</c:v>
                </c:pt>
                <c:pt idx="3">
                  <c:v>6.2</c:v>
                </c:pt>
                <c:pt idx="4">
                  <c:v>6</c:v>
                </c:pt>
                <c:pt idx="5">
                  <c:v>3.3</c:v>
                </c:pt>
                <c:pt idx="6">
                  <c:v>-0.2</c:v>
                </c:pt>
                <c:pt idx="7">
                  <c:v>-1</c:v>
                </c:pt>
                <c:pt idx="8">
                  <c:v>-0.60000000000000064</c:v>
                </c:pt>
                <c:pt idx="9" formatCode="General">
                  <c:v>-0.9</c:v>
                </c:pt>
                <c:pt idx="10" formatCode="General">
                  <c:v>-1</c:v>
                </c:pt>
                <c:pt idx="11" formatCode="General">
                  <c:v>-1.2</c:v>
                </c:pt>
                <c:pt idx="12" formatCode="General">
                  <c:v>-3.4</c:v>
                </c:pt>
              </c:numCache>
            </c:numRef>
          </c:val>
          <c:smooth val="1"/>
        </c:ser>
        <c:marker val="1"/>
        <c:axId val="72305664"/>
        <c:axId val="72360704"/>
      </c:lineChart>
      <c:catAx>
        <c:axId val="72305664"/>
        <c:scaling>
          <c:orientation val="minMax"/>
        </c:scaling>
        <c:axPos val="b"/>
        <c:tickLblPos val="low"/>
        <c:txPr>
          <a:bodyPr/>
          <a:lstStyle/>
          <a:p>
            <a:pPr>
              <a:defRPr lang="sr-Latn-CS" sz="600"/>
            </a:pPr>
            <a:endParaRPr lang="en-US"/>
          </a:p>
        </c:txPr>
        <c:crossAx val="72360704"/>
        <c:crosses val="autoZero"/>
        <c:auto val="1"/>
        <c:lblAlgn val="ctr"/>
        <c:lblOffset val="100"/>
      </c:catAx>
      <c:valAx>
        <c:axId val="72360704"/>
        <c:scaling>
          <c:orientation val="minMax"/>
        </c:scaling>
        <c:axPos val="l"/>
        <c:numFmt formatCode="#,##0.0" sourceLinked="1"/>
        <c:tickLblPos val="nextTo"/>
        <c:txPr>
          <a:bodyPr/>
          <a:lstStyle/>
          <a:p>
            <a:pPr>
              <a:defRPr lang="sr-Latn-CS" sz="600"/>
            </a:pPr>
            <a:endParaRPr lang="en-US"/>
          </a:p>
        </c:txPr>
        <c:crossAx val="72305664"/>
        <c:crosses val="autoZero"/>
        <c:crossBetween val="between"/>
      </c:valAx>
      <c:spPr>
        <a:noFill/>
        <a:ln>
          <a:noFill/>
        </a:ln>
      </c:spPr>
    </c:plotArea>
    <c:legend>
      <c:legendPos val="b"/>
      <c:layout>
        <c:manualLayout>
          <c:xMode val="edge"/>
          <c:yMode val="edge"/>
          <c:x val="0.1932530765115035"/>
          <c:y val="0.88764838096895349"/>
          <c:w val="0.61349384697699305"/>
          <c:h val="0.11235161903104635"/>
        </c:manualLayout>
      </c:layout>
      <c:txPr>
        <a:bodyPr/>
        <a:lstStyle/>
        <a:p>
          <a:pPr>
            <a:defRPr lang="sr-Latn-CS" sz="600"/>
          </a:pPr>
          <a:endParaRPr lang="en-US"/>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1800262356556729"/>
          <c:y val="9.7027525610036566E-2"/>
          <c:w val="0.57388512279562953"/>
          <c:h val="0.69084303461667285"/>
        </c:manualLayout>
      </c:layout>
      <c:lineChart>
        <c:grouping val="standard"/>
        <c:ser>
          <c:idx val="0"/>
          <c:order val="0"/>
          <c:marker>
            <c:symbol val="none"/>
          </c:marker>
          <c:cat>
            <c:strRef>
              <c:f>'Makroekonomski indikatori'!$AB$9:$AQ$9</c:f>
              <c:strCache>
                <c:ptCount val="16"/>
                <c:pt idx="0">
                  <c:v>2013</c:v>
                </c:pt>
                <c:pt idx="1">
                  <c:v>II</c:v>
                </c:pt>
                <c:pt idx="2">
                  <c:v>III</c:v>
                </c:pt>
                <c:pt idx="3">
                  <c:v>IV</c:v>
                </c:pt>
                <c:pt idx="4">
                  <c:v>V</c:v>
                </c:pt>
                <c:pt idx="5">
                  <c:v>VI</c:v>
                </c:pt>
                <c:pt idx="6">
                  <c:v>VII</c:v>
                </c:pt>
                <c:pt idx="7">
                  <c:v>VIII</c:v>
                </c:pt>
                <c:pt idx="8">
                  <c:v>IX</c:v>
                </c:pt>
                <c:pt idx="9">
                  <c:v>X</c:v>
                </c:pt>
                <c:pt idx="10">
                  <c:v>XI</c:v>
                </c:pt>
                <c:pt idx="11">
                  <c:v>XII</c:v>
                </c:pt>
                <c:pt idx="12">
                  <c:v>2014</c:v>
                </c:pt>
                <c:pt idx="13">
                  <c:v>II</c:v>
                </c:pt>
                <c:pt idx="14">
                  <c:v>III</c:v>
                </c:pt>
                <c:pt idx="15">
                  <c:v>IV</c:v>
                </c:pt>
              </c:strCache>
            </c:strRef>
          </c:cat>
          <c:val>
            <c:numRef>
              <c:f>'Makroekonomski indikatori'!$AB$21:$AQ$21</c:f>
              <c:numCache>
                <c:formatCode>#,##0</c:formatCode>
                <c:ptCount val="16"/>
                <c:pt idx="0">
                  <c:v>167370</c:v>
                </c:pt>
                <c:pt idx="1">
                  <c:v>167379</c:v>
                </c:pt>
                <c:pt idx="2">
                  <c:v>167738</c:v>
                </c:pt>
                <c:pt idx="3">
                  <c:v>170302</c:v>
                </c:pt>
                <c:pt idx="4">
                  <c:v>174369</c:v>
                </c:pt>
                <c:pt idx="5">
                  <c:v>179861</c:v>
                </c:pt>
                <c:pt idx="6">
                  <c:v>178815</c:v>
                </c:pt>
                <c:pt idx="7">
                  <c:v>176588</c:v>
                </c:pt>
                <c:pt idx="8">
                  <c:v>169044</c:v>
                </c:pt>
                <c:pt idx="9">
                  <c:v>169044</c:v>
                </c:pt>
                <c:pt idx="10">
                  <c:v>167607</c:v>
                </c:pt>
                <c:pt idx="11">
                  <c:v>167173</c:v>
                </c:pt>
                <c:pt idx="12">
                  <c:v>167616</c:v>
                </c:pt>
                <c:pt idx="13">
                  <c:v>168805</c:v>
                </c:pt>
                <c:pt idx="14">
                  <c:v>170177</c:v>
                </c:pt>
                <c:pt idx="15">
                  <c:v>172202</c:v>
                </c:pt>
              </c:numCache>
            </c:numRef>
          </c:val>
        </c:ser>
        <c:marker val="1"/>
        <c:axId val="72378624"/>
        <c:axId val="72388608"/>
      </c:lineChart>
      <c:lineChart>
        <c:grouping val="standard"/>
        <c:ser>
          <c:idx val="1"/>
          <c:order val="1"/>
          <c:spPr>
            <a:ln w="31750">
              <a:prstDash val="sysDash"/>
            </a:ln>
          </c:spPr>
          <c:marker>
            <c:symbol val="none"/>
          </c:marker>
          <c:cat>
            <c:strRef>
              <c:f>'Makroekonomski indikatori'!$AB$9:$AQ$9</c:f>
              <c:strCache>
                <c:ptCount val="16"/>
                <c:pt idx="0">
                  <c:v>2013</c:v>
                </c:pt>
                <c:pt idx="1">
                  <c:v>II</c:v>
                </c:pt>
                <c:pt idx="2">
                  <c:v>III</c:v>
                </c:pt>
                <c:pt idx="3">
                  <c:v>IV</c:v>
                </c:pt>
                <c:pt idx="4">
                  <c:v>V</c:v>
                </c:pt>
                <c:pt idx="5">
                  <c:v>VI</c:v>
                </c:pt>
                <c:pt idx="6">
                  <c:v>VII</c:v>
                </c:pt>
                <c:pt idx="7">
                  <c:v>VIII</c:v>
                </c:pt>
                <c:pt idx="8">
                  <c:v>IX</c:v>
                </c:pt>
                <c:pt idx="9">
                  <c:v>X</c:v>
                </c:pt>
                <c:pt idx="10">
                  <c:v>XI</c:v>
                </c:pt>
                <c:pt idx="11">
                  <c:v>XII</c:v>
                </c:pt>
                <c:pt idx="12">
                  <c:v>2014</c:v>
                </c:pt>
                <c:pt idx="13">
                  <c:v>II</c:v>
                </c:pt>
                <c:pt idx="14">
                  <c:v>III</c:v>
                </c:pt>
                <c:pt idx="15">
                  <c:v>IV</c:v>
                </c:pt>
              </c:strCache>
            </c:strRef>
          </c:cat>
          <c:val>
            <c:numRef>
              <c:f>'Makroekonomski indikatori'!$AB$22:$AQ$22</c:f>
              <c:numCache>
                <c:formatCode>#,##0</c:formatCode>
                <c:ptCount val="16"/>
                <c:pt idx="0">
                  <c:v>31890</c:v>
                </c:pt>
                <c:pt idx="1">
                  <c:v>32648</c:v>
                </c:pt>
                <c:pt idx="2">
                  <c:v>32986</c:v>
                </c:pt>
                <c:pt idx="3">
                  <c:v>32624</c:v>
                </c:pt>
                <c:pt idx="4">
                  <c:v>31363</c:v>
                </c:pt>
                <c:pt idx="5">
                  <c:v>30337</c:v>
                </c:pt>
                <c:pt idx="6">
                  <c:v>30102</c:v>
                </c:pt>
                <c:pt idx="7">
                  <c:v>30947</c:v>
                </c:pt>
                <c:pt idx="8">
                  <c:v>33271</c:v>
                </c:pt>
                <c:pt idx="9">
                  <c:v>33271</c:v>
                </c:pt>
                <c:pt idx="10">
                  <c:v>34680</c:v>
                </c:pt>
                <c:pt idx="11">
                  <c:v>34514</c:v>
                </c:pt>
                <c:pt idx="12">
                  <c:v>34804</c:v>
                </c:pt>
                <c:pt idx="13">
                  <c:v>34664</c:v>
                </c:pt>
                <c:pt idx="14">
                  <c:v>34671</c:v>
                </c:pt>
                <c:pt idx="15">
                  <c:v>33906</c:v>
                </c:pt>
              </c:numCache>
            </c:numRef>
          </c:val>
        </c:ser>
        <c:marker val="1"/>
        <c:axId val="72396800"/>
        <c:axId val="72390528"/>
      </c:lineChart>
      <c:catAx>
        <c:axId val="72378624"/>
        <c:scaling>
          <c:orientation val="minMax"/>
        </c:scaling>
        <c:axPos val="b"/>
        <c:numFmt formatCode="General" sourceLinked="1"/>
        <c:tickLblPos val="nextTo"/>
        <c:txPr>
          <a:bodyPr/>
          <a:lstStyle/>
          <a:p>
            <a:pPr>
              <a:defRPr lang="sr-Latn-CS" sz="700"/>
            </a:pPr>
            <a:endParaRPr lang="en-US"/>
          </a:p>
        </c:txPr>
        <c:crossAx val="72388608"/>
        <c:crosses val="autoZero"/>
        <c:auto val="1"/>
        <c:lblAlgn val="ctr"/>
        <c:lblOffset val="100"/>
      </c:catAx>
      <c:valAx>
        <c:axId val="72388608"/>
        <c:scaling>
          <c:orientation val="minMax"/>
          <c:min val="164000"/>
        </c:scaling>
        <c:axPos val="l"/>
        <c:numFmt formatCode="#,##0.0" sourceLinked="0"/>
        <c:tickLblPos val="nextTo"/>
        <c:txPr>
          <a:bodyPr/>
          <a:lstStyle/>
          <a:p>
            <a:pPr>
              <a:defRPr lang="sr-Latn-CS" sz="700"/>
            </a:pPr>
            <a:endParaRPr lang="en-US"/>
          </a:p>
        </c:txPr>
        <c:crossAx val="72378624"/>
        <c:crosses val="autoZero"/>
        <c:crossBetween val="between"/>
        <c:dispUnits>
          <c:builtInUnit val="thousands"/>
        </c:dispUnits>
      </c:valAx>
      <c:valAx>
        <c:axId val="72390528"/>
        <c:scaling>
          <c:orientation val="maxMin"/>
          <c:max val="35000"/>
          <c:min val="27000"/>
        </c:scaling>
        <c:axPos val="r"/>
        <c:numFmt formatCode="#,##0.0" sourceLinked="0"/>
        <c:tickLblPos val="nextTo"/>
        <c:txPr>
          <a:bodyPr/>
          <a:lstStyle/>
          <a:p>
            <a:pPr>
              <a:defRPr lang="sr-Latn-CS" sz="700"/>
            </a:pPr>
            <a:endParaRPr lang="en-US"/>
          </a:p>
        </c:txPr>
        <c:crossAx val="72396800"/>
        <c:crosses val="max"/>
        <c:crossBetween val="between"/>
        <c:dispUnits>
          <c:builtInUnit val="thousands"/>
        </c:dispUnits>
      </c:valAx>
      <c:catAx>
        <c:axId val="72396800"/>
        <c:scaling>
          <c:orientation val="minMax"/>
        </c:scaling>
        <c:delete val="1"/>
        <c:axPos val="t"/>
        <c:tickLblPos val="none"/>
        <c:crossAx val="72390528"/>
        <c:crosses val="autoZero"/>
        <c:auto val="1"/>
        <c:lblAlgn val="ctr"/>
        <c:lblOffset val="100"/>
      </c:catAx>
    </c:plotArea>
    <c:plotVisOnly val="1"/>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7523877646207278"/>
          <c:y val="4.1424676898629414E-2"/>
          <c:w val="0.644604998467457"/>
          <c:h val="0.71317252062959213"/>
        </c:manualLayout>
      </c:layout>
      <c:barChart>
        <c:barDir val="col"/>
        <c:grouping val="clustered"/>
        <c:ser>
          <c:idx val="2"/>
          <c:order val="2"/>
          <c:tx>
            <c:strRef>
              <c:f>'Fiskalni indikatori (3)'!$BC$30</c:f>
              <c:strCache>
                <c:ptCount val="1"/>
                <c:pt idx="0">
                  <c:v>Suficit/Deficit</c:v>
                </c:pt>
              </c:strCache>
            </c:strRef>
          </c:tx>
          <c:spPr>
            <a:solidFill>
              <a:srgbClr val="EEECE1"/>
            </a:solidFill>
            <a:ln>
              <a:solidFill>
                <a:srgbClr val="C00000"/>
              </a:solidFill>
            </a:ln>
          </c:spPr>
          <c:cat>
            <c:strRef>
              <c:f>'Fiskalni indikatori (3)'!$CB$6:$CL$6</c:f>
              <c:strCache>
                <c:ptCount val="11"/>
                <c:pt idx="0">
                  <c:v>I</c:v>
                </c:pt>
                <c:pt idx="1">
                  <c:v>II</c:v>
                </c:pt>
                <c:pt idx="2">
                  <c:v>III</c:v>
                </c:pt>
                <c:pt idx="3">
                  <c:v>IV</c:v>
                </c:pt>
                <c:pt idx="4">
                  <c:v>V</c:v>
                </c:pt>
                <c:pt idx="5">
                  <c:v>VI</c:v>
                </c:pt>
                <c:pt idx="6">
                  <c:v>VII</c:v>
                </c:pt>
                <c:pt idx="7">
                  <c:v>VIII</c:v>
                </c:pt>
                <c:pt idx="8">
                  <c:v>IX</c:v>
                </c:pt>
                <c:pt idx="9">
                  <c:v>X</c:v>
                </c:pt>
                <c:pt idx="10">
                  <c:v>XI</c:v>
                </c:pt>
              </c:strCache>
            </c:strRef>
          </c:cat>
          <c:val>
            <c:numRef>
              <c:f>'Fiskalni indikatori (3)'!$CB$20:$CQ$20</c:f>
              <c:numCache>
                <c:formatCode>0.00,,</c:formatCode>
                <c:ptCount val="16"/>
                <c:pt idx="0">
                  <c:v>-25863779.340000056</c:v>
                </c:pt>
                <c:pt idx="1">
                  <c:v>-18804242.285214216</c:v>
                </c:pt>
                <c:pt idx="2">
                  <c:v>-14921103.39428369</c:v>
                </c:pt>
                <c:pt idx="3">
                  <c:v>-15891365.313259348</c:v>
                </c:pt>
                <c:pt idx="4">
                  <c:v>-1544398.8301670935</c:v>
                </c:pt>
                <c:pt idx="5">
                  <c:v>-607686.93338963401</c:v>
                </c:pt>
                <c:pt idx="6">
                  <c:v>-38312345.495714545</c:v>
                </c:pt>
                <c:pt idx="7">
                  <c:v>-16221972.00090231</c:v>
                </c:pt>
                <c:pt idx="8">
                  <c:v>-2657604.3090550057</c:v>
                </c:pt>
                <c:pt idx="9">
                  <c:v>17862496.387521476</c:v>
                </c:pt>
                <c:pt idx="10">
                  <c:v>-2710356.1671831482</c:v>
                </c:pt>
                <c:pt idx="11">
                  <c:v>-7703230.0812701583</c:v>
                </c:pt>
                <c:pt idx="12">
                  <c:v>-23541980.710000008</c:v>
                </c:pt>
                <c:pt idx="13">
                  <c:v>-6821869.0200000191</c:v>
                </c:pt>
                <c:pt idx="14">
                  <c:v>-17758745.285705712</c:v>
                </c:pt>
                <c:pt idx="15">
                  <c:v>-13590362.610000029</c:v>
                </c:pt>
              </c:numCache>
            </c:numRef>
          </c:val>
        </c:ser>
        <c:axId val="72489216"/>
        <c:axId val="72487680"/>
      </c:barChart>
      <c:lineChart>
        <c:grouping val="standard"/>
        <c:ser>
          <c:idx val="0"/>
          <c:order val="0"/>
          <c:tx>
            <c:strRef>
              <c:f>'Fiskalni indikatori (3)'!$BC$28</c:f>
              <c:strCache>
                <c:ptCount val="1"/>
                <c:pt idx="0">
                  <c:v>Izvorni prihodi</c:v>
                </c:pt>
              </c:strCache>
            </c:strRef>
          </c:tx>
          <c:spPr>
            <a:ln>
              <a:solidFill>
                <a:schemeClr val="tx2">
                  <a:lumMod val="75000"/>
                </a:schemeClr>
              </a:solidFill>
              <a:prstDash val="sysDash"/>
            </a:ln>
          </c:spPr>
          <c:marker>
            <c:symbol val="diamond"/>
            <c:size val="4"/>
            <c:spPr>
              <a:solidFill>
                <a:schemeClr val="tx2">
                  <a:lumMod val="75000"/>
                </a:schemeClr>
              </a:solidFill>
              <a:ln cap="flat">
                <a:solidFill>
                  <a:sysClr val="windowText" lastClr="000000"/>
                </a:solidFill>
                <a:round/>
              </a:ln>
            </c:spPr>
          </c:marker>
          <c:cat>
            <c:strRef>
              <c:f>'Fiskalni indikatori (3)'!$V$5:$AV$5</c:f>
              <c:strCache>
                <c:ptCount val="16"/>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strCache>
            </c:strRef>
          </c:cat>
          <c:val>
            <c:numRef>
              <c:f>'Fiskalni indikatori (3)'!$CB$7:$CQ$7</c:f>
              <c:numCache>
                <c:formatCode>0.00,,</c:formatCode>
                <c:ptCount val="16"/>
                <c:pt idx="0">
                  <c:v>54923313.240000002</c:v>
                </c:pt>
                <c:pt idx="1">
                  <c:v>75831835.340000004</c:v>
                </c:pt>
                <c:pt idx="2">
                  <c:v>88914656.390000015</c:v>
                </c:pt>
                <c:pt idx="3">
                  <c:v>103948838</c:v>
                </c:pt>
                <c:pt idx="4">
                  <c:v>93997829.599999994</c:v>
                </c:pt>
                <c:pt idx="5">
                  <c:v>99561632.659999892</c:v>
                </c:pt>
                <c:pt idx="6">
                  <c:v>122021331.04999998</c:v>
                </c:pt>
                <c:pt idx="7">
                  <c:v>125053427.64999999</c:v>
                </c:pt>
                <c:pt idx="8">
                  <c:v>116342017.78000002</c:v>
                </c:pt>
                <c:pt idx="9">
                  <c:v>117283627.60000001</c:v>
                </c:pt>
                <c:pt idx="10">
                  <c:v>95781753.159999892</c:v>
                </c:pt>
                <c:pt idx="11">
                  <c:v>142429369.22999999</c:v>
                </c:pt>
                <c:pt idx="12">
                  <c:v>70782033.309999973</c:v>
                </c:pt>
                <c:pt idx="13">
                  <c:v>82106744.640000015</c:v>
                </c:pt>
                <c:pt idx="14">
                  <c:v>100668861.39000002</c:v>
                </c:pt>
                <c:pt idx="15">
                  <c:v>108679556.45999998</c:v>
                </c:pt>
              </c:numCache>
            </c:numRef>
          </c:val>
          <c:smooth val="1"/>
        </c:ser>
        <c:ser>
          <c:idx val="1"/>
          <c:order val="1"/>
          <c:tx>
            <c:strRef>
              <c:f>'Fiskalni indikatori (3)'!$BC$29</c:f>
              <c:strCache>
                <c:ptCount val="1"/>
                <c:pt idx="0">
                  <c:v>Izdaci budžeta</c:v>
                </c:pt>
              </c:strCache>
            </c:strRef>
          </c:tx>
          <c:spPr>
            <a:ln>
              <a:solidFill>
                <a:srgbClr val="C00000"/>
              </a:solidFill>
            </a:ln>
          </c:spPr>
          <c:marker>
            <c:symbol val="none"/>
          </c:marker>
          <c:cat>
            <c:strRef>
              <c:f>'Fiskalni indikatori (3)'!$V$5:$AV$5</c:f>
              <c:strCache>
                <c:ptCount val="16"/>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strCache>
            </c:strRef>
          </c:cat>
          <c:val>
            <c:numRef>
              <c:f>'Fiskalni indikatori (3)'!$CB$13:$CQ$13</c:f>
              <c:numCache>
                <c:formatCode>0.00,,</c:formatCode>
                <c:ptCount val="16"/>
                <c:pt idx="0">
                  <c:v>80787092.580000043</c:v>
                </c:pt>
                <c:pt idx="1">
                  <c:v>94636077.625213578</c:v>
                </c:pt>
                <c:pt idx="2">
                  <c:v>103835759.78428364</c:v>
                </c:pt>
                <c:pt idx="3">
                  <c:v>119840203.31325933</c:v>
                </c:pt>
                <c:pt idx="4">
                  <c:v>95542228.43016769</c:v>
                </c:pt>
                <c:pt idx="5">
                  <c:v>100169319.59339021</c:v>
                </c:pt>
                <c:pt idx="6">
                  <c:v>160333676.54571453</c:v>
                </c:pt>
                <c:pt idx="7">
                  <c:v>141275399.6509023</c:v>
                </c:pt>
                <c:pt idx="8">
                  <c:v>118999622.08905503</c:v>
                </c:pt>
                <c:pt idx="9">
                  <c:v>99421131.212479368</c:v>
                </c:pt>
                <c:pt idx="10">
                  <c:v>98492109.327183142</c:v>
                </c:pt>
                <c:pt idx="11">
                  <c:v>150132599.31127</c:v>
                </c:pt>
                <c:pt idx="12">
                  <c:v>94324014.019999996</c:v>
                </c:pt>
                <c:pt idx="13">
                  <c:v>88928613.660000041</c:v>
                </c:pt>
                <c:pt idx="14">
                  <c:v>118427606.67570557</c:v>
                </c:pt>
                <c:pt idx="15">
                  <c:v>122269919.07000001</c:v>
                </c:pt>
              </c:numCache>
            </c:numRef>
          </c:val>
          <c:smooth val="1"/>
        </c:ser>
        <c:marker val="1"/>
        <c:axId val="72472064"/>
        <c:axId val="72473600"/>
      </c:lineChart>
      <c:dateAx>
        <c:axId val="72472064"/>
        <c:scaling>
          <c:orientation val="minMax"/>
        </c:scaling>
        <c:axPos val="b"/>
        <c:numFmt formatCode="#,##0.00" sourceLinked="0"/>
        <c:tickLblPos val="nextTo"/>
        <c:txPr>
          <a:bodyPr/>
          <a:lstStyle/>
          <a:p>
            <a:pPr>
              <a:defRPr lang="sr-Latn-CS" sz="650" baseline="0"/>
            </a:pPr>
            <a:endParaRPr lang="en-US"/>
          </a:p>
        </c:txPr>
        <c:crossAx val="72473600"/>
        <c:crosses val="autoZero"/>
        <c:lblOffset val="100"/>
        <c:baseTimeUnit val="days"/>
      </c:dateAx>
      <c:valAx>
        <c:axId val="72473600"/>
        <c:scaling>
          <c:orientation val="minMax"/>
        </c:scaling>
        <c:axPos val="l"/>
        <c:numFmt formatCode="0.0,," sourceLinked="0"/>
        <c:tickLblPos val="nextTo"/>
        <c:txPr>
          <a:bodyPr/>
          <a:lstStyle/>
          <a:p>
            <a:pPr>
              <a:defRPr lang="sr-Latn-CS"/>
            </a:pPr>
            <a:endParaRPr lang="en-US"/>
          </a:p>
        </c:txPr>
        <c:crossAx val="72472064"/>
        <c:crosses val="autoZero"/>
        <c:crossBetween val="between"/>
      </c:valAx>
      <c:valAx>
        <c:axId val="72487680"/>
        <c:scaling>
          <c:orientation val="minMax"/>
          <c:max val="130000000"/>
          <c:min val="-50000000"/>
        </c:scaling>
        <c:axPos val="r"/>
        <c:numFmt formatCode="0.0,," sourceLinked="0"/>
        <c:tickLblPos val="nextTo"/>
        <c:txPr>
          <a:bodyPr/>
          <a:lstStyle/>
          <a:p>
            <a:pPr>
              <a:defRPr lang="sr-Latn-CS"/>
            </a:pPr>
            <a:endParaRPr lang="en-US"/>
          </a:p>
        </c:txPr>
        <c:crossAx val="72489216"/>
        <c:crosses val="max"/>
        <c:crossBetween val="between"/>
        <c:majorUnit val="20000000"/>
      </c:valAx>
      <c:catAx>
        <c:axId val="72489216"/>
        <c:scaling>
          <c:orientation val="minMax"/>
        </c:scaling>
        <c:delete val="1"/>
        <c:axPos val="b"/>
        <c:numFmt formatCode="General" sourceLinked="1"/>
        <c:tickLblPos val="none"/>
        <c:crossAx val="72487680"/>
        <c:crosses val="autoZero"/>
        <c:auto val="1"/>
        <c:lblAlgn val="ctr"/>
        <c:lblOffset val="100"/>
      </c:catAx>
      <c:spPr>
        <a:ln>
          <a:solidFill>
            <a:schemeClr val="tx1"/>
          </a:solidFill>
        </a:ln>
      </c:spPr>
    </c:plotArea>
    <c:legend>
      <c:legendPos val="b"/>
      <c:txPr>
        <a:bodyPr/>
        <a:lstStyle/>
        <a:p>
          <a:pPr>
            <a:defRPr lang="sr-Latn-CS"/>
          </a:pPr>
          <a:endParaRPr lang="en-US"/>
        </a:p>
      </c:txPr>
    </c:legend>
    <c:plotVisOnly val="1"/>
    <c:dispBlanksAs val="gap"/>
  </c:chart>
  <c:spPr>
    <a:ln w="6350">
      <a:noFill/>
      <a:prstDash val="sysDot"/>
    </a:ln>
  </c:spPr>
  <c:txPr>
    <a:bodyPr/>
    <a:lstStyle/>
    <a:p>
      <a:pPr>
        <a:defRPr sz="700" baseline="0"/>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129823288280794"/>
          <c:y val="2.764877178175084E-2"/>
          <c:w val="0.69753870518432259"/>
          <c:h val="0.82397964680415359"/>
        </c:manualLayout>
      </c:layout>
      <c:barChart>
        <c:barDir val="col"/>
        <c:grouping val="clustered"/>
        <c:ser>
          <c:idx val="1"/>
          <c:order val="1"/>
          <c:tx>
            <c:v>ukupni krediti</c:v>
          </c:tx>
          <c:cat>
            <c:strRef>
              <c:f>'Database za makro'!$AH$9:$AT$9</c:f>
              <c:strCache>
                <c:ptCount val="13"/>
                <c:pt idx="0">
                  <c:v>IV</c:v>
                </c:pt>
                <c:pt idx="1">
                  <c:v>V</c:v>
                </c:pt>
                <c:pt idx="2">
                  <c:v>VI</c:v>
                </c:pt>
                <c:pt idx="3">
                  <c:v>VII</c:v>
                </c:pt>
                <c:pt idx="4">
                  <c:v>VIII</c:v>
                </c:pt>
                <c:pt idx="5">
                  <c:v>IX</c:v>
                </c:pt>
                <c:pt idx="6">
                  <c:v>X</c:v>
                </c:pt>
                <c:pt idx="7">
                  <c:v>XI</c:v>
                </c:pt>
                <c:pt idx="8">
                  <c:v>XII</c:v>
                </c:pt>
                <c:pt idx="9">
                  <c:v>I</c:v>
                </c:pt>
                <c:pt idx="10">
                  <c:v>II</c:v>
                </c:pt>
                <c:pt idx="11">
                  <c:v>III</c:v>
                </c:pt>
                <c:pt idx="12">
                  <c:v>IV</c:v>
                </c:pt>
              </c:strCache>
            </c:strRef>
          </c:cat>
          <c:val>
            <c:numRef>
              <c:f>'Database za makro'!$AH$29:$AT$29</c:f>
              <c:numCache>
                <c:formatCode>#,##0</c:formatCode>
                <c:ptCount val="13"/>
                <c:pt idx="0">
                  <c:v>2466654000</c:v>
                </c:pt>
                <c:pt idx="1">
                  <c:v>2477642000</c:v>
                </c:pt>
                <c:pt idx="2">
                  <c:v>2457470000</c:v>
                </c:pt>
                <c:pt idx="3">
                  <c:v>2505785000</c:v>
                </c:pt>
                <c:pt idx="4">
                  <c:v>2538251000</c:v>
                </c:pt>
                <c:pt idx="5">
                  <c:v>2536234000</c:v>
                </c:pt>
                <c:pt idx="6">
                  <c:v>2474546000</c:v>
                </c:pt>
                <c:pt idx="7">
                  <c:v>2463859000</c:v>
                </c:pt>
                <c:pt idx="8">
                  <c:v>2411873000</c:v>
                </c:pt>
                <c:pt idx="9">
                  <c:v>2407862000</c:v>
                </c:pt>
                <c:pt idx="10">
                  <c:v>2415020000</c:v>
                </c:pt>
                <c:pt idx="11">
                  <c:v>2405000000</c:v>
                </c:pt>
                <c:pt idx="12">
                  <c:v>2386574000</c:v>
                </c:pt>
              </c:numCache>
            </c:numRef>
          </c:val>
        </c:ser>
        <c:gapWidth val="25"/>
        <c:axId val="72547712"/>
        <c:axId val="72553600"/>
      </c:barChart>
      <c:lineChart>
        <c:grouping val="stacked"/>
        <c:ser>
          <c:idx val="0"/>
          <c:order val="0"/>
          <c:tx>
            <c:v>ukupni depoziti</c:v>
          </c:tx>
          <c:marker>
            <c:symbol val="none"/>
          </c:marker>
          <c:cat>
            <c:strRef>
              <c:f>'Database za makro'!$AH$9:$AT$9</c:f>
              <c:strCache>
                <c:ptCount val="13"/>
                <c:pt idx="0">
                  <c:v>IV</c:v>
                </c:pt>
                <c:pt idx="1">
                  <c:v>V</c:v>
                </c:pt>
                <c:pt idx="2">
                  <c:v>VI</c:v>
                </c:pt>
                <c:pt idx="3">
                  <c:v>VII</c:v>
                </c:pt>
                <c:pt idx="4">
                  <c:v>VIII</c:v>
                </c:pt>
                <c:pt idx="5">
                  <c:v>IX</c:v>
                </c:pt>
                <c:pt idx="6">
                  <c:v>X</c:v>
                </c:pt>
                <c:pt idx="7">
                  <c:v>XI</c:v>
                </c:pt>
                <c:pt idx="8">
                  <c:v>XII</c:v>
                </c:pt>
                <c:pt idx="9">
                  <c:v>I</c:v>
                </c:pt>
                <c:pt idx="10">
                  <c:v>II</c:v>
                </c:pt>
                <c:pt idx="11">
                  <c:v>III</c:v>
                </c:pt>
                <c:pt idx="12">
                  <c:v>IV</c:v>
                </c:pt>
              </c:strCache>
            </c:strRef>
          </c:cat>
          <c:val>
            <c:numRef>
              <c:f>'Database za makro'!$AH$30:$AT$30</c:f>
              <c:numCache>
                <c:formatCode>#,##0</c:formatCode>
                <c:ptCount val="13"/>
                <c:pt idx="0">
                  <c:v>1951485000</c:v>
                </c:pt>
                <c:pt idx="1">
                  <c:v>1974428000</c:v>
                </c:pt>
                <c:pt idx="2">
                  <c:v>2009655000</c:v>
                </c:pt>
                <c:pt idx="3">
                  <c:v>2075043000</c:v>
                </c:pt>
                <c:pt idx="4">
                  <c:v>2144342000</c:v>
                </c:pt>
                <c:pt idx="5">
                  <c:v>2172953000</c:v>
                </c:pt>
                <c:pt idx="6">
                  <c:v>2104283000</c:v>
                </c:pt>
                <c:pt idx="7">
                  <c:v>2084939000</c:v>
                </c:pt>
                <c:pt idx="8">
                  <c:v>2098576000</c:v>
                </c:pt>
                <c:pt idx="9">
                  <c:v>2096723000</c:v>
                </c:pt>
                <c:pt idx="10">
                  <c:v>2101686000</c:v>
                </c:pt>
                <c:pt idx="11">
                  <c:v>2104273000</c:v>
                </c:pt>
                <c:pt idx="12">
                  <c:v>2094844000</c:v>
                </c:pt>
              </c:numCache>
            </c:numRef>
          </c:val>
        </c:ser>
        <c:marker val="1"/>
        <c:axId val="72582272"/>
        <c:axId val="72555520"/>
      </c:lineChart>
      <c:catAx>
        <c:axId val="72547712"/>
        <c:scaling>
          <c:orientation val="minMax"/>
        </c:scaling>
        <c:axPos val="b"/>
        <c:tickLblPos val="nextTo"/>
        <c:txPr>
          <a:bodyPr/>
          <a:lstStyle/>
          <a:p>
            <a:pPr>
              <a:defRPr lang="en-US" sz="600"/>
            </a:pPr>
            <a:endParaRPr lang="en-US"/>
          </a:p>
        </c:txPr>
        <c:crossAx val="72553600"/>
        <c:crosses val="autoZero"/>
        <c:auto val="1"/>
        <c:lblAlgn val="ctr"/>
        <c:lblOffset val="100"/>
      </c:catAx>
      <c:valAx>
        <c:axId val="72553600"/>
        <c:scaling>
          <c:orientation val="minMax"/>
          <c:max val="2600000000"/>
          <c:min val="2300000000"/>
        </c:scaling>
        <c:axPos val="l"/>
        <c:numFmt formatCode="#,##0" sourceLinked="1"/>
        <c:tickLblPos val="nextTo"/>
        <c:txPr>
          <a:bodyPr/>
          <a:lstStyle/>
          <a:p>
            <a:pPr>
              <a:defRPr lang="en-US" sz="600"/>
            </a:pPr>
            <a:endParaRPr lang="en-US"/>
          </a:p>
        </c:txPr>
        <c:crossAx val="72547712"/>
        <c:crosses val="autoZero"/>
        <c:crossBetween val="between"/>
        <c:minorUnit val="100000000"/>
        <c:dispUnits>
          <c:builtInUnit val="millions"/>
        </c:dispUnits>
      </c:valAx>
      <c:valAx>
        <c:axId val="72555520"/>
        <c:scaling>
          <c:orientation val="minMax"/>
          <c:min val="1900000000.0000002"/>
        </c:scaling>
        <c:axPos val="r"/>
        <c:numFmt formatCode="#,##0" sourceLinked="1"/>
        <c:tickLblPos val="nextTo"/>
        <c:txPr>
          <a:bodyPr/>
          <a:lstStyle/>
          <a:p>
            <a:pPr>
              <a:defRPr lang="sr-Latn-CS" sz="600"/>
            </a:pPr>
            <a:endParaRPr lang="en-US"/>
          </a:p>
        </c:txPr>
        <c:crossAx val="72582272"/>
        <c:crosses val="max"/>
        <c:crossBetween val="between"/>
        <c:dispUnits>
          <c:builtInUnit val="millions"/>
        </c:dispUnits>
      </c:valAx>
      <c:catAx>
        <c:axId val="72582272"/>
        <c:scaling>
          <c:orientation val="minMax"/>
        </c:scaling>
        <c:delete val="1"/>
        <c:axPos val="b"/>
        <c:tickLblPos val="none"/>
        <c:crossAx val="72555520"/>
        <c:crosses val="autoZero"/>
        <c:auto val="1"/>
        <c:lblAlgn val="ctr"/>
        <c:lblOffset val="100"/>
      </c:catAx>
    </c:plotArea>
    <c:plotVisOnly val="1"/>
    <c:dispBlanksAs val="zero"/>
  </c:chart>
  <c:spPr>
    <a:ln>
      <a:noFill/>
    </a:ln>
  </c:sp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sr-Latn-CS" sz="1100"/>
            </a:pPr>
            <a:r>
              <a:rPr lang="en-US" sz="1100"/>
              <a:t>Struktura SDI </a:t>
            </a:r>
            <a:r>
              <a:rPr lang="sr-Latn-CS" sz="1100"/>
              <a:t>( u mil.€)</a:t>
            </a:r>
            <a:r>
              <a:rPr lang="en-US" sz="1100"/>
              <a:t> </a:t>
            </a:r>
            <a:endParaRPr lang="sr-Latn-CS" sz="1100"/>
          </a:p>
          <a:p>
            <a:pPr>
              <a:defRPr lang="sr-Latn-CS" sz="1100"/>
            </a:pPr>
            <a:endParaRPr lang="en-US" sz="1100"/>
          </a:p>
        </c:rich>
      </c:tx>
    </c:title>
    <c:plotArea>
      <c:layout/>
      <c:barChart>
        <c:barDir val="col"/>
        <c:grouping val="clustered"/>
        <c:ser>
          <c:idx val="0"/>
          <c:order val="0"/>
          <c:tx>
            <c:strRef>
              <c:f>'SDI 2013-2014'!$G$29:$G$30</c:f>
              <c:strCache>
                <c:ptCount val="1"/>
                <c:pt idx="0">
                  <c:v>Q1 2013</c:v>
                </c:pt>
              </c:strCache>
            </c:strRef>
          </c:tx>
          <c:cat>
            <c:strRef>
              <c:f>'SDI 2013-2014'!$A$31:$A$34</c:f>
              <c:strCache>
                <c:ptCount val="4"/>
                <c:pt idx="0">
                  <c:v>Invest. u komp. i banke</c:v>
                </c:pt>
                <c:pt idx="1">
                  <c:v>Interkompanijski dug</c:v>
                </c:pt>
                <c:pt idx="2">
                  <c:v>Nekretnine</c:v>
                </c:pt>
                <c:pt idx="3">
                  <c:v>Ostalo</c:v>
                </c:pt>
              </c:strCache>
            </c:strRef>
          </c:cat>
          <c:val>
            <c:numRef>
              <c:f>'SDI 2013-2014'!$G$31:$G$34</c:f>
              <c:numCache>
                <c:formatCode>#,##0.0</c:formatCode>
                <c:ptCount val="4"/>
                <c:pt idx="0">
                  <c:v>2901.5466899999997</c:v>
                </c:pt>
                <c:pt idx="1">
                  <c:v>40739.499649999998</c:v>
                </c:pt>
                <c:pt idx="2">
                  <c:v>36864.298210000001</c:v>
                </c:pt>
                <c:pt idx="3">
                  <c:v>1142.69705</c:v>
                </c:pt>
              </c:numCache>
            </c:numRef>
          </c:val>
        </c:ser>
        <c:ser>
          <c:idx val="1"/>
          <c:order val="1"/>
          <c:tx>
            <c:strRef>
              <c:f>'SDI 2013-2014'!$H$29:$H$30</c:f>
              <c:strCache>
                <c:ptCount val="1"/>
                <c:pt idx="0">
                  <c:v>Q1 2014</c:v>
                </c:pt>
              </c:strCache>
            </c:strRef>
          </c:tx>
          <c:cat>
            <c:strRef>
              <c:f>'SDI 2013-2014'!$A$31:$A$34</c:f>
              <c:strCache>
                <c:ptCount val="4"/>
                <c:pt idx="0">
                  <c:v>Invest. u komp. i banke</c:v>
                </c:pt>
                <c:pt idx="1">
                  <c:v>Interkompanijski dug</c:v>
                </c:pt>
                <c:pt idx="2">
                  <c:v>Nekretnine</c:v>
                </c:pt>
                <c:pt idx="3">
                  <c:v>Ostalo</c:v>
                </c:pt>
              </c:strCache>
            </c:strRef>
          </c:cat>
          <c:val>
            <c:numRef>
              <c:f>'SDI 2013-2014'!$H$31:$H$34</c:f>
              <c:numCache>
                <c:formatCode>#,##0.0</c:formatCode>
                <c:ptCount val="4"/>
                <c:pt idx="0">
                  <c:v>9917.4030600000006</c:v>
                </c:pt>
                <c:pt idx="1">
                  <c:v>55202.179979999994</c:v>
                </c:pt>
                <c:pt idx="2">
                  <c:v>37648.379520000002</c:v>
                </c:pt>
                <c:pt idx="3">
                  <c:v>2012.10959</c:v>
                </c:pt>
              </c:numCache>
            </c:numRef>
          </c:val>
        </c:ser>
        <c:axId val="72598272"/>
        <c:axId val="72599808"/>
      </c:barChart>
      <c:catAx>
        <c:axId val="72598272"/>
        <c:scaling>
          <c:orientation val="minMax"/>
        </c:scaling>
        <c:axPos val="b"/>
        <c:numFmt formatCode="General" sourceLinked="1"/>
        <c:tickLblPos val="nextTo"/>
        <c:txPr>
          <a:bodyPr/>
          <a:lstStyle/>
          <a:p>
            <a:pPr>
              <a:defRPr lang="sr-Latn-CS" sz="800"/>
            </a:pPr>
            <a:endParaRPr lang="en-US"/>
          </a:p>
        </c:txPr>
        <c:crossAx val="72599808"/>
        <c:crosses val="autoZero"/>
        <c:auto val="1"/>
        <c:lblAlgn val="ctr"/>
        <c:lblOffset val="100"/>
      </c:catAx>
      <c:valAx>
        <c:axId val="72599808"/>
        <c:scaling>
          <c:orientation val="minMax"/>
        </c:scaling>
        <c:axPos val="l"/>
        <c:numFmt formatCode="#,##0.0" sourceLinked="1"/>
        <c:majorTickMark val="none"/>
        <c:tickLblPos val="nextTo"/>
        <c:txPr>
          <a:bodyPr/>
          <a:lstStyle/>
          <a:p>
            <a:pPr>
              <a:defRPr lang="sr-Latn-CS" sz="800"/>
            </a:pPr>
            <a:endParaRPr lang="en-US"/>
          </a:p>
        </c:txPr>
        <c:crossAx val="72598272"/>
        <c:crosses val="autoZero"/>
        <c:crossBetween val="between"/>
        <c:dispUnits>
          <c:builtInUnit val="thousands"/>
        </c:dispUnits>
      </c:valAx>
    </c:plotArea>
    <c:legend>
      <c:legendPos val="t"/>
      <c:txPr>
        <a:bodyPr/>
        <a:lstStyle/>
        <a:p>
          <a:pPr>
            <a:defRPr lang="sr-Latn-CS" sz="800"/>
          </a:pPr>
          <a:endParaRPr lang="en-US"/>
        </a:p>
      </c:txPr>
    </c:legend>
    <c:plotVisOnly val="1"/>
    <c:dispBlanksAs val="gap"/>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0.65565</cdr:x>
      <cdr:y>0.46041</cdr:y>
    </cdr:from>
    <cdr:to>
      <cdr:x>1</cdr:x>
      <cdr:y>0.54545</cdr:y>
    </cdr:to>
    <cdr:sp macro="" textlink="">
      <cdr:nvSpPr>
        <cdr:cNvPr id="2" name="TextBox 1"/>
        <cdr:cNvSpPr txBox="1"/>
      </cdr:nvSpPr>
      <cdr:spPr>
        <a:xfrm xmlns:a="http://schemas.openxmlformats.org/drawingml/2006/main">
          <a:off x="1524000" y="996950"/>
          <a:ext cx="793750" cy="184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r-Latn-CS" sz="700"/>
            <a:t>Eurozona</a:t>
          </a:r>
        </a:p>
      </cdr:txBody>
    </cdr:sp>
  </cdr:relSizeAnchor>
  <cdr:relSizeAnchor xmlns:cdr="http://schemas.openxmlformats.org/drawingml/2006/chartDrawing">
    <cdr:from>
      <cdr:x>0.52342</cdr:x>
      <cdr:y>0.69501</cdr:y>
    </cdr:from>
    <cdr:to>
      <cdr:x>0.90358</cdr:x>
      <cdr:y>0.79472</cdr:y>
    </cdr:to>
    <cdr:sp macro="" textlink="">
      <cdr:nvSpPr>
        <cdr:cNvPr id="3" name="TextBox 2"/>
        <cdr:cNvSpPr txBox="1"/>
      </cdr:nvSpPr>
      <cdr:spPr>
        <a:xfrm xmlns:a="http://schemas.openxmlformats.org/drawingml/2006/main">
          <a:off x="1206500" y="1504950"/>
          <a:ext cx="876300" cy="215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r-Latn-CS" sz="700"/>
            <a:t>Crna Gora</a:t>
          </a:r>
        </a:p>
      </cdr:txBody>
    </cdr:sp>
  </cdr:relSizeAnchor>
</c:userShapes>
</file>

<file path=word/drawings/drawing2.xml><?xml version="1.0" encoding="utf-8"?>
<c:userShapes xmlns:c="http://schemas.openxmlformats.org/drawingml/2006/chart">
  <cdr:relSizeAnchor xmlns:cdr="http://schemas.openxmlformats.org/drawingml/2006/chartDrawing">
    <cdr:from>
      <cdr:x>0.11265</cdr:x>
      <cdr:y>0.15167</cdr:y>
    </cdr:from>
    <cdr:to>
      <cdr:x>0.44444</cdr:x>
      <cdr:y>0.23136</cdr:y>
    </cdr:to>
    <cdr:sp macro="" textlink="">
      <cdr:nvSpPr>
        <cdr:cNvPr id="3" name="TextBox 2"/>
        <cdr:cNvSpPr txBox="1"/>
      </cdr:nvSpPr>
      <cdr:spPr>
        <a:xfrm xmlns:a="http://schemas.openxmlformats.org/drawingml/2006/main">
          <a:off x="515056" y="416278"/>
          <a:ext cx="1516945" cy="2187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sr-Latn-CS" sz="1100"/>
        </a:p>
      </cdr:txBody>
    </cdr:sp>
  </cdr:relSizeAnchor>
  <cdr:relSizeAnchor xmlns:cdr="http://schemas.openxmlformats.org/drawingml/2006/chartDrawing">
    <cdr:from>
      <cdr:x>0.26765</cdr:x>
      <cdr:y>0.06542</cdr:y>
    </cdr:from>
    <cdr:to>
      <cdr:x>0.46168</cdr:x>
      <cdr:y>0.15888</cdr:y>
    </cdr:to>
    <cdr:sp macro="" textlink="">
      <cdr:nvSpPr>
        <cdr:cNvPr id="4" name="TextBox 3"/>
        <cdr:cNvSpPr txBox="1"/>
      </cdr:nvSpPr>
      <cdr:spPr>
        <a:xfrm xmlns:a="http://schemas.openxmlformats.org/drawingml/2006/main">
          <a:off x="532738" y="111317"/>
          <a:ext cx="386206" cy="15902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r-Latn-CS" sz="700"/>
            <a:t>broj</a:t>
          </a:r>
          <a:r>
            <a:rPr lang="sr-Latn-CS" sz="700" baseline="0"/>
            <a:t> zaposlenih</a:t>
          </a:r>
          <a:endParaRPr lang="sr-Latn-CS" sz="700"/>
        </a:p>
      </cdr:txBody>
    </cdr:sp>
  </cdr:relSizeAnchor>
  <cdr:relSizeAnchor xmlns:cdr="http://schemas.openxmlformats.org/drawingml/2006/chartDrawing">
    <cdr:from>
      <cdr:x>0.23142</cdr:x>
      <cdr:y>0.66622</cdr:y>
    </cdr:from>
    <cdr:to>
      <cdr:x>0.68422</cdr:x>
      <cdr:y>0.75119</cdr:y>
    </cdr:to>
    <cdr:sp macro="" textlink="">
      <cdr:nvSpPr>
        <cdr:cNvPr id="5" name="TextBox 4"/>
        <cdr:cNvSpPr txBox="1"/>
      </cdr:nvSpPr>
      <cdr:spPr>
        <a:xfrm xmlns:a="http://schemas.openxmlformats.org/drawingml/2006/main">
          <a:off x="460629" y="1133627"/>
          <a:ext cx="901263" cy="1445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r-Latn-CS" sz="700"/>
            <a:t>broj</a:t>
          </a:r>
          <a:r>
            <a:rPr lang="sr-Latn-CS" sz="700" baseline="0"/>
            <a:t> nezaposlenih</a:t>
          </a:r>
          <a:endParaRPr lang="sr-Latn-CS" sz="700"/>
        </a:p>
      </cdr:txBody>
    </cdr:sp>
  </cdr:relSizeAnchor>
</c:userShapes>
</file>

<file path=word/drawings/drawing3.xml><?xml version="1.0" encoding="utf-8"?>
<c:userShapes xmlns:c="http://schemas.openxmlformats.org/drawingml/2006/chart">
  <cdr:relSizeAnchor xmlns:cdr="http://schemas.openxmlformats.org/drawingml/2006/chartDrawing">
    <cdr:from>
      <cdr:x>0.12785</cdr:x>
      <cdr:y>0.27314</cdr:y>
    </cdr:from>
    <cdr:to>
      <cdr:x>0.35616</cdr:x>
      <cdr:y>0.36944</cdr:y>
    </cdr:to>
    <cdr:sp macro="" textlink="">
      <cdr:nvSpPr>
        <cdr:cNvPr id="2" name="TextBox 1"/>
        <cdr:cNvSpPr txBox="1"/>
      </cdr:nvSpPr>
      <cdr:spPr>
        <a:xfrm xmlns:a="http://schemas.openxmlformats.org/drawingml/2006/main">
          <a:off x="295990" y="519736"/>
          <a:ext cx="528555" cy="1832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r-Latn-CS" sz="700"/>
            <a:t>krediti</a:t>
          </a:r>
          <a:endParaRPr lang="sr-Latn-CS" sz="1100"/>
        </a:p>
      </cdr:txBody>
    </cdr:sp>
  </cdr:relSizeAnchor>
  <cdr:relSizeAnchor xmlns:cdr="http://schemas.openxmlformats.org/drawingml/2006/chartDrawing">
    <cdr:from>
      <cdr:x>0.60502</cdr:x>
      <cdr:y>0.52826</cdr:y>
    </cdr:from>
    <cdr:to>
      <cdr:x>1</cdr:x>
      <cdr:y>0.95332</cdr:y>
    </cdr:to>
    <cdr:sp macro="" textlink="">
      <cdr:nvSpPr>
        <cdr:cNvPr id="3" name="TextBox 2"/>
        <cdr:cNvSpPr txBox="1"/>
      </cdr:nvSpPr>
      <cdr:spPr>
        <a:xfrm xmlns:a="http://schemas.openxmlformats.org/drawingml/2006/main">
          <a:off x="1506381" y="113639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r-Latn-CS" sz="1100"/>
        </a:p>
      </cdr:txBody>
    </cdr:sp>
  </cdr:relSizeAnchor>
  <cdr:relSizeAnchor xmlns:cdr="http://schemas.openxmlformats.org/drawingml/2006/chartDrawing">
    <cdr:from>
      <cdr:x>0.66092</cdr:x>
      <cdr:y>0.1934</cdr:y>
    </cdr:from>
    <cdr:to>
      <cdr:x>0.9463</cdr:x>
      <cdr:y>0.27203</cdr:y>
    </cdr:to>
    <cdr:sp macro="" textlink="">
      <cdr:nvSpPr>
        <cdr:cNvPr id="4" name="TextBox 3"/>
        <cdr:cNvSpPr txBox="1"/>
      </cdr:nvSpPr>
      <cdr:spPr>
        <a:xfrm xmlns:a="http://schemas.openxmlformats.org/drawingml/2006/main">
          <a:off x="1530075" y="367993"/>
          <a:ext cx="660675" cy="1496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r-Latn-CS" sz="700"/>
            <a:t>depoziti</a:t>
          </a:r>
          <a:endParaRPr lang="sr-Latn-C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C7535-DE4D-4078-A58E-7035F96D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1561</TotalTime>
  <Pages>5</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milos.popovic;Iva Radovan</dc:creator>
  <cp:lastModifiedBy>zdenka.dabovic</cp:lastModifiedBy>
  <cp:revision>170</cp:revision>
  <cp:lastPrinted>2014-01-16T09:51:00Z</cp:lastPrinted>
  <dcterms:created xsi:type="dcterms:W3CDTF">2014-03-07T12:21:00Z</dcterms:created>
  <dcterms:modified xsi:type="dcterms:W3CDTF">2014-06-06T11:08:00Z</dcterms:modified>
</cp:coreProperties>
</file>