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6D" w:rsidRDefault="000A216D" w:rsidP="007B151B">
      <w:pPr>
        <w:rPr>
          <w:b/>
        </w:rPr>
      </w:pPr>
    </w:p>
    <w:p w:rsidR="00DA0835" w:rsidRDefault="0073697A" w:rsidP="007B151B">
      <w:pPr>
        <w:rPr>
          <w:b/>
        </w:rPr>
      </w:pPr>
      <w:r w:rsidRPr="00CC5BC9">
        <w:rPr>
          <w:b/>
        </w:rPr>
        <w:t>Realni sektor</w:t>
      </w:r>
      <w:r w:rsidR="008F5166">
        <w:rPr>
          <w:b/>
        </w:rPr>
        <w:t xml:space="preserve"> </w:t>
      </w:r>
    </w:p>
    <w:p w:rsidR="00E42D19" w:rsidRPr="00E42D19" w:rsidRDefault="00E42D19" w:rsidP="00E42D19">
      <w:pPr>
        <w:rPr>
          <w:sz w:val="20"/>
          <w:szCs w:val="20"/>
        </w:rPr>
      </w:pPr>
      <w:r w:rsidRPr="00E42D19">
        <w:rPr>
          <w:sz w:val="20"/>
          <w:szCs w:val="20"/>
        </w:rPr>
        <w:t xml:space="preserve">Građevinska aktivnost u II kvartalu 2016. bilježi visok rast vrijednosti izvršenih građevinskih radova od 32,1 % i rast ostvarenih časova rada od 19,6%, što je dominantno razultat </w:t>
      </w:r>
      <w:r w:rsidR="00106C06">
        <w:rPr>
          <w:sz w:val="20"/>
          <w:szCs w:val="20"/>
        </w:rPr>
        <w:t xml:space="preserve">intenziviranja radova na izgradnji autoputa, </w:t>
      </w:r>
      <w:r w:rsidRPr="00E42D19">
        <w:rPr>
          <w:sz w:val="20"/>
          <w:szCs w:val="20"/>
        </w:rPr>
        <w:t xml:space="preserve">obimnih radova na rekonstrukciji i izgradnji  regionalne i lokalne infrastrukture, </w:t>
      </w:r>
      <w:bookmarkStart w:id="0" w:name="_GoBack"/>
      <w:bookmarkEnd w:id="0"/>
      <w:r w:rsidRPr="00E42D19">
        <w:rPr>
          <w:sz w:val="20"/>
          <w:szCs w:val="20"/>
        </w:rPr>
        <w:t xml:space="preserve"> i radova na izgradnji i poboljšanju hotelskih kapaciteta.</w:t>
      </w:r>
      <w:r w:rsidRPr="00E42D19">
        <w:rPr>
          <w:rFonts w:cstheme="minorHAnsi"/>
          <w:sz w:val="20"/>
          <w:szCs w:val="20"/>
        </w:rPr>
        <w:t xml:space="preserve"> Industrijska proizvodnja za 7 mjeseci niža je za 7,0%, pri čemu je pad zabilježen u svim sektorima. Vađenje rude i  kamena b</w:t>
      </w:r>
      <w:r w:rsidR="00B45DE4">
        <w:rPr>
          <w:rFonts w:cstheme="minorHAnsi"/>
          <w:sz w:val="20"/>
          <w:szCs w:val="20"/>
        </w:rPr>
        <w:t>ilježi pad 34,0%,  p</w:t>
      </w:r>
      <w:r w:rsidRPr="00E42D19">
        <w:rPr>
          <w:rFonts w:cstheme="minorHAnsi"/>
          <w:sz w:val="20"/>
          <w:szCs w:val="20"/>
        </w:rPr>
        <w:t>rerađ</w:t>
      </w:r>
      <w:r w:rsidR="00B45DE4">
        <w:rPr>
          <w:rFonts w:cstheme="minorHAnsi"/>
          <w:sz w:val="20"/>
          <w:szCs w:val="20"/>
        </w:rPr>
        <w:t xml:space="preserve">ivačka industrija 6,7%, dok je proizvodnja struje </w:t>
      </w:r>
      <w:r w:rsidRPr="00E42D19">
        <w:rPr>
          <w:rFonts w:cstheme="minorHAnsi"/>
          <w:sz w:val="20"/>
          <w:szCs w:val="20"/>
        </w:rPr>
        <w:t xml:space="preserve">niža </w:t>
      </w:r>
      <w:r w:rsidR="005600A4">
        <w:rPr>
          <w:rFonts w:cstheme="minorHAnsi"/>
          <w:sz w:val="20"/>
          <w:szCs w:val="20"/>
        </w:rPr>
        <w:t>za</w:t>
      </w:r>
      <w:r w:rsidRPr="00E42D19">
        <w:rPr>
          <w:rFonts w:cstheme="minorHAnsi"/>
          <w:sz w:val="20"/>
          <w:szCs w:val="20"/>
        </w:rPr>
        <w:t xml:space="preserve"> 3,8</w:t>
      </w:r>
      <w:r w:rsidRPr="00E42D19">
        <w:rPr>
          <w:rFonts w:cstheme="minorHAnsi"/>
          <w:b/>
          <w:sz w:val="20"/>
          <w:szCs w:val="20"/>
        </w:rPr>
        <w:t xml:space="preserve">%. </w:t>
      </w:r>
      <w:r w:rsidRPr="00E42D19">
        <w:rPr>
          <w:sz w:val="20"/>
          <w:szCs w:val="20"/>
        </w:rPr>
        <w:t>Promet u maloprodaji za sedam mjeseci veći je za 3,9% u tekućim i 2,2% u stalnim cijenama. U julu je zabilježen rast dolazaka (2,2%) i pad noćenja turista (2,6%)</w:t>
      </w:r>
      <w:r w:rsidR="008C0FA2">
        <w:rPr>
          <w:sz w:val="20"/>
          <w:szCs w:val="20"/>
        </w:rPr>
        <w:t xml:space="preserve"> g-n-g</w:t>
      </w:r>
      <w:r w:rsidRPr="00E42D19">
        <w:rPr>
          <w:sz w:val="20"/>
          <w:szCs w:val="20"/>
        </w:rPr>
        <w:t>, dok je rast za sedam mjeseci ove godine iznosio 3,8 i 0,5%, respektivno. Turisti iz Srbije i Rusije ostvarili su preko polovine (52,3%) ukupnih noćenja za sedam mjeseci</w:t>
      </w:r>
      <w:r w:rsidR="008C0FA2">
        <w:rPr>
          <w:sz w:val="20"/>
          <w:szCs w:val="20"/>
        </w:rPr>
        <w:t xml:space="preserve">. </w:t>
      </w:r>
    </w:p>
    <w:p w:rsidR="00DA0835" w:rsidRDefault="008D0CF1" w:rsidP="007B151B">
      <w:pPr>
        <w:rPr>
          <w:b/>
        </w:rPr>
      </w:pPr>
      <w:r w:rsidRPr="00CC5BC9">
        <w:rPr>
          <w:b/>
        </w:rPr>
        <w:t>Inflacija</w:t>
      </w:r>
      <w:r w:rsidR="008F5166">
        <w:rPr>
          <w:b/>
        </w:rPr>
        <w:t xml:space="preserve"> </w:t>
      </w:r>
    </w:p>
    <w:p w:rsidR="00E42D19" w:rsidRPr="00E42D19" w:rsidRDefault="005458FE" w:rsidP="00E42D19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t>Godišnja stopa inflacije</w:t>
      </w:r>
      <w:r w:rsidR="00E42D19" w:rsidRPr="00E42D19">
        <w:rPr>
          <w:sz w:val="20"/>
          <w:szCs w:val="20"/>
        </w:rPr>
        <w:t xml:space="preserve"> u julu </w:t>
      </w:r>
      <w:r>
        <w:rPr>
          <w:sz w:val="20"/>
          <w:szCs w:val="20"/>
        </w:rPr>
        <w:t xml:space="preserve">2016. </w:t>
      </w:r>
      <w:r w:rsidR="00E42D19" w:rsidRPr="00E42D19">
        <w:rPr>
          <w:sz w:val="20"/>
          <w:szCs w:val="20"/>
        </w:rPr>
        <w:t xml:space="preserve">iznosila </w:t>
      </w:r>
      <w:r>
        <w:rPr>
          <w:sz w:val="20"/>
          <w:szCs w:val="20"/>
        </w:rPr>
        <w:t xml:space="preserve">je </w:t>
      </w:r>
      <w:r w:rsidR="00E42D19" w:rsidRPr="00E42D19">
        <w:rPr>
          <w:sz w:val="20"/>
          <w:szCs w:val="20"/>
        </w:rPr>
        <w:t>-0,6%. Izmjereni nivo inflacije dominantno je opredijeljen padom cijena u oblasti „hrana i bezalkoholna pića“ ( 0,6%)</w:t>
      </w:r>
      <w:r w:rsidR="00E42D19" w:rsidRPr="00E42D19">
        <w:rPr>
          <w:rFonts w:cstheme="minorHAnsi"/>
          <w:sz w:val="20"/>
          <w:szCs w:val="20"/>
        </w:rPr>
        <w:t xml:space="preserve"> usljed pada cijena velikog broja prehrambenih proizvoda ( meso 3,6%; voće 4,9% i povrće 6,6%, g-n-g) i pada cijena u oblasti prevoz (5,9%), usljed globalnog smanjenja cijena nafte, što je  uticalo da u julu cijene gori</w:t>
      </w:r>
      <w:r w:rsidR="00C76FEF">
        <w:rPr>
          <w:rFonts w:cstheme="minorHAnsi"/>
          <w:sz w:val="20"/>
          <w:szCs w:val="20"/>
        </w:rPr>
        <w:t xml:space="preserve">va u Crnoj Gori budu niže 15,5% g-n-g. </w:t>
      </w:r>
      <w:r w:rsidR="00E42D19" w:rsidRPr="00E42D19">
        <w:rPr>
          <w:sz w:val="20"/>
          <w:szCs w:val="20"/>
        </w:rPr>
        <w:t xml:space="preserve">Inflacija mjerena HICP-om u julu 2016. bilježi godišnji pad od 0,2%, dok su cijene proizvođača industrijskih proizvoda veće 0,1%. Pad bilježe cijene industrijskih proizvoda iz uvoza (1,6%), dok su cijene industrijskih proizvoda za izvoz u julu bile veće 0,9%, dominantno usljed rasta cijena osnovnih metala (3.5%). 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Zaposlenost i zarade</w:t>
      </w:r>
      <w:r w:rsidR="008F5166">
        <w:rPr>
          <w:b/>
        </w:rPr>
        <w:t xml:space="preserve"> </w:t>
      </w:r>
    </w:p>
    <w:p w:rsidR="0098749F" w:rsidRDefault="0098749F" w:rsidP="0098749F">
      <w:pPr>
        <w:rPr>
          <w:sz w:val="20"/>
          <w:szCs w:val="20"/>
        </w:rPr>
      </w:pPr>
      <w:r w:rsidRPr="00E42D19">
        <w:rPr>
          <w:sz w:val="20"/>
          <w:szCs w:val="20"/>
        </w:rPr>
        <w:t xml:space="preserve">Kretanja na tržištu rada </w:t>
      </w:r>
      <w:r>
        <w:rPr>
          <w:sz w:val="20"/>
          <w:szCs w:val="20"/>
        </w:rPr>
        <w:t>pokazuju da se u julu 2016</w:t>
      </w:r>
      <w:r w:rsidR="00FC00CE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E42D19">
        <w:rPr>
          <w:sz w:val="20"/>
          <w:szCs w:val="20"/>
        </w:rPr>
        <w:t>oveća</w:t>
      </w:r>
      <w:r>
        <w:rPr>
          <w:sz w:val="20"/>
          <w:szCs w:val="20"/>
        </w:rPr>
        <w:t>o broj</w:t>
      </w:r>
      <w:r w:rsidRPr="00E42D19">
        <w:rPr>
          <w:sz w:val="20"/>
          <w:szCs w:val="20"/>
        </w:rPr>
        <w:t xml:space="preserve"> zaposlen</w:t>
      </w:r>
      <w:r>
        <w:rPr>
          <w:sz w:val="20"/>
          <w:szCs w:val="20"/>
        </w:rPr>
        <w:t xml:space="preserve">ih </w:t>
      </w:r>
      <w:r w:rsidRPr="00E42D19">
        <w:rPr>
          <w:sz w:val="20"/>
          <w:szCs w:val="20"/>
        </w:rPr>
        <w:t>za 1,</w:t>
      </w:r>
      <w:r>
        <w:rPr>
          <w:sz w:val="20"/>
          <w:szCs w:val="20"/>
        </w:rPr>
        <w:t>8</w:t>
      </w:r>
      <w:r w:rsidRPr="00E42D19">
        <w:rPr>
          <w:sz w:val="20"/>
          <w:szCs w:val="20"/>
        </w:rPr>
        <w:t>%</w:t>
      </w:r>
      <w:r w:rsidR="00FC00CE">
        <w:rPr>
          <w:sz w:val="20"/>
          <w:szCs w:val="20"/>
        </w:rPr>
        <w:t xml:space="preserve"> g-n-g</w:t>
      </w:r>
      <w:r w:rsidRPr="00E42D19">
        <w:rPr>
          <w:sz w:val="20"/>
          <w:szCs w:val="20"/>
        </w:rPr>
        <w:t>, ali i nezaposlen</w:t>
      </w:r>
      <w:r>
        <w:rPr>
          <w:sz w:val="20"/>
          <w:szCs w:val="20"/>
        </w:rPr>
        <w:t>ih</w:t>
      </w:r>
      <w:r w:rsidRPr="00E42D19">
        <w:rPr>
          <w:sz w:val="20"/>
          <w:szCs w:val="20"/>
        </w:rPr>
        <w:t xml:space="preserve"> za </w:t>
      </w:r>
      <w:r>
        <w:rPr>
          <w:sz w:val="20"/>
          <w:szCs w:val="20"/>
        </w:rPr>
        <w:t>28,3</w:t>
      </w:r>
      <w:r w:rsidRPr="00E42D19">
        <w:rPr>
          <w:sz w:val="20"/>
          <w:szCs w:val="20"/>
        </w:rPr>
        <w:t>%</w:t>
      </w:r>
      <w:r w:rsidR="00FC00CE">
        <w:rPr>
          <w:sz w:val="20"/>
          <w:szCs w:val="20"/>
        </w:rPr>
        <w:t xml:space="preserve"> g-n-g</w:t>
      </w:r>
      <w:r w:rsidRPr="00E42D19">
        <w:rPr>
          <w:sz w:val="20"/>
          <w:szCs w:val="20"/>
        </w:rPr>
        <w:t>.</w:t>
      </w:r>
      <w:r>
        <w:rPr>
          <w:sz w:val="20"/>
          <w:szCs w:val="20"/>
        </w:rPr>
        <w:t xml:space="preserve"> Do povećanja broja nezaposlenih došlo je prevashodno zbog izmjene Zakona o socijalnoj i djeičijoj zaštiti, što pokazuje povećanje broja nezaposlenih žena u julu za 37,5% g-n-g.  </w:t>
      </w:r>
      <w:r w:rsidRPr="00E42D19">
        <w:rPr>
          <w:sz w:val="20"/>
          <w:szCs w:val="20"/>
        </w:rPr>
        <w:t xml:space="preserve">Stopa nezaposlenosti za jul mjesec iznosila je 17,29%, i veća je za </w:t>
      </w:r>
      <w:r>
        <w:rPr>
          <w:sz w:val="20"/>
          <w:szCs w:val="20"/>
        </w:rPr>
        <w:t>3,8</w:t>
      </w:r>
      <w:r w:rsidRPr="00E42D19">
        <w:rPr>
          <w:sz w:val="20"/>
          <w:szCs w:val="20"/>
        </w:rPr>
        <w:t xml:space="preserve"> p.p. </w:t>
      </w:r>
      <w:r>
        <w:rPr>
          <w:sz w:val="20"/>
          <w:szCs w:val="20"/>
        </w:rPr>
        <w:t xml:space="preserve">g-n-g. </w:t>
      </w:r>
      <w:r w:rsidRPr="00E42D19">
        <w:rPr>
          <w:sz w:val="20"/>
          <w:szCs w:val="20"/>
        </w:rPr>
        <w:t xml:space="preserve">Prosječna zarada u ovom mjesecu iznosila je 754 eura i </w:t>
      </w:r>
      <w:r>
        <w:rPr>
          <w:sz w:val="20"/>
          <w:szCs w:val="20"/>
        </w:rPr>
        <w:t>veća</w:t>
      </w:r>
      <w:r w:rsidRPr="00E42D19">
        <w:rPr>
          <w:sz w:val="20"/>
          <w:szCs w:val="20"/>
        </w:rPr>
        <w:t xml:space="preserve"> je za </w:t>
      </w:r>
      <w:r>
        <w:rPr>
          <w:sz w:val="20"/>
          <w:szCs w:val="20"/>
        </w:rPr>
        <w:t>3,9</w:t>
      </w:r>
      <w:r w:rsidRPr="00E42D19">
        <w:rPr>
          <w:sz w:val="20"/>
          <w:szCs w:val="20"/>
        </w:rPr>
        <w:t>%</w:t>
      </w:r>
      <w:r>
        <w:rPr>
          <w:sz w:val="20"/>
          <w:szCs w:val="20"/>
        </w:rPr>
        <w:t xml:space="preserve"> g-n-g, dok je p</w:t>
      </w:r>
      <w:r w:rsidRPr="00E42D19">
        <w:rPr>
          <w:sz w:val="20"/>
          <w:szCs w:val="20"/>
        </w:rPr>
        <w:t xml:space="preserve">rosječna neto zarada u julu bila je 501 euro, što je </w:t>
      </w:r>
      <w:r>
        <w:rPr>
          <w:sz w:val="20"/>
          <w:szCs w:val="20"/>
        </w:rPr>
        <w:t>povećanje</w:t>
      </w:r>
      <w:r w:rsidRPr="00E42D19">
        <w:rPr>
          <w:sz w:val="20"/>
          <w:szCs w:val="20"/>
        </w:rPr>
        <w:t xml:space="preserve"> za </w:t>
      </w:r>
      <w:r>
        <w:rPr>
          <w:sz w:val="20"/>
          <w:szCs w:val="20"/>
        </w:rPr>
        <w:t>5,3</w:t>
      </w:r>
      <w:r w:rsidRPr="00E42D19">
        <w:rPr>
          <w:sz w:val="20"/>
          <w:szCs w:val="20"/>
        </w:rPr>
        <w:t xml:space="preserve">% </w:t>
      </w:r>
      <w:r>
        <w:rPr>
          <w:sz w:val="20"/>
          <w:szCs w:val="20"/>
        </w:rPr>
        <w:t>g-n-g.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Javne finansije</w:t>
      </w:r>
      <w:r w:rsidR="008F5166">
        <w:rPr>
          <w:b/>
        </w:rPr>
        <w:t xml:space="preserve"> </w:t>
      </w:r>
    </w:p>
    <w:p w:rsidR="008B415E" w:rsidRDefault="00E42D19" w:rsidP="00E42D19">
      <w:pPr>
        <w:autoSpaceDE w:val="0"/>
        <w:autoSpaceDN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Prihodi budžeta u </w:t>
      </w:r>
      <w:r w:rsidR="00AF19CD">
        <w:rPr>
          <w:sz w:val="20"/>
          <w:szCs w:val="20"/>
          <w:lang w:val="en-US"/>
        </w:rPr>
        <w:t>periodu januar-jul 2016.</w:t>
      </w:r>
      <w:r w:rsidR="00787D64">
        <w:rPr>
          <w:sz w:val="20"/>
          <w:szCs w:val="20"/>
          <w:lang w:val="en-US"/>
        </w:rPr>
        <w:t xml:space="preserve"> </w:t>
      </w:r>
      <w:r w:rsidR="00AF19CD">
        <w:rPr>
          <w:sz w:val="20"/>
          <w:szCs w:val="20"/>
          <w:lang w:val="en-US"/>
        </w:rPr>
        <w:t xml:space="preserve"> i</w:t>
      </w:r>
      <w:r>
        <w:rPr>
          <w:sz w:val="20"/>
          <w:szCs w:val="20"/>
          <w:lang w:val="en-US"/>
        </w:rPr>
        <w:t>znosili su 759,4mil€</w:t>
      </w:r>
      <w:r w:rsidR="00AF19CD">
        <w:rPr>
          <w:sz w:val="20"/>
          <w:szCs w:val="20"/>
          <w:lang w:val="en-US"/>
        </w:rPr>
        <w:t>, što je rast od 6,1% g-n-g.</w:t>
      </w:r>
      <w:r>
        <w:rPr>
          <w:sz w:val="20"/>
          <w:szCs w:val="20"/>
          <w:lang w:val="en-US"/>
        </w:rPr>
        <w:t xml:space="preserve"> Najveći rast prihoda zabilježen je kod akciza, carina, po</w:t>
      </w:r>
      <w:r w:rsidR="000038EF">
        <w:rPr>
          <w:sz w:val="20"/>
          <w:szCs w:val="20"/>
          <w:lang w:val="en-US"/>
        </w:rPr>
        <w:t>reza na dobit  pravnih lica, i</w:t>
      </w:r>
      <w:r>
        <w:rPr>
          <w:sz w:val="20"/>
          <w:szCs w:val="20"/>
          <w:lang w:val="en-US"/>
        </w:rPr>
        <w:t xml:space="preserve"> PDV-a i to 9,0%, 6,1%,</w:t>
      </w:r>
      <w:r w:rsidR="000038E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5,7% </w:t>
      </w:r>
      <w:r w:rsidR="008B415E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 xml:space="preserve"> 5,6% respektivno. U julu </w:t>
      </w:r>
      <w:r w:rsidR="000038EF">
        <w:rPr>
          <w:sz w:val="20"/>
          <w:szCs w:val="20"/>
          <w:lang w:val="en-US"/>
        </w:rPr>
        <w:t xml:space="preserve">su prihodi </w:t>
      </w:r>
      <w:r>
        <w:rPr>
          <w:sz w:val="20"/>
          <w:szCs w:val="20"/>
          <w:lang w:val="en-US"/>
        </w:rPr>
        <w:t xml:space="preserve"> naplaćeni u </w:t>
      </w:r>
    </w:p>
    <w:p w:rsidR="008B415E" w:rsidRDefault="008B415E" w:rsidP="00E42D19">
      <w:pPr>
        <w:autoSpaceDE w:val="0"/>
        <w:autoSpaceDN w:val="0"/>
        <w:rPr>
          <w:sz w:val="20"/>
          <w:szCs w:val="20"/>
          <w:lang w:val="en-US"/>
        </w:rPr>
      </w:pPr>
    </w:p>
    <w:p w:rsidR="00E42D19" w:rsidRDefault="00E42D19" w:rsidP="00E42D19">
      <w:pPr>
        <w:autoSpaceDE w:val="0"/>
        <w:autoSpaceDN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iznosu od 126,2mil</w:t>
      </w:r>
      <w:r w:rsidR="004C5EC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€  što je </w:t>
      </w:r>
      <w:r w:rsidR="000038EF">
        <w:rPr>
          <w:sz w:val="20"/>
          <w:szCs w:val="20"/>
          <w:lang w:val="en-US"/>
        </w:rPr>
        <w:t xml:space="preserve">10,0% niže od plana </w:t>
      </w:r>
      <w:r>
        <w:rPr>
          <w:sz w:val="20"/>
          <w:szCs w:val="20"/>
          <w:lang w:val="en-US"/>
        </w:rPr>
        <w:t xml:space="preserve"> </w:t>
      </w:r>
      <w:r w:rsidR="00787D64">
        <w:rPr>
          <w:sz w:val="20"/>
          <w:szCs w:val="20"/>
          <w:lang w:val="en-US"/>
        </w:rPr>
        <w:t xml:space="preserve">i </w:t>
      </w:r>
      <w:r>
        <w:rPr>
          <w:sz w:val="20"/>
          <w:szCs w:val="20"/>
          <w:lang w:val="en-US"/>
        </w:rPr>
        <w:t xml:space="preserve"> 1,0% </w:t>
      </w:r>
      <w:r w:rsidR="000038EF">
        <w:rPr>
          <w:sz w:val="20"/>
          <w:szCs w:val="20"/>
          <w:lang w:val="en-US"/>
        </w:rPr>
        <w:t>niže g-n-g.</w:t>
      </w:r>
      <w:r>
        <w:rPr>
          <w:sz w:val="20"/>
          <w:szCs w:val="20"/>
          <w:lang w:val="en-US"/>
        </w:rPr>
        <w:t xml:space="preserve"> Izdaci bu</w:t>
      </w:r>
      <w:r w:rsidR="00596B99">
        <w:rPr>
          <w:sz w:val="20"/>
          <w:szCs w:val="20"/>
          <w:lang w:val="en-US"/>
        </w:rPr>
        <w:t xml:space="preserve">džeta u periodu januar-jul </w:t>
      </w:r>
      <w:r>
        <w:rPr>
          <w:sz w:val="20"/>
          <w:szCs w:val="20"/>
          <w:lang w:val="en-US"/>
        </w:rPr>
        <w:t>iznosili su  867,8</w:t>
      </w:r>
      <w:r w:rsidR="00FC00C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mil</w:t>
      </w:r>
      <w:r w:rsidR="004C5EC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€,</w:t>
      </w:r>
      <w:r w:rsidR="00596B99">
        <w:rPr>
          <w:sz w:val="20"/>
          <w:szCs w:val="20"/>
          <w:lang w:val="en-US"/>
        </w:rPr>
        <w:t xml:space="preserve"> što je </w:t>
      </w:r>
      <w:r>
        <w:rPr>
          <w:sz w:val="20"/>
          <w:szCs w:val="20"/>
          <w:lang w:val="en-US"/>
        </w:rPr>
        <w:t xml:space="preserve"> 11,3%</w:t>
      </w:r>
      <w:r w:rsidR="00596B99">
        <w:rPr>
          <w:sz w:val="20"/>
          <w:szCs w:val="20"/>
          <w:lang w:val="en-US"/>
        </w:rPr>
        <w:t xml:space="preserve"> niže g-n-g, </w:t>
      </w:r>
      <w:r>
        <w:rPr>
          <w:sz w:val="20"/>
          <w:szCs w:val="20"/>
          <w:lang w:val="en-US"/>
        </w:rPr>
        <w:t xml:space="preserve"> uslje</w:t>
      </w:r>
      <w:r w:rsidR="00596B99">
        <w:rPr>
          <w:sz w:val="20"/>
          <w:szCs w:val="20"/>
          <w:lang w:val="en-US"/>
        </w:rPr>
        <w:t>d  </w:t>
      </w:r>
      <w:r w:rsidR="009C23C1">
        <w:rPr>
          <w:sz w:val="20"/>
          <w:szCs w:val="20"/>
          <w:lang w:val="en-US"/>
        </w:rPr>
        <w:t>niske kapitalne potrošnje</w:t>
      </w:r>
      <w:r w:rsidR="00596B99">
        <w:rPr>
          <w:sz w:val="20"/>
          <w:szCs w:val="20"/>
          <w:lang w:val="en-US"/>
        </w:rPr>
        <w:t>. G</w:t>
      </w:r>
      <w:r>
        <w:rPr>
          <w:sz w:val="20"/>
          <w:szCs w:val="20"/>
          <w:lang w:val="en-US"/>
        </w:rPr>
        <w:t xml:space="preserve">otovinski budžetski deficit </w:t>
      </w:r>
      <w:r w:rsidR="00596B99">
        <w:rPr>
          <w:sz w:val="20"/>
          <w:szCs w:val="20"/>
          <w:lang w:val="en-US"/>
        </w:rPr>
        <w:t>za period iznosio je</w:t>
      </w:r>
      <w:r>
        <w:rPr>
          <w:sz w:val="20"/>
          <w:szCs w:val="20"/>
          <w:lang w:val="en-US"/>
        </w:rPr>
        <w:t xml:space="preserve"> 108,4mil</w:t>
      </w:r>
      <w:r w:rsidR="004C5EC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€</w:t>
      </w:r>
      <w:r w:rsidR="0098749F">
        <w:rPr>
          <w:sz w:val="20"/>
          <w:szCs w:val="20"/>
          <w:lang w:val="en-US"/>
        </w:rPr>
        <w:t xml:space="preserve"> (2,9%</w:t>
      </w:r>
      <w:r w:rsidR="009C23C1">
        <w:rPr>
          <w:sz w:val="20"/>
          <w:szCs w:val="20"/>
          <w:lang w:val="en-US"/>
        </w:rPr>
        <w:t xml:space="preserve"> BDP-a)</w:t>
      </w:r>
      <w:r>
        <w:rPr>
          <w:sz w:val="20"/>
          <w:szCs w:val="20"/>
          <w:lang w:val="en-US"/>
        </w:rPr>
        <w:t>, dok u julu imamo suficit od 0,8 mil</w:t>
      </w:r>
      <w:r w:rsidR="004C5EC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€.</w:t>
      </w:r>
      <w:r w:rsidR="0072343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Državni dug (uključujući dep</w:t>
      </w:r>
      <w:r w:rsidR="00786BE4">
        <w:rPr>
          <w:sz w:val="20"/>
          <w:szCs w:val="20"/>
          <w:lang w:val="en-US"/>
        </w:rPr>
        <w:t>ozite) na kraju juna 2016.</w:t>
      </w:r>
      <w:r w:rsidR="009F2B48">
        <w:rPr>
          <w:sz w:val="20"/>
          <w:szCs w:val="20"/>
          <w:lang w:val="en-US"/>
        </w:rPr>
        <w:t xml:space="preserve"> iznosio je 2.305,1 mil.€ </w:t>
      </w:r>
      <w:r>
        <w:rPr>
          <w:sz w:val="20"/>
          <w:szCs w:val="20"/>
          <w:lang w:val="en-US"/>
        </w:rPr>
        <w:t xml:space="preserve">ili 60,6 % procijenjenog BDP-a. Ino–dug iznosi </w:t>
      </w:r>
      <w:r w:rsidR="00596B99">
        <w:rPr>
          <w:sz w:val="20"/>
          <w:szCs w:val="20"/>
          <w:lang w:val="en-US"/>
        </w:rPr>
        <w:t xml:space="preserve">je </w:t>
      </w:r>
      <w:r>
        <w:rPr>
          <w:sz w:val="20"/>
          <w:szCs w:val="20"/>
          <w:lang w:val="en-US"/>
        </w:rPr>
        <w:t>2.033,8mil.€, unutrašnji dug 326,9mil.€, dok se na depozite odnosi 54,7 mil.€.</w:t>
      </w:r>
    </w:p>
    <w:p w:rsidR="00E42D19" w:rsidRDefault="008D0CF1" w:rsidP="00E42D19">
      <w:pPr>
        <w:rPr>
          <w:b/>
        </w:rPr>
      </w:pPr>
      <w:r w:rsidRPr="00CC5BC9">
        <w:rPr>
          <w:b/>
        </w:rPr>
        <w:t>Monetarni sektor</w:t>
      </w:r>
      <w:r w:rsidR="008F5166">
        <w:rPr>
          <w:b/>
        </w:rPr>
        <w:t xml:space="preserve"> </w:t>
      </w:r>
    </w:p>
    <w:p w:rsidR="00E42D19" w:rsidRPr="00E42D19" w:rsidRDefault="00E42D19" w:rsidP="00E42D19">
      <w:pPr>
        <w:rPr>
          <w:b/>
        </w:rPr>
      </w:pPr>
      <w:r>
        <w:rPr>
          <w:noProof/>
          <w:sz w:val="20"/>
          <w:szCs w:val="20"/>
        </w:rPr>
        <w:t>Ban</w:t>
      </w:r>
      <w:r w:rsidR="0076035F">
        <w:rPr>
          <w:noProof/>
          <w:sz w:val="20"/>
          <w:szCs w:val="20"/>
        </w:rPr>
        <w:t xml:space="preserve">karski sektor je </w:t>
      </w:r>
      <w:r>
        <w:rPr>
          <w:noProof/>
          <w:sz w:val="20"/>
          <w:szCs w:val="20"/>
        </w:rPr>
        <w:t>na kra</w:t>
      </w:r>
      <w:r w:rsidR="0076035F">
        <w:rPr>
          <w:noProof/>
          <w:sz w:val="20"/>
          <w:szCs w:val="20"/>
        </w:rPr>
        <w:t xml:space="preserve">ju jula </w:t>
      </w:r>
      <w:r>
        <w:rPr>
          <w:noProof/>
          <w:sz w:val="20"/>
          <w:szCs w:val="20"/>
        </w:rPr>
        <w:t>ostvario pozitivan finansijski rezultat od 16,7 mil.€. Ukupni depoziti su iznosili 2.741,9mil.€</w:t>
      </w:r>
      <w:r w:rsidR="0076035F">
        <w:rPr>
          <w:noProof/>
          <w:sz w:val="20"/>
          <w:szCs w:val="20"/>
        </w:rPr>
        <w:t xml:space="preserve">, što je </w:t>
      </w:r>
      <w:r>
        <w:rPr>
          <w:noProof/>
          <w:sz w:val="20"/>
          <w:szCs w:val="20"/>
        </w:rPr>
        <w:t>4,4%</w:t>
      </w:r>
      <w:r w:rsidR="0076035F">
        <w:rPr>
          <w:noProof/>
          <w:sz w:val="20"/>
          <w:szCs w:val="20"/>
        </w:rPr>
        <w:t xml:space="preserve"> više m-n-m i </w:t>
      </w:r>
      <w:r>
        <w:rPr>
          <w:noProof/>
          <w:sz w:val="20"/>
          <w:szCs w:val="20"/>
        </w:rPr>
        <w:t>10,7%</w:t>
      </w:r>
      <w:r w:rsidR="0076035F">
        <w:rPr>
          <w:noProof/>
          <w:sz w:val="20"/>
          <w:szCs w:val="20"/>
        </w:rPr>
        <w:t xml:space="preserve"> više g-n-g.</w:t>
      </w:r>
      <w:r>
        <w:rPr>
          <w:noProof/>
          <w:sz w:val="20"/>
          <w:szCs w:val="20"/>
        </w:rPr>
        <w:t xml:space="preserve"> Na sekto</w:t>
      </w:r>
      <w:r w:rsidR="0076035F">
        <w:rPr>
          <w:noProof/>
          <w:sz w:val="20"/>
          <w:szCs w:val="20"/>
        </w:rPr>
        <w:t xml:space="preserve">r stanovništva se odnosilo </w:t>
      </w:r>
      <w:r>
        <w:rPr>
          <w:noProof/>
          <w:sz w:val="20"/>
          <w:szCs w:val="20"/>
        </w:rPr>
        <w:t>53,3%, dok su depoziti pri</w:t>
      </w:r>
      <w:r w:rsidR="0076035F">
        <w:rPr>
          <w:noProof/>
          <w:sz w:val="20"/>
          <w:szCs w:val="20"/>
        </w:rPr>
        <w:t xml:space="preserve">vrede </w:t>
      </w:r>
      <w:r w:rsidR="00FB1AF7">
        <w:rPr>
          <w:noProof/>
          <w:sz w:val="20"/>
          <w:szCs w:val="20"/>
        </w:rPr>
        <w:t>činili 33,8% ukupnih depozita. U</w:t>
      </w:r>
      <w:r>
        <w:rPr>
          <w:noProof/>
          <w:sz w:val="20"/>
          <w:szCs w:val="20"/>
        </w:rPr>
        <w:t xml:space="preserve">kupni krediti </w:t>
      </w:r>
      <w:r w:rsidR="00FB1AF7">
        <w:rPr>
          <w:noProof/>
          <w:sz w:val="20"/>
          <w:szCs w:val="20"/>
        </w:rPr>
        <w:t xml:space="preserve">su povećani 3,1% </w:t>
      </w:r>
      <w:r>
        <w:rPr>
          <w:noProof/>
          <w:sz w:val="20"/>
          <w:szCs w:val="20"/>
        </w:rPr>
        <w:t>na m</w:t>
      </w:r>
      <w:r w:rsidR="00FB1AF7">
        <w:rPr>
          <w:noProof/>
          <w:sz w:val="20"/>
          <w:szCs w:val="20"/>
        </w:rPr>
        <w:t xml:space="preserve">jesečnom i </w:t>
      </w:r>
      <w:r>
        <w:rPr>
          <w:noProof/>
          <w:sz w:val="20"/>
          <w:szCs w:val="20"/>
        </w:rPr>
        <w:t>1,8 %</w:t>
      </w:r>
      <w:r w:rsidR="00FB1AF7">
        <w:rPr>
          <w:noProof/>
          <w:sz w:val="20"/>
          <w:szCs w:val="20"/>
        </w:rPr>
        <w:t xml:space="preserve"> na godišnjem nivou.</w:t>
      </w:r>
      <w:r w:rsidR="0076035F">
        <w:rPr>
          <w:noProof/>
          <w:sz w:val="20"/>
          <w:szCs w:val="20"/>
        </w:rPr>
        <w:t xml:space="preserve"> </w:t>
      </w:r>
      <w:r w:rsidR="00FB1AF7">
        <w:rPr>
          <w:noProof/>
          <w:sz w:val="20"/>
          <w:szCs w:val="20"/>
        </w:rPr>
        <w:t>B</w:t>
      </w:r>
      <w:r>
        <w:rPr>
          <w:noProof/>
          <w:sz w:val="20"/>
          <w:szCs w:val="20"/>
        </w:rPr>
        <w:t xml:space="preserve">anke su za sedam mjeseci ove godine odobrile 658,4 mil.€ novih kredita, što predstavlja rast od 23,6% </w:t>
      </w:r>
      <w:r w:rsidR="0076035F">
        <w:rPr>
          <w:noProof/>
          <w:sz w:val="20"/>
          <w:szCs w:val="20"/>
        </w:rPr>
        <w:t>g-n-g</w:t>
      </w:r>
      <w:r>
        <w:rPr>
          <w:noProof/>
          <w:sz w:val="20"/>
          <w:szCs w:val="20"/>
        </w:rPr>
        <w:t xml:space="preserve">. Nekvalitetni krediti u julu </w:t>
      </w:r>
      <w:r w:rsidR="009C23C1">
        <w:rPr>
          <w:noProof/>
          <w:sz w:val="20"/>
          <w:szCs w:val="20"/>
        </w:rPr>
        <w:t xml:space="preserve">su činili </w:t>
      </w:r>
      <w:r>
        <w:rPr>
          <w:noProof/>
          <w:sz w:val="20"/>
          <w:szCs w:val="20"/>
        </w:rPr>
        <w:t>11,54% ukupnih kredita. Prosječna ponderisana aktivna kamatna stopa na ukupne kredite je iznosila u julu 7,89% i smanjena je za 0,36 p.p. na godišnjem nivou, dok je pasivna kamatn</w:t>
      </w:r>
      <w:r w:rsidR="0076035F">
        <w:rPr>
          <w:noProof/>
          <w:sz w:val="20"/>
          <w:szCs w:val="20"/>
        </w:rPr>
        <w:t>a stopa na depozite bila 1,04% i</w:t>
      </w:r>
      <w:r>
        <w:rPr>
          <w:noProof/>
          <w:sz w:val="20"/>
          <w:szCs w:val="20"/>
        </w:rPr>
        <w:t xml:space="preserve"> smanjena je za 0,36</w:t>
      </w:r>
      <w:r w:rsidR="00EA7E4B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p.p</w:t>
      </w:r>
      <w:r w:rsidR="0076035F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 xml:space="preserve"> Od 79.685 pravnih lica i preduzetnika, u b</w:t>
      </w:r>
      <w:r w:rsidR="0076035F">
        <w:rPr>
          <w:noProof/>
          <w:sz w:val="20"/>
          <w:szCs w:val="20"/>
        </w:rPr>
        <w:t>lokadi je bilo 15.189 ili 19,1</w:t>
      </w:r>
      <w:r w:rsidR="00A64B7C">
        <w:rPr>
          <w:noProof/>
          <w:sz w:val="20"/>
          <w:szCs w:val="20"/>
        </w:rPr>
        <w:t>%, što predstavlja povećanje od 6,2% u odnosu na isti mjesec prethodne godine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Spoljnotrgovinska razmjena</w:t>
      </w:r>
      <w:r w:rsidR="008F5166">
        <w:rPr>
          <w:b/>
        </w:rPr>
        <w:t xml:space="preserve"> </w:t>
      </w:r>
    </w:p>
    <w:p w:rsidR="00E42D19" w:rsidRPr="00E42D19" w:rsidRDefault="00E42D19" w:rsidP="00E42D19">
      <w:pPr>
        <w:rPr>
          <w:rFonts w:cstheme="minorHAnsi"/>
          <w:sz w:val="20"/>
          <w:szCs w:val="20"/>
        </w:rPr>
      </w:pPr>
      <w:r w:rsidRPr="005A6D03">
        <w:rPr>
          <w:rFonts w:cstheme="minorHAnsi"/>
          <w:sz w:val="20"/>
          <w:szCs w:val="20"/>
        </w:rPr>
        <w:t>Robna raz</w:t>
      </w:r>
      <w:r w:rsidR="005A6D03" w:rsidRPr="005A6D03">
        <w:rPr>
          <w:rFonts w:cstheme="minorHAnsi"/>
          <w:sz w:val="20"/>
          <w:szCs w:val="20"/>
        </w:rPr>
        <w:t xml:space="preserve">mjena sa inostranstvom </w:t>
      </w:r>
      <w:r w:rsidRPr="005A6D03">
        <w:rPr>
          <w:rFonts w:cstheme="minorHAnsi"/>
          <w:sz w:val="20"/>
          <w:szCs w:val="20"/>
        </w:rPr>
        <w:t xml:space="preserve"> u periodu januar – jul 2016.</w:t>
      </w:r>
      <w:r w:rsidRPr="00E42D19">
        <w:rPr>
          <w:rFonts w:cstheme="minorHAnsi"/>
          <w:sz w:val="20"/>
          <w:szCs w:val="20"/>
        </w:rPr>
        <w:t xml:space="preserve"> evidentira povećanje  izvoza i uvoza, uz  veći nominalni i procentu</w:t>
      </w:r>
      <w:r w:rsidR="009C23C1">
        <w:rPr>
          <w:rFonts w:cstheme="minorHAnsi"/>
          <w:sz w:val="20"/>
          <w:szCs w:val="20"/>
        </w:rPr>
        <w:t>a</w:t>
      </w:r>
      <w:r w:rsidRPr="00E42D19">
        <w:rPr>
          <w:rFonts w:cstheme="minorHAnsi"/>
          <w:sz w:val="20"/>
          <w:szCs w:val="20"/>
        </w:rPr>
        <w:t xml:space="preserve">lni rast uvoza od izvoza. </w:t>
      </w:r>
      <w:r w:rsidRPr="005A6D03">
        <w:rPr>
          <w:rFonts w:cstheme="minorHAnsi"/>
          <w:sz w:val="20"/>
          <w:szCs w:val="20"/>
        </w:rPr>
        <w:t>Spoljnotrgovinski deficit  je porastao za 12,8% i iznosi 1.005,8 mil.€.  Izvoz</w:t>
      </w:r>
      <w:r w:rsidRPr="00E42D19">
        <w:rPr>
          <w:rFonts w:cstheme="minorHAnsi"/>
          <w:b/>
          <w:sz w:val="20"/>
          <w:szCs w:val="20"/>
        </w:rPr>
        <w:t xml:space="preserve"> </w:t>
      </w:r>
      <w:r w:rsidRPr="00E42D19">
        <w:rPr>
          <w:rFonts w:cstheme="minorHAnsi"/>
          <w:sz w:val="20"/>
          <w:szCs w:val="20"/>
        </w:rPr>
        <w:t xml:space="preserve">robe je vrijedio 173,2 mil.€, dok je uvoz 1.179,0 mil.€, što je više za 4,0% i 11,5%, respektivno. Na rast izvoza  uglavnom je uticalo povećanje izvoza medicinskih i farmaceutskih proizvoda (58,5%) i hemijskih materija i proizvoda nigdje pomenutih (index preko 300). Rast uvoza je pod uticajem povećanja uvoza pogonskih mašina i uređaja sa 5,0 mil.€. na 40,8 mil.€, kao i ostalih transportnih sredstava sa 3,8mil.€. na 13,2mil.€.(realizacija investicionih projekata). </w:t>
      </w:r>
    </w:p>
    <w:p w:rsidR="00F074C1" w:rsidRDefault="00F074C1" w:rsidP="00E42D19">
      <w:pPr>
        <w:rPr>
          <w:b/>
          <w:noProof/>
        </w:rPr>
      </w:pPr>
      <w:r>
        <w:rPr>
          <w:b/>
          <w:noProof/>
        </w:rPr>
        <w:t>Strane direktne investicije</w:t>
      </w:r>
    </w:p>
    <w:p w:rsidR="00E42D19" w:rsidRPr="00FC00CE" w:rsidRDefault="00F074C1" w:rsidP="00E42D19">
      <w:pPr>
        <w:rPr>
          <w:b/>
          <w:noProof/>
        </w:rPr>
      </w:pPr>
      <w:r w:rsidRPr="005A6D03">
        <w:rPr>
          <w:rFonts w:eastAsia="Times New Roman" w:cs="Times New Roman"/>
          <w:sz w:val="20"/>
          <w:szCs w:val="20"/>
        </w:rPr>
        <w:t>N</w:t>
      </w:r>
      <w:r w:rsidR="00E42D19" w:rsidRPr="005A6D03">
        <w:rPr>
          <w:rFonts w:eastAsia="Times New Roman" w:cs="Times New Roman"/>
          <w:sz w:val="20"/>
          <w:szCs w:val="20"/>
        </w:rPr>
        <w:t xml:space="preserve">eto priliv SDI </w:t>
      </w:r>
      <w:r w:rsidRPr="005A6D03">
        <w:rPr>
          <w:rFonts w:eastAsia="Times New Roman" w:cs="Times New Roman"/>
          <w:sz w:val="20"/>
          <w:szCs w:val="20"/>
        </w:rPr>
        <w:t>za šest mjeseci 2016. iznosio</w:t>
      </w:r>
      <w:r w:rsidR="00E42D19" w:rsidRPr="005A6D03">
        <w:rPr>
          <w:rFonts w:eastAsia="Times New Roman" w:cs="Times New Roman"/>
          <w:sz w:val="20"/>
          <w:szCs w:val="20"/>
        </w:rPr>
        <w:t xml:space="preserve"> je 96,2 mil.€, što je za 47,7% manje </w:t>
      </w:r>
      <w:r w:rsidRPr="005A6D03">
        <w:rPr>
          <w:rFonts w:eastAsia="Times New Roman" w:cs="Times New Roman"/>
          <w:sz w:val="20"/>
          <w:szCs w:val="20"/>
        </w:rPr>
        <w:t>g-n-g</w:t>
      </w:r>
      <w:r w:rsidR="00E42D19" w:rsidRPr="005A6D03">
        <w:rPr>
          <w:rFonts w:eastAsia="Times New Roman" w:cs="Times New Roman"/>
          <w:sz w:val="20"/>
          <w:szCs w:val="20"/>
        </w:rPr>
        <w:t>.</w:t>
      </w:r>
      <w:r w:rsidR="00E42D19" w:rsidRPr="00E42D19">
        <w:rPr>
          <w:rFonts w:eastAsia="Times New Roman" w:cs="Times New Roman"/>
          <w:sz w:val="20"/>
          <w:szCs w:val="20"/>
        </w:rPr>
        <w:t xml:space="preserve"> Ukupan priliv SDI iznosio je 335,6 mil.€, ili oko 51,0% više </w:t>
      </w:r>
      <w:r>
        <w:rPr>
          <w:rFonts w:eastAsia="Times New Roman" w:cs="Times New Roman"/>
          <w:sz w:val="20"/>
          <w:szCs w:val="20"/>
        </w:rPr>
        <w:t>g-n-g.</w:t>
      </w:r>
      <w:r w:rsidR="00E42D19" w:rsidRPr="00E42D19">
        <w:rPr>
          <w:rFonts w:eastAsia="Times New Roman" w:cs="Times New Roman"/>
          <w:sz w:val="20"/>
          <w:szCs w:val="20"/>
        </w:rPr>
        <w:t xml:space="preserve"> Ukupan odliv SDI u periodu januar-jun 2016. iznosio je 239,4 mil.€, ili za preko šest puta  više </w:t>
      </w:r>
      <w:r>
        <w:rPr>
          <w:rFonts w:eastAsia="Times New Roman" w:cs="Times New Roman"/>
          <w:sz w:val="20"/>
          <w:szCs w:val="20"/>
        </w:rPr>
        <w:t xml:space="preserve">g-n-g </w:t>
      </w:r>
      <w:r w:rsidR="00E42D19" w:rsidRPr="00E42D19">
        <w:rPr>
          <w:rFonts w:eastAsia="Times New Roman" w:cs="Times New Roman"/>
          <w:sz w:val="20"/>
          <w:szCs w:val="20"/>
        </w:rPr>
        <w:t>i</w:t>
      </w:r>
      <w:r w:rsidR="0098749F">
        <w:rPr>
          <w:rFonts w:eastAsia="Times New Roman" w:cs="Times New Roman"/>
          <w:sz w:val="20"/>
          <w:szCs w:val="20"/>
        </w:rPr>
        <w:t xml:space="preserve"> </w:t>
      </w:r>
      <w:r w:rsidR="00E42D19" w:rsidRPr="00E42D19">
        <w:rPr>
          <w:rFonts w:eastAsia="Times New Roman" w:cs="Times New Roman"/>
          <w:sz w:val="20"/>
          <w:szCs w:val="20"/>
        </w:rPr>
        <w:t xml:space="preserve">rezultat je, najvećim dijelom, povlačenja sredstava nerazidenata, investiranih u našu zemlju.  </w:t>
      </w:r>
    </w:p>
    <w:p w:rsidR="00E42D19" w:rsidRDefault="00891AD4" w:rsidP="007B151B">
      <w:pPr>
        <w:rPr>
          <w:b/>
          <w:noProof/>
        </w:rPr>
      </w:pPr>
      <w:r w:rsidRPr="00891AD4">
        <w:rPr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.4pt;margin-top:-9.15pt;width:168.85pt;height:2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" stroked="f">
            <v:textbox inset="0,0,0,0">
              <w:txbxContent>
                <w:p w:rsidR="00CC5BC9" w:rsidRPr="007D3C8A" w:rsidRDefault="00CC5BC9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</w:t>
                  </w:r>
                  <w:r w:rsidR="00B171C8" w:rsidRPr="007D3C8A">
                    <w:t>1</w:t>
                  </w:r>
                  <w:r w:rsidR="00957B61" w:rsidRPr="007D3C8A">
                    <w:t xml:space="preserve"> </w:t>
                  </w:r>
                  <w:r w:rsidR="004B726F">
                    <w:t xml:space="preserve">Građevinarstvo, kvartalne stope rasta </w:t>
                  </w:r>
                  <w:r w:rsidR="0083533D">
                    <w:t>, %</w:t>
                  </w:r>
                </w:p>
              </w:txbxContent>
            </v:textbox>
          </v:shape>
        </w:pict>
      </w:r>
      <w:r w:rsidRPr="00891AD4">
        <w:rPr>
          <w:noProof/>
          <w:lang w:val="en-US"/>
        </w:rPr>
        <w:pict>
          <v:shape id="Text Box 3" o:spid="_x0000_s1027" type="#_x0000_t202" style="position:absolute;left:0;text-align:left;margin-left:269.95pt;margin-top:-9.15pt;width:192.65pt;height:13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" stroked="f">
            <v:textbox inset="0,0,0,0">
              <w:txbxContent>
                <w:p w:rsidR="00CC5BC9" w:rsidRPr="006F47A8" w:rsidRDefault="00CC5BC9" w:rsidP="00CC5BC9">
                  <w:pPr>
                    <w:pStyle w:val="Caption"/>
                    <w:rPr>
                      <w:noProof/>
                    </w:rPr>
                  </w:pPr>
                  <w:r>
                    <w:t xml:space="preserve">Grafik </w:t>
                  </w:r>
                  <w:r w:rsidR="00B171C8">
                    <w:t>2</w:t>
                  </w:r>
                  <w:r>
                    <w:t xml:space="preserve"> </w:t>
                  </w:r>
                  <w:r w:rsidR="00F71E4F">
                    <w:t>Inflacija</w:t>
                  </w:r>
                  <w:r w:rsidR="00957B61">
                    <w:t>,</w:t>
                  </w:r>
                  <w:r w:rsidR="00F71E4F">
                    <w:t xml:space="preserve"> </w:t>
                  </w:r>
                  <w:r w:rsidR="00DB0048">
                    <w:t>stope rasta</w:t>
                  </w:r>
                  <w:r w:rsidR="00957B61">
                    <w:t>, %</w:t>
                  </w:r>
                </w:p>
              </w:txbxContent>
            </v:textbox>
          </v:shape>
        </w:pict>
      </w:r>
    </w:p>
    <w:p w:rsidR="00E42D19" w:rsidRDefault="00B62939" w:rsidP="007B151B">
      <w:pPr>
        <w:rPr>
          <w:b/>
          <w:noProof/>
        </w:rPr>
      </w:pPr>
      <w:r>
        <w:rPr>
          <w:b/>
          <w:noProof/>
          <w:lang w:eastAsia="sr-Latn-C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-514350</wp:posOffset>
            </wp:positionH>
            <wp:positionV relativeFrom="margin">
              <wp:posOffset>249555</wp:posOffset>
            </wp:positionV>
            <wp:extent cx="2734310" cy="2237740"/>
            <wp:effectExtent l="0" t="0" r="0" b="0"/>
            <wp:wrapSquare wrapText="bothSides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61980" w:rsidRDefault="00891AD4" w:rsidP="00B171C8">
      <w:r w:rsidRPr="00891AD4">
        <w:rPr>
          <w:noProof/>
          <w:lang w:val="en-US"/>
        </w:rPr>
        <w:pict>
          <v:shape id="Text Box 11" o:spid="_x0000_s1028" type="#_x0000_t202" style="position:absolute;left:0;text-align:left;margin-left:252.3pt;margin-top:6.2pt;width:203.2pt;height:26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" stroked="f">
            <v:textbox inset="0,0,0,0">
              <w:txbxContent>
                <w:p w:rsidR="00B62939" w:rsidRPr="004B726F" w:rsidRDefault="009D06FF" w:rsidP="00B62939">
                  <w:pPr>
                    <w:pStyle w:val="Caption"/>
                    <w:rPr>
                      <w:i/>
                    </w:rPr>
                  </w:pPr>
                  <w:r w:rsidRPr="004B726F">
                    <w:rPr>
                      <w:i/>
                    </w:rPr>
                    <w:t>...</w:t>
                  </w:r>
                  <w:r w:rsidR="00B62939" w:rsidRPr="004B726F">
                    <w:rPr>
                      <w:i/>
                    </w:rPr>
                    <w:t>peti mjesec zaredom inflacija ima negativan predznak...</w:t>
                  </w:r>
                </w:p>
                <w:p w:rsidR="00B62939" w:rsidRPr="00A249D2" w:rsidRDefault="00B62939" w:rsidP="00B62939"/>
                <w:p w:rsidR="009D06FF" w:rsidRPr="009D06FF" w:rsidRDefault="00DB0048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  <w:r w:rsidRPr="00891AD4">
        <w:rPr>
          <w:noProof/>
          <w:lang w:val="en-US"/>
        </w:rPr>
        <w:pict>
          <v:shape id="Text Box 10" o:spid="_x0000_s1029" type="#_x0000_t202" style="position:absolute;left:0;text-align:left;margin-left:-36.35pt;margin-top:6.2pt;width:200.9pt;height:22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0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" stroked="f">
            <v:textbox inset="0,0,0,0">
              <w:txbxContent>
                <w:p w:rsidR="009D06FF" w:rsidRPr="004B726F" w:rsidRDefault="009D06FF" w:rsidP="009D06FF">
                  <w:pPr>
                    <w:pStyle w:val="Caption"/>
                    <w:rPr>
                      <w:noProof/>
                    </w:rPr>
                  </w:pPr>
                  <w:r w:rsidRPr="00F61980">
                    <w:t>...</w:t>
                  </w:r>
                  <w:r w:rsidR="00B62939" w:rsidRPr="004B726F">
                    <w:rPr>
                      <w:i/>
                    </w:rPr>
                    <w:t>visok rast vrijednosti građevinskih radova u II kvartalu 2016</w:t>
                  </w:r>
                  <w:r w:rsidR="0073775D" w:rsidRPr="004B726F">
                    <w:rPr>
                      <w:i/>
                    </w:rPr>
                    <w:t>...</w:t>
                  </w:r>
                </w:p>
              </w:txbxContent>
            </v:textbox>
          </v:shape>
        </w:pict>
      </w:r>
    </w:p>
    <w:p w:rsidR="00F71E4F" w:rsidRDefault="00F71E4F" w:rsidP="00B171C8"/>
    <w:p w:rsidR="00B171C8" w:rsidRPr="00B171C8" w:rsidRDefault="00B171C8" w:rsidP="00B171C8"/>
    <w:p w:rsidR="006B2901" w:rsidRPr="00B171C8" w:rsidRDefault="006B2901" w:rsidP="00B171C8"/>
    <w:p w:rsidR="00E8072F" w:rsidRDefault="00891AD4" w:rsidP="004C0387">
      <w:pPr>
        <w:pStyle w:val="Caption"/>
      </w:pPr>
      <w:r w:rsidRPr="00891AD4">
        <w:rPr>
          <w:noProof/>
          <w:lang w:val="en-US"/>
        </w:rPr>
        <w:pict>
          <v:shape id="Text Box 5" o:spid="_x0000_s1030" type="#_x0000_t202" style="position:absolute;left:0;text-align:left;margin-left:274.85pt;margin-top:.6pt;width:187.75pt;height:28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J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" stroked="f">
            <v:textbox inset="0,0,0,0">
              <w:txbxContent>
                <w:p w:rsidR="00B171C8" w:rsidRPr="00575CC7" w:rsidRDefault="00957B61" w:rsidP="00B171C8">
                  <w:pPr>
                    <w:pStyle w:val="Caption"/>
                  </w:pPr>
                  <w:r>
                    <w:t>Grafik 4</w:t>
                  </w:r>
                  <w:r w:rsidR="004C0387">
                    <w:t xml:space="preserve"> Naplata PDV-a</w:t>
                  </w:r>
                  <w:r w:rsidR="001F6694">
                    <w:t xml:space="preserve"> za period januar-jul</w:t>
                  </w:r>
                  <w:r w:rsidR="004C0387">
                    <w:t>, učešće po mjesecima</w:t>
                  </w:r>
                  <w:r>
                    <w:t>,</w:t>
                  </w:r>
                  <w:r w:rsidR="004C0387">
                    <w:t xml:space="preserve"> %</w:t>
                  </w:r>
                </w:p>
              </w:txbxContent>
            </v:textbox>
          </v:shape>
        </w:pict>
      </w:r>
      <w:r w:rsidR="004B6680">
        <w:rPr>
          <w:noProof/>
          <w:lang w:eastAsia="sr-Latn-C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259080</wp:posOffset>
            </wp:positionV>
            <wp:extent cx="2701925" cy="2202815"/>
            <wp:effectExtent l="19050" t="0" r="3175" b="0"/>
            <wp:wrapSquare wrapText="bothSides"/>
            <wp:docPr id="1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891AD4">
        <w:rPr>
          <w:noProof/>
          <w:lang w:val="en-US"/>
        </w:rPr>
        <w:pict>
          <v:shape id="Text Box 4" o:spid="_x0000_s1031" type="#_x0000_t202" style="position:absolute;left:0;text-align:left;margin-left:-37.05pt;margin-top:4.05pt;width:192.65pt;height:10.3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<v:textbox inset="0,0,0,0">
              <w:txbxContent>
                <w:p w:rsidR="00B171C8" w:rsidRPr="00CB21C8" w:rsidRDefault="00B171C8" w:rsidP="00B171C8">
                  <w:pPr>
                    <w:pStyle w:val="Caption"/>
                  </w:pPr>
                  <w:r>
                    <w:t xml:space="preserve">Grafik 3 </w:t>
                  </w:r>
                  <w:r w:rsidR="004B6680">
                    <w:t>Stopa nezaposlenosti, %</w:t>
                  </w:r>
                </w:p>
              </w:txbxContent>
            </v:textbox>
          </v:shape>
        </w:pict>
      </w:r>
    </w:p>
    <w:p w:rsidR="00F61980" w:rsidRDefault="00F61980" w:rsidP="00B312F3"/>
    <w:p w:rsidR="00400FB4" w:rsidRDefault="004B6680" w:rsidP="00B312F3">
      <w:r>
        <w:rPr>
          <w:noProof/>
          <w:lang w:eastAsia="sr-Latn-C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-3810</wp:posOffset>
            </wp:positionV>
            <wp:extent cx="2577465" cy="1776095"/>
            <wp:effectExtent l="0" t="0" r="0" b="0"/>
            <wp:wrapSquare wrapText="bothSides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D116C2" w:rsidRDefault="00891AD4" w:rsidP="00B312F3">
      <w:r w:rsidRPr="00891AD4">
        <w:rPr>
          <w:noProof/>
          <w:lang w:val="en-US"/>
        </w:rPr>
        <w:pict>
          <v:shape id="Text Box 16" o:spid="_x0000_s1032" type="#_x0000_t202" style="position:absolute;left:0;text-align:left;margin-left:262.7pt;margin-top:4.3pt;width:192.8pt;height:21.4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" stroked="f">
            <v:textbox inset="0,0,0,0">
              <w:txbxContent>
                <w:p w:rsidR="006C52D2" w:rsidRPr="0098749F" w:rsidRDefault="004C0387" w:rsidP="0098749F">
                  <w:pPr>
                    <w:pStyle w:val="Caption"/>
                    <w:rPr>
                      <w:i/>
                    </w:rPr>
                  </w:pPr>
                  <w:r>
                    <w:rPr>
                      <w:i/>
                    </w:rPr>
                    <w:t>...</w:t>
                  </w:r>
                  <w:r w:rsidR="00AD2A30">
                    <w:rPr>
                      <w:i/>
                    </w:rPr>
                    <w:t>Najviše PDV-a naplaćeno u julu 2016. godine</w:t>
                  </w:r>
                  <w:r w:rsidR="001C5A36" w:rsidRPr="00590347">
                    <w:rPr>
                      <w:i/>
                    </w:rPr>
                    <w:t xml:space="preserve"> </w:t>
                  </w:r>
                  <w:r w:rsidR="00660B0E"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  <w:r w:rsidRPr="00891AD4">
        <w:rPr>
          <w:noProof/>
          <w:lang w:val="en-US"/>
        </w:rPr>
        <w:pict>
          <v:shape id="Text Box 15" o:spid="_x0000_s1033" type="#_x0000_t202" style="position:absolute;left:0;text-align:left;margin-left:-45.3pt;margin-top:4.3pt;width:200.9pt;height:27.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2WfgIAAAcFAAAOAAAAZHJzL2Uyb0RvYy54bWysVG1v2yAQ/j5p/wHxPbWdOmlsxamadJkm&#10;dS9Sux9ADI7RMDAgsbtp/30HxFnXbdI0zR/w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BtQf2WfgIA&#10;AAcFAAAOAAAAAAAAAAAAAAAAAC4CAABkcnMvZTJvRG9jLnhtbFBLAQItABQABgAIAAAAIQAhamn/&#10;3wAAAAgBAAAPAAAAAAAAAAAAAAAAANgEAABkcnMvZG93bnJldi54bWxQSwUGAAAAAAQABADzAAAA&#10;5AUAAAAA&#10;" stroked="f">
            <v:textbox inset="0,0,0,0">
              <w:txbxContent>
                <w:p w:rsidR="00203F47" w:rsidRPr="00590347" w:rsidRDefault="009150CA" w:rsidP="00203F47">
                  <w:pPr>
                    <w:pStyle w:val="Caption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t>...</w:t>
                  </w:r>
                  <w:r w:rsidR="004B6680">
                    <w:rPr>
                      <w:i/>
                      <w:noProof/>
                    </w:rPr>
                    <w:t xml:space="preserve"> Stopa nezaposlenosti u julu iznosila 17,29%</w:t>
                  </w:r>
                  <w:r w:rsidR="00716398">
                    <w:rPr>
                      <w:i/>
                      <w:noProof/>
                    </w:rPr>
                    <w:t>...</w:t>
                  </w:r>
                </w:p>
              </w:txbxContent>
            </v:textbox>
          </v:shape>
        </w:pict>
      </w:r>
    </w:p>
    <w:p w:rsidR="00D116C2" w:rsidRDefault="00D116C2" w:rsidP="00B312F3"/>
    <w:p w:rsidR="00865E5F" w:rsidRDefault="00865E5F" w:rsidP="00B312F3"/>
    <w:p w:rsidR="00865E5F" w:rsidRDefault="00865E5F" w:rsidP="00B312F3"/>
    <w:p w:rsidR="00B312F3" w:rsidRDefault="00891AD4" w:rsidP="00B312F3">
      <w:r w:rsidRPr="00891AD4">
        <w:rPr>
          <w:noProof/>
          <w:lang w:val="en-US"/>
        </w:rPr>
        <w:pict>
          <v:shape id="Text Box 7" o:spid="_x0000_s1034" type="#_x0000_t202" style="position:absolute;left:0;text-align:left;margin-left:274.85pt;margin-top:5.8pt;width:193.35pt;height:17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<v:textbox inset="0,0,0,0">
              <w:txbxContent>
                <w:p w:rsidR="008E2C7D" w:rsidRPr="00383BE7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6 </w:t>
                  </w:r>
                  <w:r w:rsidR="00A317B6">
                    <w:t xml:space="preserve">Spoljnotrgovinski bilans i SDI </w:t>
                  </w:r>
                  <w:r w:rsidR="00660B0E">
                    <w:t xml:space="preserve">, </w:t>
                  </w:r>
                  <w:r w:rsidR="00A317B6">
                    <w:t>u mil</w:t>
                  </w:r>
                  <w:r w:rsidR="005737CB">
                    <w:t>.€</w:t>
                  </w:r>
                </w:p>
              </w:txbxContent>
            </v:textbox>
          </v:shape>
        </w:pict>
      </w:r>
      <w:r w:rsidRPr="00891AD4">
        <w:rPr>
          <w:noProof/>
          <w:lang w:val="en-US"/>
        </w:rPr>
        <w:pict>
          <v:shape id="Text Box 6" o:spid="_x0000_s1035" type="#_x0000_t202" style="position:absolute;left:0;text-align:left;margin-left:-45.3pt;margin-top:5.8pt;width:228.3pt;height:13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DvC+hsfAIAAAYF&#10;AAAOAAAAAAAAAAAAAAAAAC4CAABkcnMvZTJvRG9jLnhtbFBLAQItABQABgAIAAAAIQBVkNyr3gAA&#10;AAkBAAAPAAAAAAAAAAAAAAAAANYEAABkcnMvZG93bnJldi54bWxQSwUGAAAAAAQABADzAAAA4QUA&#10;AAAA&#10;" stroked="f">
            <v:textbox inset="0,0,0,0">
              <w:txbxContent>
                <w:p w:rsidR="008E2C7D" w:rsidRPr="000600DC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5 </w:t>
                  </w:r>
                  <w:r w:rsidR="00AE635C">
                    <w:t>Struktura kredita po sektorima</w:t>
                  </w:r>
                  <w:r w:rsidR="0022033B">
                    <w:t>,</w:t>
                  </w:r>
                  <w:r w:rsidR="00AE635C">
                    <w:t xml:space="preserve"> </w:t>
                  </w:r>
                  <w:r w:rsidR="00832B68">
                    <w:t xml:space="preserve">u </w:t>
                  </w:r>
                  <w:r w:rsidR="00AE635C">
                    <w:t>hilj.</w:t>
                  </w:r>
                  <w:r w:rsidR="00832B68">
                    <w:t>€</w:t>
                  </w:r>
                </w:p>
              </w:txbxContent>
            </v:textbox>
          </v:shape>
        </w:pict>
      </w:r>
    </w:p>
    <w:p w:rsidR="008E2C7D" w:rsidRPr="008E2C7D" w:rsidRDefault="00A317B6" w:rsidP="00660BB8">
      <w:pPr>
        <w:tabs>
          <w:tab w:val="left" w:pos="6144"/>
        </w:tabs>
      </w:pPr>
      <w:r>
        <w:rPr>
          <w:noProof/>
          <w:lang w:eastAsia="sr-Latn-C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153670</wp:posOffset>
            </wp:positionV>
            <wp:extent cx="2615565" cy="1924050"/>
            <wp:effectExtent l="0" t="0" r="0" b="0"/>
            <wp:wrapSquare wrapText="bothSides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E635C">
        <w:rPr>
          <w:noProof/>
          <w:lang w:eastAsia="sr-Latn-C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-522787</wp:posOffset>
            </wp:positionH>
            <wp:positionV relativeFrom="paragraph">
              <wp:posOffset>153761</wp:posOffset>
            </wp:positionV>
            <wp:extent cx="2978331" cy="2072640"/>
            <wp:effectExtent l="0" t="0" r="0" b="0"/>
            <wp:wrapNone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B312F3">
        <w:tab/>
      </w:r>
    </w:p>
    <w:p w:rsidR="00400FB4" w:rsidRDefault="00400FB4" w:rsidP="008E2C7D"/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B62939" w:rsidP="008E2C7D">
      <w:r>
        <w:rPr>
          <w:noProof/>
          <w:lang w:eastAsia="sr-Latn-C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-7239000</wp:posOffset>
            </wp:positionV>
            <wp:extent cx="2629535" cy="2342515"/>
            <wp:effectExtent l="0" t="0" r="0" b="0"/>
            <wp:wrapSquare wrapText="bothSides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E2C7D" w:rsidRPr="008E2C7D" w:rsidRDefault="008E2C7D" w:rsidP="008E2C7D"/>
    <w:p w:rsidR="00D71A89" w:rsidRDefault="00D71A89" w:rsidP="008E2C7D"/>
    <w:p w:rsidR="00D71A89" w:rsidRDefault="00D71A89" w:rsidP="00D71A89"/>
    <w:p w:rsidR="008E2C7D" w:rsidRPr="008E2C7D" w:rsidRDefault="008E2C7D" w:rsidP="008E2C7D"/>
    <w:p w:rsidR="008E2C7D" w:rsidRPr="008E2C7D" w:rsidRDefault="008E2C7D" w:rsidP="008E2C7D"/>
    <w:p w:rsidR="0079718D" w:rsidRDefault="00891AD4" w:rsidP="006A0D43">
      <w:pPr>
        <w:tabs>
          <w:tab w:val="left" w:pos="6912"/>
        </w:tabs>
        <w:sectPr w:rsidR="0079718D" w:rsidSect="00870E6B">
          <w:headerReference w:type="default" r:id="rId13"/>
          <w:pgSz w:w="11906" w:h="16838"/>
          <w:pgMar w:top="1417" w:right="1134" w:bottom="1417" w:left="1701" w:header="708" w:footer="708" w:gutter="0"/>
          <w:cols w:num="2" w:space="454"/>
          <w:docGrid w:linePitch="360"/>
        </w:sectPr>
      </w:pPr>
      <w:r w:rsidRPr="00891AD4">
        <w:rPr>
          <w:noProof/>
          <w:lang w:val="en-US"/>
        </w:rPr>
        <w:pict>
          <v:shape id="Text Box 13" o:spid="_x0000_s1036" type="#_x0000_t202" style="position:absolute;left:0;text-align:left;margin-left:-37.05pt;margin-top:39.35pt;width:201.6pt;height:42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i6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" stroked="f">
            <v:textbox inset="0,0,0,0">
              <w:txbxContent>
                <w:p w:rsidR="00936469" w:rsidRPr="00590347" w:rsidRDefault="00936469" w:rsidP="00936469">
                  <w:pPr>
                    <w:pStyle w:val="Caption"/>
                    <w:rPr>
                      <w:i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AE635C" w:rsidRPr="00AE635C">
                    <w:rPr>
                      <w:i/>
                    </w:rPr>
                    <w:t>Ukupni krediti banaka su iznosili 2.452,4 mil.€ i ostvarili su rast od 3,1% u odnosu na prethodni mjesec</w:t>
                  </w:r>
                  <w:r w:rsidRPr="00590347">
                    <w:rPr>
                      <w:i/>
                    </w:rPr>
                    <w:t>...</w:t>
                  </w:r>
                </w:p>
                <w:p w:rsidR="00936469" w:rsidRPr="009149C7" w:rsidRDefault="00936469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  <w:r w:rsidRPr="00891AD4">
        <w:rPr>
          <w:noProof/>
          <w:lang w:val="en-US"/>
        </w:rPr>
        <w:pict>
          <v:shape id="Text Box 17" o:spid="_x0000_s1037" type="#_x0000_t202" style="position:absolute;left:0;text-align:left;margin-left:266.15pt;margin-top:34.15pt;width:207.95pt;height:31.9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" stroked="f">
            <v:textbox style="mso-fit-shape-to-text:t" inset="0,0,0,0">
              <w:txbxContent>
                <w:p w:rsidR="00660B0E" w:rsidRPr="00590347" w:rsidRDefault="007D7E9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5132AD">
                    <w:rPr>
                      <w:i/>
                    </w:rPr>
                    <w:t>nakon pada neto SDI u februaru, usljed povećanog odliva, uslijedio je oporavak u drugom kvartalu</w:t>
                  </w:r>
                  <w:r w:rsidRPr="00590347">
                    <w:rPr>
                      <w:i/>
                    </w:rPr>
                    <w:t>...</w:t>
                  </w:r>
                </w:p>
              </w:txbxContent>
            </v:textbox>
          </v:shape>
        </w:pict>
      </w:r>
      <w:r w:rsidR="00A40C0E">
        <w:tab/>
        <w:t>... Povećan deficit...</w:t>
      </w:r>
    </w:p>
    <w:p w:rsidR="006A0D43" w:rsidRDefault="00AF6340" w:rsidP="006A0D43">
      <w:pPr>
        <w:pStyle w:val="Caption"/>
        <w:keepNext/>
        <w:tabs>
          <w:tab w:val="left" w:pos="7625"/>
        </w:tabs>
      </w:pPr>
      <w:r>
        <w:lastRenderedPageBreak/>
        <w:t xml:space="preserve"> </w:t>
      </w:r>
      <w:r w:rsidR="006A0D43">
        <w:t xml:space="preserve">Tabela </w:t>
      </w:r>
      <w:r w:rsidR="00891AD4">
        <w:fldChar w:fldCharType="begin"/>
      </w:r>
      <w:r w:rsidR="00B10952">
        <w:instrText xml:space="preserve"> SEQ Tabela \* ARABIC </w:instrText>
      </w:r>
      <w:r w:rsidR="00891AD4">
        <w:fldChar w:fldCharType="separate"/>
      </w:r>
      <w:r w:rsidR="006A0D43">
        <w:rPr>
          <w:noProof/>
        </w:rPr>
        <w:t>1</w:t>
      </w:r>
      <w:r w:rsidR="00891AD4">
        <w:rPr>
          <w:noProof/>
        </w:rPr>
        <w:fldChar w:fldCharType="end"/>
      </w:r>
      <w:r w:rsidR="006A0D43">
        <w:t xml:space="preserve"> Makroekonomski indikatori (</w:t>
      </w:r>
      <w:r w:rsidR="006A0D43" w:rsidRPr="006A0D43">
        <w:rPr>
          <w:i/>
        </w:rPr>
        <w:t>Izvor: Monstat, CB, ZZZCG</w:t>
      </w:r>
      <w:r w:rsidR="006A0D43">
        <w:t>)</w:t>
      </w:r>
      <w:r w:rsidR="006A0D43">
        <w:tab/>
      </w:r>
      <w:r w:rsidR="006A0D43">
        <w:tab/>
        <w:t>Tabela 2 Fiskalni indikatori (</w:t>
      </w:r>
      <w:r w:rsidR="006A0D43" w:rsidRPr="006A0D43">
        <w:rPr>
          <w:i/>
        </w:rPr>
        <w:t>Izvor: Ministarstvo finansija</w:t>
      </w:r>
      <w:r w:rsidR="006A0D43">
        <w:t>)</w:t>
      </w:r>
    </w:p>
    <w:tbl>
      <w:tblPr>
        <w:tblpPr w:leftFromText="141" w:rightFromText="141" w:vertAnchor="text" w:tblpY="1"/>
        <w:tblOverlap w:val="never"/>
        <w:tblW w:w="625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851"/>
        <w:gridCol w:w="850"/>
        <w:gridCol w:w="1134"/>
      </w:tblGrid>
      <w:tr w:rsidR="00F94662" w:rsidRPr="00F94662" w:rsidTr="00DA1F32">
        <w:trPr>
          <w:trHeight w:val="198"/>
        </w:trPr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Indikatori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jul 2016 g-n-g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2016/2015 g-n-g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REALNI SEKTOR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Industrijska proizvodnja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-7,0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Prerađivačka industrija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-6,7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Noćenja u turizmu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Promet u maloprodaji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potrošačkih cijena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Harmonizovani indeks potrošačkih cijena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n/p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proizvodjačkih cijena (stopa rasta)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I ZARADE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Zaposlenost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23,6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Stopa nezaposlenosti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23,8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Oglašena radna mjesta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bruto zarada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2,7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neto zarada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MONETARNI SEKTOR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krediti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u kašnjenju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Nekvalitetni krediti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depoziti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privredi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domaćinstvima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Depoziti privrede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Lična štednja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kredite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depozite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EKSTERNI SEKTOR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Izvoz roba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4,0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Uvoz roba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11,5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Spoljnotrgovinski bilans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12,9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Strane direktne investicije</w:t>
            </w:r>
            <w:r w:rsidR="009C23C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-47,7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MEĐUNARODNO OKRUŽENJE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-28,4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-11,9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-110,9</w:t>
            </w:r>
          </w:p>
        </w:tc>
      </w:tr>
      <w:tr w:rsidR="00F94662" w:rsidRPr="00F94662" w:rsidTr="00DA1F32">
        <w:trPr>
          <w:trHeight w:val="198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62" w:rsidRPr="00F94662" w:rsidRDefault="00F94662" w:rsidP="00DA1F32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662" w:rsidRPr="00F94662" w:rsidRDefault="00F94662" w:rsidP="00DA1F32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94662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-133,3</w:t>
            </w:r>
          </w:p>
        </w:tc>
      </w:tr>
    </w:tbl>
    <w:tbl>
      <w:tblPr>
        <w:tblpPr w:leftFromText="141" w:rightFromText="141" w:vertAnchor="text" w:horzAnchor="page" w:tblpX="9133" w:tblpY="29"/>
        <w:tblOverlap w:val="never"/>
        <w:tblW w:w="7140" w:type="dxa"/>
        <w:tblCellMar>
          <w:left w:w="70" w:type="dxa"/>
          <w:right w:w="70" w:type="dxa"/>
        </w:tblCellMar>
        <w:tblLook w:val="04A0"/>
      </w:tblPr>
      <w:tblGrid>
        <w:gridCol w:w="2906"/>
        <w:gridCol w:w="863"/>
        <w:gridCol w:w="587"/>
        <w:gridCol w:w="1226"/>
        <w:gridCol w:w="748"/>
        <w:gridCol w:w="810"/>
      </w:tblGrid>
      <w:tr w:rsidR="00FC00CE" w:rsidRPr="00DA1F32" w:rsidTr="00FC00CE">
        <w:trPr>
          <w:trHeight w:val="326"/>
        </w:trPr>
        <w:tc>
          <w:tcPr>
            <w:tcW w:w="290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BUDŽET CRNE GORE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FC00CE" w:rsidRDefault="00FC00CE" w:rsidP="00DA1F32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O</w:t>
            </w:r>
            <w:r w:rsidR="00DA1F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stvarenje</w:t>
            </w:r>
          </w:p>
          <w:p w:rsidR="00DA1F32" w:rsidRPr="00DA1F32" w:rsidRDefault="00FC00CE" w:rsidP="00DA1F32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2016</w:t>
            </w:r>
            <w:r w:rsidR="00DA1F32" w:rsidRPr="00DA1F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5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DA1F32" w:rsidRDefault="00FC00CE" w:rsidP="00DA1F3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</w:t>
            </w:r>
            <w:r w:rsidR="00DA1F32"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 xml:space="preserve">lan </w:t>
            </w:r>
          </w:p>
          <w:p w:rsidR="00FC00CE" w:rsidRPr="00DA1F32" w:rsidRDefault="00FC00CE" w:rsidP="00DA1F3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2016</w:t>
            </w:r>
          </w:p>
        </w:tc>
        <w:tc>
          <w:tcPr>
            <w:tcW w:w="278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Analitika-jul</w:t>
            </w:r>
          </w:p>
        </w:tc>
      </w:tr>
      <w:tr w:rsidR="0098749F" w:rsidRPr="00DA1F32" w:rsidTr="00FC00CE">
        <w:trPr>
          <w:trHeight w:val="575"/>
        </w:trPr>
        <w:tc>
          <w:tcPr>
            <w:tcW w:w="290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VII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VII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jul2016/jul2015(%)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jan-jul2016 / jan-jul2015(%)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jul2016/ jul2016plan (%)</w:t>
            </w:r>
          </w:p>
        </w:tc>
      </w:tr>
      <w:tr w:rsidR="0098749F" w:rsidRPr="00DA1F32" w:rsidTr="00FC00CE">
        <w:trPr>
          <w:trHeight w:val="342"/>
        </w:trPr>
        <w:tc>
          <w:tcPr>
            <w:tcW w:w="29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IZVORNI PRIHODI, od čega: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126,21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140,23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-0,99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6,14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-10,00</w:t>
            </w:r>
          </w:p>
        </w:tc>
      </w:tr>
      <w:tr w:rsidR="0098749F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Porezi i doprinosi na  zarade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47,08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49,96</w:t>
            </w:r>
          </w:p>
        </w:tc>
        <w:tc>
          <w:tcPr>
            <w:tcW w:w="122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-6,73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2,70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-5,78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dobit pravnih lica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2,55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4,54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-14,11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5,72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-43,85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dodatu vrijednost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48,33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49,40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5,21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5,58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-2,17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Akcize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17,83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18,50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6,26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9,05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-3,59</w:t>
            </w:r>
          </w:p>
        </w:tc>
      </w:tr>
      <w:tr w:rsidR="00FC00CE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medj trgovinu i transak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2,46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2,55</w:t>
            </w:r>
          </w:p>
        </w:tc>
        <w:tc>
          <w:tcPr>
            <w:tcW w:w="12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2,73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6,06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-3,68</w:t>
            </w:r>
          </w:p>
        </w:tc>
      </w:tr>
      <w:tr w:rsidR="0098749F" w:rsidRPr="00DA1F32" w:rsidTr="00FC00CE">
        <w:trPr>
          <w:trHeight w:val="342"/>
        </w:trPr>
        <w:tc>
          <w:tcPr>
            <w:tcW w:w="29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IZDACI BUDŽETA, od čega :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125,42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144,37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-3,01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-11,27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-13,13</w:t>
            </w:r>
          </w:p>
        </w:tc>
      </w:tr>
      <w:tr w:rsidR="0098749F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Bruto zarade i doprinosi na teret poslodavca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34,92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34,65</w:t>
            </w:r>
          </w:p>
        </w:tc>
        <w:tc>
          <w:tcPr>
            <w:tcW w:w="122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2,93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7,63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0,77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Rashodi za materijal i usluge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6,81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-2,76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10,94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7,50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Kamate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4,02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25,38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-0,67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za socijalnu zaštitu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43,98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44,37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8,95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-0,86</w:t>
            </w:r>
          </w:p>
        </w:tc>
      </w:tr>
      <w:tr w:rsidR="00FC00CE" w:rsidRPr="00DA1F32" w:rsidTr="00FC00CE">
        <w:trPr>
          <w:trHeight w:val="310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instit, pojed i NVO sektoru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10,06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12,20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-6,37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15,97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-17,52</w:t>
            </w:r>
          </w:p>
        </w:tc>
      </w:tr>
      <w:tr w:rsidR="00FC00CE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 xml:space="preserve">Kapitalni </w:t>
            </w:r>
            <w:r w:rsidR="009C23C1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 xml:space="preserve"> budžet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7,20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12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0,30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-83,39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-76,97</w:t>
            </w:r>
          </w:p>
        </w:tc>
      </w:tr>
      <w:tr w:rsidR="0098749F" w:rsidRPr="00DA1F32" w:rsidTr="00FC00CE">
        <w:trPr>
          <w:trHeight w:val="342"/>
        </w:trPr>
        <w:tc>
          <w:tcPr>
            <w:tcW w:w="29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Suficit / Deficit budžeta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0,79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-144,07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-58,68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-119,19</w:t>
            </w:r>
          </w:p>
        </w:tc>
      </w:tr>
      <w:tr w:rsidR="0098749F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Primarni bilans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7,12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2,24</w:t>
            </w:r>
          </w:p>
        </w:tc>
        <w:tc>
          <w:tcPr>
            <w:tcW w:w="122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59,58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-80,99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218,35</w:t>
            </w:r>
          </w:p>
        </w:tc>
      </w:tr>
      <w:tr w:rsidR="00FC00CE" w:rsidRPr="00DA1F32" w:rsidTr="00FC00CE">
        <w:trPr>
          <w:trHeight w:val="326"/>
        </w:trPr>
        <w:tc>
          <w:tcPr>
            <w:tcW w:w="290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Otplata dugova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26,02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32,77</w:t>
            </w:r>
          </w:p>
        </w:tc>
        <w:tc>
          <w:tcPr>
            <w:tcW w:w="12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-60,32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1,61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DA1F32" w:rsidRPr="00DA1F32" w:rsidRDefault="00DA1F32" w:rsidP="00DA1F3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DA1F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-20,60</w:t>
            </w:r>
          </w:p>
        </w:tc>
      </w:tr>
    </w:tbl>
    <w:p w:rsidR="0079718D" w:rsidRPr="004C3072" w:rsidRDefault="00DA1F32" w:rsidP="00165D1E">
      <w:pPr>
        <w:tabs>
          <w:tab w:val="left" w:pos="1810"/>
          <w:tab w:val="left" w:pos="3607"/>
        </w:tabs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060DA2">
        <w:rPr>
          <w:sz w:val="16"/>
          <w:szCs w:val="16"/>
        </w:rPr>
        <w:br w:type="textWrapping" w:clear="all"/>
      </w:r>
      <w:r w:rsidR="00F94662">
        <w:rPr>
          <w:sz w:val="16"/>
          <w:szCs w:val="16"/>
        </w:rPr>
        <w:t>*SDI podaci za jun</w:t>
      </w:r>
    </w:p>
    <w:sectPr w:rsidR="0079718D" w:rsidRPr="004C3072" w:rsidSect="0088070A">
      <w:headerReference w:type="default" r:id="rId14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46" w:rsidRDefault="00BC0E46" w:rsidP="0073697A">
      <w:r>
        <w:separator/>
      </w:r>
    </w:p>
  </w:endnote>
  <w:endnote w:type="continuationSeparator" w:id="0">
    <w:p w:rsidR="00BC0E46" w:rsidRDefault="00BC0E46" w:rsidP="0073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46" w:rsidRDefault="00BC0E46" w:rsidP="0073697A">
      <w:r>
        <w:separator/>
      </w:r>
    </w:p>
  </w:footnote>
  <w:footnote w:type="continuationSeparator" w:id="0">
    <w:p w:rsidR="00BC0E46" w:rsidRDefault="00BC0E46" w:rsidP="0073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7A" w:rsidRDefault="0073697A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73697A" w:rsidRPr="0073697A" w:rsidRDefault="0073697A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 w:rsidR="00DE3406">
      <w:rPr>
        <w:b/>
      </w:rPr>
      <w:t>JUL</w:t>
    </w:r>
    <w:r w:rsidRPr="0073697A">
      <w:rPr>
        <w:b/>
      </w:rPr>
      <w:t xml:space="preserve">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CF" w:rsidRPr="0073697A" w:rsidRDefault="003246CF" w:rsidP="0073697A">
    <w:pPr>
      <w:pStyle w:val="Header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697A"/>
    <w:rsid w:val="00000EF0"/>
    <w:rsid w:val="000038EF"/>
    <w:rsid w:val="0000427C"/>
    <w:rsid w:val="00005335"/>
    <w:rsid w:val="00007265"/>
    <w:rsid w:val="00015561"/>
    <w:rsid w:val="000173EE"/>
    <w:rsid w:val="000345FD"/>
    <w:rsid w:val="00042F09"/>
    <w:rsid w:val="0005291E"/>
    <w:rsid w:val="00053060"/>
    <w:rsid w:val="00060DA2"/>
    <w:rsid w:val="00073816"/>
    <w:rsid w:val="00080AC8"/>
    <w:rsid w:val="000965F7"/>
    <w:rsid w:val="000A216D"/>
    <w:rsid w:val="000A45F0"/>
    <w:rsid w:val="000A7357"/>
    <w:rsid w:val="000B737B"/>
    <w:rsid w:val="000C1B3B"/>
    <w:rsid w:val="001063C2"/>
    <w:rsid w:val="00106C06"/>
    <w:rsid w:val="00111099"/>
    <w:rsid w:val="001375C0"/>
    <w:rsid w:val="00142584"/>
    <w:rsid w:val="00144DB3"/>
    <w:rsid w:val="00146CE3"/>
    <w:rsid w:val="00147BB3"/>
    <w:rsid w:val="0015061A"/>
    <w:rsid w:val="00164655"/>
    <w:rsid w:val="00165D1E"/>
    <w:rsid w:val="001663FE"/>
    <w:rsid w:val="0017300C"/>
    <w:rsid w:val="00181923"/>
    <w:rsid w:val="001A1F6C"/>
    <w:rsid w:val="001A7B3A"/>
    <w:rsid w:val="001B5B1A"/>
    <w:rsid w:val="001B690A"/>
    <w:rsid w:val="001C2611"/>
    <w:rsid w:val="001C301B"/>
    <w:rsid w:val="001C5A36"/>
    <w:rsid w:val="001D1216"/>
    <w:rsid w:val="001D4436"/>
    <w:rsid w:val="001E33EA"/>
    <w:rsid w:val="001F4E19"/>
    <w:rsid w:val="001F6694"/>
    <w:rsid w:val="00203F47"/>
    <w:rsid w:val="002130C5"/>
    <w:rsid w:val="00213F9C"/>
    <w:rsid w:val="0022033B"/>
    <w:rsid w:val="00233237"/>
    <w:rsid w:val="002374B9"/>
    <w:rsid w:val="002520F3"/>
    <w:rsid w:val="00252F30"/>
    <w:rsid w:val="00262CD5"/>
    <w:rsid w:val="0027120F"/>
    <w:rsid w:val="00276516"/>
    <w:rsid w:val="00281C41"/>
    <w:rsid w:val="002930D3"/>
    <w:rsid w:val="00293267"/>
    <w:rsid w:val="002B0F27"/>
    <w:rsid w:val="002B326F"/>
    <w:rsid w:val="002D4A9C"/>
    <w:rsid w:val="002D5BAF"/>
    <w:rsid w:val="002D739F"/>
    <w:rsid w:val="002E2742"/>
    <w:rsid w:val="002E5FBE"/>
    <w:rsid w:val="002F73DF"/>
    <w:rsid w:val="00314ACD"/>
    <w:rsid w:val="00322EC9"/>
    <w:rsid w:val="003246CF"/>
    <w:rsid w:val="00335592"/>
    <w:rsid w:val="00350DD5"/>
    <w:rsid w:val="00353DF1"/>
    <w:rsid w:val="00366CBB"/>
    <w:rsid w:val="00372E9C"/>
    <w:rsid w:val="003809FC"/>
    <w:rsid w:val="00396E9B"/>
    <w:rsid w:val="003A1DA6"/>
    <w:rsid w:val="003A7AFD"/>
    <w:rsid w:val="003B1BC0"/>
    <w:rsid w:val="003C4377"/>
    <w:rsid w:val="003C66B3"/>
    <w:rsid w:val="003D7676"/>
    <w:rsid w:val="003E5678"/>
    <w:rsid w:val="003E6B73"/>
    <w:rsid w:val="003F5368"/>
    <w:rsid w:val="00400FB4"/>
    <w:rsid w:val="004060E3"/>
    <w:rsid w:val="00420B8C"/>
    <w:rsid w:val="00421A9C"/>
    <w:rsid w:val="004238BB"/>
    <w:rsid w:val="0042618D"/>
    <w:rsid w:val="00426C6F"/>
    <w:rsid w:val="0044517D"/>
    <w:rsid w:val="00470004"/>
    <w:rsid w:val="00472419"/>
    <w:rsid w:val="0048284B"/>
    <w:rsid w:val="0048750E"/>
    <w:rsid w:val="00487BE0"/>
    <w:rsid w:val="004914C7"/>
    <w:rsid w:val="0049216B"/>
    <w:rsid w:val="00494F72"/>
    <w:rsid w:val="004A28F5"/>
    <w:rsid w:val="004A7AB1"/>
    <w:rsid w:val="004B6680"/>
    <w:rsid w:val="004B726F"/>
    <w:rsid w:val="004C0387"/>
    <w:rsid w:val="004C3072"/>
    <w:rsid w:val="004C5EC6"/>
    <w:rsid w:val="004F4D92"/>
    <w:rsid w:val="0050113B"/>
    <w:rsid w:val="00504951"/>
    <w:rsid w:val="0050592F"/>
    <w:rsid w:val="00507804"/>
    <w:rsid w:val="00511665"/>
    <w:rsid w:val="00512B09"/>
    <w:rsid w:val="005132AD"/>
    <w:rsid w:val="0052339C"/>
    <w:rsid w:val="00525DF6"/>
    <w:rsid w:val="005357F2"/>
    <w:rsid w:val="005438B0"/>
    <w:rsid w:val="005458FE"/>
    <w:rsid w:val="00547CF0"/>
    <w:rsid w:val="005600A4"/>
    <w:rsid w:val="005713D5"/>
    <w:rsid w:val="00572484"/>
    <w:rsid w:val="005737CB"/>
    <w:rsid w:val="00574007"/>
    <w:rsid w:val="0058031A"/>
    <w:rsid w:val="00586D17"/>
    <w:rsid w:val="00590347"/>
    <w:rsid w:val="00596B99"/>
    <w:rsid w:val="005A1C2A"/>
    <w:rsid w:val="005A6D03"/>
    <w:rsid w:val="005D22D9"/>
    <w:rsid w:val="005D57C1"/>
    <w:rsid w:val="005D67C3"/>
    <w:rsid w:val="005E7520"/>
    <w:rsid w:val="005F012F"/>
    <w:rsid w:val="005F0CCD"/>
    <w:rsid w:val="005F39EB"/>
    <w:rsid w:val="005F5912"/>
    <w:rsid w:val="005F6D52"/>
    <w:rsid w:val="00601240"/>
    <w:rsid w:val="00616FAC"/>
    <w:rsid w:val="00630B19"/>
    <w:rsid w:val="006405F6"/>
    <w:rsid w:val="00645885"/>
    <w:rsid w:val="00660B0E"/>
    <w:rsid w:val="00660BB8"/>
    <w:rsid w:val="0066376E"/>
    <w:rsid w:val="006863EF"/>
    <w:rsid w:val="0069707D"/>
    <w:rsid w:val="006A0781"/>
    <w:rsid w:val="006A0D43"/>
    <w:rsid w:val="006A168C"/>
    <w:rsid w:val="006B2901"/>
    <w:rsid w:val="006C52D2"/>
    <w:rsid w:val="006D633E"/>
    <w:rsid w:val="006E0085"/>
    <w:rsid w:val="006F0D1C"/>
    <w:rsid w:val="006F3BE2"/>
    <w:rsid w:val="007100DA"/>
    <w:rsid w:val="00716398"/>
    <w:rsid w:val="00717741"/>
    <w:rsid w:val="00723438"/>
    <w:rsid w:val="00727509"/>
    <w:rsid w:val="0073181D"/>
    <w:rsid w:val="00731EA8"/>
    <w:rsid w:val="0073697A"/>
    <w:rsid w:val="0073775D"/>
    <w:rsid w:val="007419C4"/>
    <w:rsid w:val="0074660A"/>
    <w:rsid w:val="0075112B"/>
    <w:rsid w:val="0076035F"/>
    <w:rsid w:val="00760884"/>
    <w:rsid w:val="00764AE3"/>
    <w:rsid w:val="00773602"/>
    <w:rsid w:val="00773D70"/>
    <w:rsid w:val="00786BE4"/>
    <w:rsid w:val="00787D64"/>
    <w:rsid w:val="0079718D"/>
    <w:rsid w:val="00797836"/>
    <w:rsid w:val="007A3610"/>
    <w:rsid w:val="007B0D22"/>
    <w:rsid w:val="007B151B"/>
    <w:rsid w:val="007B73BF"/>
    <w:rsid w:val="007D3C8A"/>
    <w:rsid w:val="007D7E9D"/>
    <w:rsid w:val="007E0AC6"/>
    <w:rsid w:val="007E794E"/>
    <w:rsid w:val="007F1472"/>
    <w:rsid w:val="007F2E00"/>
    <w:rsid w:val="007F2E5F"/>
    <w:rsid w:val="007F38ED"/>
    <w:rsid w:val="008028F9"/>
    <w:rsid w:val="00803D0A"/>
    <w:rsid w:val="008042F0"/>
    <w:rsid w:val="00815D6D"/>
    <w:rsid w:val="008201ED"/>
    <w:rsid w:val="00821311"/>
    <w:rsid w:val="00832B68"/>
    <w:rsid w:val="0083533D"/>
    <w:rsid w:val="00840B3F"/>
    <w:rsid w:val="00845369"/>
    <w:rsid w:val="00850D89"/>
    <w:rsid w:val="0085469E"/>
    <w:rsid w:val="00865E5F"/>
    <w:rsid w:val="00870E6B"/>
    <w:rsid w:val="00873C38"/>
    <w:rsid w:val="0088070A"/>
    <w:rsid w:val="00891AD4"/>
    <w:rsid w:val="008977A0"/>
    <w:rsid w:val="008A1FCB"/>
    <w:rsid w:val="008B415E"/>
    <w:rsid w:val="008B5248"/>
    <w:rsid w:val="008C0FA2"/>
    <w:rsid w:val="008D0CF1"/>
    <w:rsid w:val="008E2C7D"/>
    <w:rsid w:val="008F3A0F"/>
    <w:rsid w:val="008F5166"/>
    <w:rsid w:val="009023A9"/>
    <w:rsid w:val="00914598"/>
    <w:rsid w:val="009150CA"/>
    <w:rsid w:val="00922E13"/>
    <w:rsid w:val="00925396"/>
    <w:rsid w:val="00936469"/>
    <w:rsid w:val="00945923"/>
    <w:rsid w:val="00955062"/>
    <w:rsid w:val="00957B61"/>
    <w:rsid w:val="00961412"/>
    <w:rsid w:val="009720CB"/>
    <w:rsid w:val="00973F4D"/>
    <w:rsid w:val="009743E5"/>
    <w:rsid w:val="00980E17"/>
    <w:rsid w:val="0098749F"/>
    <w:rsid w:val="0099235F"/>
    <w:rsid w:val="00993DD3"/>
    <w:rsid w:val="009B4C93"/>
    <w:rsid w:val="009C23C1"/>
    <w:rsid w:val="009D06FF"/>
    <w:rsid w:val="009D6CAE"/>
    <w:rsid w:val="009F2B48"/>
    <w:rsid w:val="009F3868"/>
    <w:rsid w:val="00A03982"/>
    <w:rsid w:val="00A11106"/>
    <w:rsid w:val="00A12128"/>
    <w:rsid w:val="00A142A0"/>
    <w:rsid w:val="00A23417"/>
    <w:rsid w:val="00A30629"/>
    <w:rsid w:val="00A30CF8"/>
    <w:rsid w:val="00A30F9F"/>
    <w:rsid w:val="00A317B6"/>
    <w:rsid w:val="00A40C0E"/>
    <w:rsid w:val="00A41D64"/>
    <w:rsid w:val="00A43FFD"/>
    <w:rsid w:val="00A56A4D"/>
    <w:rsid w:val="00A63D86"/>
    <w:rsid w:val="00A64B7C"/>
    <w:rsid w:val="00A83DC7"/>
    <w:rsid w:val="00A86BBF"/>
    <w:rsid w:val="00AA7198"/>
    <w:rsid w:val="00AD2A30"/>
    <w:rsid w:val="00AD49B3"/>
    <w:rsid w:val="00AD6544"/>
    <w:rsid w:val="00AE3727"/>
    <w:rsid w:val="00AE635C"/>
    <w:rsid w:val="00AE6991"/>
    <w:rsid w:val="00AE7EB0"/>
    <w:rsid w:val="00AF19CD"/>
    <w:rsid w:val="00AF6340"/>
    <w:rsid w:val="00B10952"/>
    <w:rsid w:val="00B145C2"/>
    <w:rsid w:val="00B171C8"/>
    <w:rsid w:val="00B17F35"/>
    <w:rsid w:val="00B2463F"/>
    <w:rsid w:val="00B312F3"/>
    <w:rsid w:val="00B32517"/>
    <w:rsid w:val="00B45DE4"/>
    <w:rsid w:val="00B62939"/>
    <w:rsid w:val="00B637E9"/>
    <w:rsid w:val="00B65804"/>
    <w:rsid w:val="00B677E0"/>
    <w:rsid w:val="00B72B8E"/>
    <w:rsid w:val="00B76CD6"/>
    <w:rsid w:val="00B84180"/>
    <w:rsid w:val="00B9371F"/>
    <w:rsid w:val="00BC0E46"/>
    <w:rsid w:val="00BC160F"/>
    <w:rsid w:val="00BC1E57"/>
    <w:rsid w:val="00BC2627"/>
    <w:rsid w:val="00BC722D"/>
    <w:rsid w:val="00BF1745"/>
    <w:rsid w:val="00BF3ACA"/>
    <w:rsid w:val="00BF60A2"/>
    <w:rsid w:val="00BF7815"/>
    <w:rsid w:val="00C121AA"/>
    <w:rsid w:val="00C40ABE"/>
    <w:rsid w:val="00C42687"/>
    <w:rsid w:val="00C5038F"/>
    <w:rsid w:val="00C5597E"/>
    <w:rsid w:val="00C62DE8"/>
    <w:rsid w:val="00C76D0B"/>
    <w:rsid w:val="00C76FEF"/>
    <w:rsid w:val="00C77428"/>
    <w:rsid w:val="00C81B7A"/>
    <w:rsid w:val="00C82F59"/>
    <w:rsid w:val="00CA1561"/>
    <w:rsid w:val="00CC240E"/>
    <w:rsid w:val="00CC5BC9"/>
    <w:rsid w:val="00D116C2"/>
    <w:rsid w:val="00D12CE1"/>
    <w:rsid w:val="00D22C1D"/>
    <w:rsid w:val="00D33068"/>
    <w:rsid w:val="00D41545"/>
    <w:rsid w:val="00D5556D"/>
    <w:rsid w:val="00D5698F"/>
    <w:rsid w:val="00D63986"/>
    <w:rsid w:val="00D71A89"/>
    <w:rsid w:val="00D8366B"/>
    <w:rsid w:val="00D84EE5"/>
    <w:rsid w:val="00D97DE8"/>
    <w:rsid w:val="00DA0835"/>
    <w:rsid w:val="00DA1F32"/>
    <w:rsid w:val="00DA6A5F"/>
    <w:rsid w:val="00DB0048"/>
    <w:rsid w:val="00DB29AE"/>
    <w:rsid w:val="00DB3D80"/>
    <w:rsid w:val="00DC6BD8"/>
    <w:rsid w:val="00DC76AB"/>
    <w:rsid w:val="00DD551E"/>
    <w:rsid w:val="00DE3406"/>
    <w:rsid w:val="00DF7A64"/>
    <w:rsid w:val="00E10840"/>
    <w:rsid w:val="00E15D4A"/>
    <w:rsid w:val="00E2269A"/>
    <w:rsid w:val="00E22F9A"/>
    <w:rsid w:val="00E25024"/>
    <w:rsid w:val="00E256F4"/>
    <w:rsid w:val="00E321B2"/>
    <w:rsid w:val="00E37E2E"/>
    <w:rsid w:val="00E42D19"/>
    <w:rsid w:val="00E45A4C"/>
    <w:rsid w:val="00E60E35"/>
    <w:rsid w:val="00E77696"/>
    <w:rsid w:val="00E8072F"/>
    <w:rsid w:val="00E97E73"/>
    <w:rsid w:val="00EA7E4B"/>
    <w:rsid w:val="00EB7D0C"/>
    <w:rsid w:val="00EB7D15"/>
    <w:rsid w:val="00ED05CD"/>
    <w:rsid w:val="00ED1E5A"/>
    <w:rsid w:val="00ED6FE0"/>
    <w:rsid w:val="00ED7734"/>
    <w:rsid w:val="00ED7DC6"/>
    <w:rsid w:val="00EF6FFE"/>
    <w:rsid w:val="00EF7209"/>
    <w:rsid w:val="00F074C1"/>
    <w:rsid w:val="00F10DCB"/>
    <w:rsid w:val="00F118B5"/>
    <w:rsid w:val="00F230C6"/>
    <w:rsid w:val="00F318C2"/>
    <w:rsid w:val="00F35D9F"/>
    <w:rsid w:val="00F476EE"/>
    <w:rsid w:val="00F51BC8"/>
    <w:rsid w:val="00F52F3B"/>
    <w:rsid w:val="00F61980"/>
    <w:rsid w:val="00F63D62"/>
    <w:rsid w:val="00F71E4F"/>
    <w:rsid w:val="00F840B1"/>
    <w:rsid w:val="00F900A0"/>
    <w:rsid w:val="00F94662"/>
    <w:rsid w:val="00FB1AF7"/>
    <w:rsid w:val="00FB31DA"/>
    <w:rsid w:val="00FC00CE"/>
    <w:rsid w:val="00FD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%202016%2008\mmi%202016-0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6%200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grafici\Copy%20of%20Podaci%20CBCG%20koji_se_dostavljaju_Savjetu%20za%20finansijsku%20stabilnost%20jul_2016%20MF%20(2)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9.2677576923822641E-2"/>
          <c:y val="0.16335241370992054"/>
          <c:w val="0.85658872359765847"/>
          <c:h val="0.67437214497469999"/>
        </c:manualLayout>
      </c:layout>
      <c:barChart>
        <c:barDir val="col"/>
        <c:grouping val="clustered"/>
        <c:ser>
          <c:idx val="0"/>
          <c:order val="0"/>
          <c:tx>
            <c:v>Vrijednost izvršenih građevinskih radova</c:v>
          </c:tx>
          <c:spPr>
            <a:solidFill>
              <a:srgbClr val="5CB084"/>
            </a:solidFill>
          </c:spPr>
          <c:dLbls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</c:dLbls>
          <c:cat>
            <c:strRef>
              <c:f>'Makroekonomski indikatori'!$BI$73:$BN$73</c:f>
              <c:strCache>
                <c:ptCount val="6"/>
                <c:pt idx="0">
                  <c:v>Q1 15</c:v>
                </c:pt>
                <c:pt idx="1">
                  <c:v>Q2 15</c:v>
                </c:pt>
                <c:pt idx="2">
                  <c:v>Q3 15</c:v>
                </c:pt>
                <c:pt idx="3">
                  <c:v>Q4 15</c:v>
                </c:pt>
                <c:pt idx="4">
                  <c:v>Q1 16</c:v>
                </c:pt>
                <c:pt idx="5">
                  <c:v>Q2 16</c:v>
                </c:pt>
              </c:strCache>
            </c:strRef>
          </c:cat>
          <c:val>
            <c:numRef>
              <c:f>'Makroekonomski indikatori'!$BI$74:$BN$74</c:f>
              <c:numCache>
                <c:formatCode>General</c:formatCode>
                <c:ptCount val="6"/>
                <c:pt idx="0">
                  <c:v>9.6</c:v>
                </c:pt>
                <c:pt idx="1">
                  <c:v>9.9</c:v>
                </c:pt>
                <c:pt idx="2">
                  <c:v>2.2999999999999998</c:v>
                </c:pt>
                <c:pt idx="3">
                  <c:v>3.1</c:v>
                </c:pt>
                <c:pt idx="4">
                  <c:v>12.3</c:v>
                </c:pt>
                <c:pt idx="5">
                  <c:v>32.1</c:v>
                </c:pt>
              </c:numCache>
            </c:numRef>
          </c:val>
        </c:ser>
        <c:axId val="109492096"/>
        <c:axId val="109493632"/>
      </c:barChart>
      <c:catAx>
        <c:axId val="10949209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9493632"/>
        <c:crosses val="autoZero"/>
        <c:auto val="1"/>
        <c:lblAlgn val="ctr"/>
        <c:lblOffset val="100"/>
      </c:catAx>
      <c:valAx>
        <c:axId val="10949363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9492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933902885920034"/>
          <c:y val="0.91793729387685752"/>
          <c:w val="0.74132194228160064"/>
          <c:h val="8.2062706123142093E-2"/>
        </c:manualLayout>
      </c:layout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63297052011489"/>
          <c:y val="0.12591842710350171"/>
          <c:w val="0.77154431054688832"/>
          <c:h val="0.74816314579299481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LblPos val="out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multiLvlStrRef>
              <c:f>'Fiskalni indikatori'!$AZ$2:$BF$3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2016</c:v>
                  </c:pt>
                </c:lvl>
              </c:multiLvlStrCache>
            </c:multiLvlStrRef>
          </c:cat>
          <c:val>
            <c:numRef>
              <c:f>'Fiskalni indikatori'!$AZ$7:$BF$7</c:f>
              <c:numCache>
                <c:formatCode>0.00,,</c:formatCode>
                <c:ptCount val="7"/>
                <c:pt idx="0">
                  <c:v>33402847.570000004</c:v>
                </c:pt>
                <c:pt idx="1">
                  <c:v>32832195.190000009</c:v>
                </c:pt>
                <c:pt idx="2">
                  <c:v>34901875.720000073</c:v>
                </c:pt>
                <c:pt idx="3">
                  <c:v>36772461.840000004</c:v>
                </c:pt>
                <c:pt idx="4">
                  <c:v>39500513.950000003</c:v>
                </c:pt>
                <c:pt idx="5">
                  <c:v>44189336.990000002</c:v>
                </c:pt>
                <c:pt idx="6">
                  <c:v>48332253.480000004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/>
      <c:barChart>
        <c:barDir val="col"/>
        <c:grouping val="clustered"/>
        <c:ser>
          <c:idx val="0"/>
          <c:order val="0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makro'!$B$7:$T$7</c:f>
            </c:numRef>
          </c:val>
        </c:ser>
        <c:ser>
          <c:idx val="1"/>
          <c:order val="1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makro'!$B$8:$T$8</c:f>
            </c:numRef>
          </c:val>
        </c:ser>
        <c:ser>
          <c:idx val="2"/>
          <c:order val="2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makro'!$B$9:$T$9</c:f>
            </c:numRef>
          </c:val>
        </c:ser>
        <c:ser>
          <c:idx val="3"/>
          <c:order val="3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makro'!$B$10:$T$10</c:f>
            </c:numRef>
          </c:val>
        </c:ser>
        <c:ser>
          <c:idx val="4"/>
          <c:order val="4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makro'!$B$11:$T$11</c:f>
            </c:numRef>
          </c:val>
        </c:ser>
        <c:ser>
          <c:idx val="5"/>
          <c:order val="5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makro'!$B$12:$T$12</c:f>
            </c:numRef>
          </c:val>
        </c:ser>
        <c:ser>
          <c:idx val="6"/>
          <c:order val="6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makro'!$B$13:$T$13</c:f>
            </c:numRef>
          </c:val>
        </c:ser>
        <c:ser>
          <c:idx val="7"/>
          <c:order val="7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makro'!$B$14:$T$14</c:f>
            </c:numRef>
          </c:val>
        </c:ser>
        <c:ser>
          <c:idx val="8"/>
          <c:order val="8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makro'!$B$15:$T$15</c:f>
            </c:numRef>
          </c:val>
        </c:ser>
        <c:ser>
          <c:idx val="9"/>
          <c:order val="9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makro'!$B$16:$T$16</c:f>
            </c:numRef>
          </c:val>
        </c:ser>
        <c:ser>
          <c:idx val="10"/>
          <c:order val="10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makro'!$B$17:$T$17</c:f>
            </c:numRef>
          </c:val>
        </c:ser>
        <c:ser>
          <c:idx val="11"/>
          <c:order val="11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makro'!$B$18:$T$18</c:f>
            </c:numRef>
          </c:val>
        </c:ser>
        <c:ser>
          <c:idx val="12"/>
          <c:order val="12"/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makro'!$B$19:$T$19</c:f>
            </c:numRef>
          </c:val>
        </c:ser>
        <c:ser>
          <c:idx val="13"/>
          <c:order val="13"/>
          <c:tx>
            <c:strRef>
              <c:f>'Database za makro'!$A$20</c:f>
              <c:strCache>
                <c:ptCount val="1"/>
                <c:pt idx="0">
                  <c:v>Stopa nezaposlenosti (%)</c:v>
                </c:pt>
              </c:strCache>
            </c:strRef>
          </c:tx>
          <c:cat>
            <c:strRef>
              <c:f>'Database za makro'!$B$6:$T$6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'Database za makro'!$B$20:$T$20</c:f>
              <c:numCache>
                <c:formatCode>#,##0.0</c:formatCode>
                <c:ptCount val="19"/>
                <c:pt idx="0">
                  <c:v>15.1</c:v>
                </c:pt>
                <c:pt idx="1">
                  <c:v>15.2</c:v>
                </c:pt>
                <c:pt idx="2">
                  <c:v>15</c:v>
                </c:pt>
                <c:pt idx="3">
                  <c:v>14.6</c:v>
                </c:pt>
                <c:pt idx="4">
                  <c:v>13.9</c:v>
                </c:pt>
                <c:pt idx="5">
                  <c:v>13.4</c:v>
                </c:pt>
                <c:pt idx="6">
                  <c:v>13.5</c:v>
                </c:pt>
                <c:pt idx="7">
                  <c:v>14.2</c:v>
                </c:pt>
                <c:pt idx="8">
                  <c:v>14.5</c:v>
                </c:pt>
                <c:pt idx="9">
                  <c:v>15.7</c:v>
                </c:pt>
                <c:pt idx="10">
                  <c:v>16.3</c:v>
                </c:pt>
                <c:pt idx="11" formatCode="_-* #,##0.00\ _D_i_n_._-;\-* #,##0.00\ _D_i_n_._-;_-* &quot;-&quot;??\ _D_i_n_._-;_-@_-">
                  <c:v>17.2</c:v>
                </c:pt>
                <c:pt idx="12" formatCode="_-* #,##0.00\ _D_i_n_._-;\-* #,##0.00\ _D_i_n_._-;_-* &quot;-&quot;??\ _D_i_n_._-;_-@_-">
                  <c:v>17.7</c:v>
                </c:pt>
                <c:pt idx="13" formatCode="_-* #,##0.00\ _D_i_n_._-;\-* #,##0.00\ _D_i_n_._-;_-* &quot;-&quot;??\ _D_i_n_._-;_-@_-">
                  <c:v>18.399999999999999</c:v>
                </c:pt>
                <c:pt idx="14" formatCode="_-* #,##0.00\ _D_i_n_._-;\-* #,##0.00\ _D_i_n_._-;_-* &quot;-&quot;??\ _D_i_n_._-;_-@_-">
                  <c:v>18.3</c:v>
                </c:pt>
                <c:pt idx="15" formatCode="_-* #,##0.00\ _D_i_n_._-;\-* #,##0.00\ _D_i_n_._-;_-* &quot;-&quot;??\ _D_i_n_._-;_-@_-">
                  <c:v>17.899999999999999</c:v>
                </c:pt>
                <c:pt idx="16" formatCode="_-* #,##0.00\ _D_i_n_._-;\-* #,##0.00\ _D_i_n_._-;_-* &quot;-&quot;??\ _D_i_n_._-;_-@_-">
                  <c:v>17.8</c:v>
                </c:pt>
                <c:pt idx="17" formatCode="General">
                  <c:v>17.23</c:v>
                </c:pt>
                <c:pt idx="18" formatCode="General">
                  <c:v>17.29</c:v>
                </c:pt>
              </c:numCache>
            </c:numRef>
          </c:val>
        </c:ser>
        <c:axId val="132859776"/>
        <c:axId val="132972544"/>
      </c:barChart>
      <c:catAx>
        <c:axId val="13285977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32972544"/>
        <c:crosses val="autoZero"/>
        <c:auto val="1"/>
        <c:lblAlgn val="ctr"/>
        <c:lblOffset val="100"/>
      </c:catAx>
      <c:valAx>
        <c:axId val="132972544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3285977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autoTitleDeleted val="1"/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deficit ( mil.€.)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indikatori'!$AB$60:$AT$60</c:f>
              <c:strCache>
                <c:ptCount val="19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2016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'Makroekonomski indikatori'!$AB$47:$AT$47</c:f>
              <c:numCache>
                <c:formatCode>#,##0.0,,</c:formatCode>
                <c:ptCount val="19"/>
                <c:pt idx="0">
                  <c:v>-60032000</c:v>
                </c:pt>
                <c:pt idx="1">
                  <c:v>-98213000</c:v>
                </c:pt>
                <c:pt idx="2">
                  <c:v>-124208000</c:v>
                </c:pt>
                <c:pt idx="3">
                  <c:v>-136727000</c:v>
                </c:pt>
                <c:pt idx="4">
                  <c:v>-136790894.52000001</c:v>
                </c:pt>
                <c:pt idx="5">
                  <c:v>-160523920.64000002</c:v>
                </c:pt>
                <c:pt idx="6">
                  <c:v>-174182390.62</c:v>
                </c:pt>
                <c:pt idx="7">
                  <c:v>-141405629.00999999</c:v>
                </c:pt>
                <c:pt idx="8">
                  <c:v>-132069093.25</c:v>
                </c:pt>
                <c:pt idx="9">
                  <c:v>-123651666.31999999</c:v>
                </c:pt>
                <c:pt idx="10">
                  <c:v>-110779549.63</c:v>
                </c:pt>
                <c:pt idx="11">
                  <c:v>-124400000</c:v>
                </c:pt>
                <c:pt idx="12">
                  <c:v>-68431000</c:v>
                </c:pt>
                <c:pt idx="13">
                  <c:v>-109717000</c:v>
                </c:pt>
                <c:pt idx="14">
                  <c:v>-140468000</c:v>
                </c:pt>
                <c:pt idx="15">
                  <c:v>-158487000</c:v>
                </c:pt>
                <c:pt idx="16">
                  <c:v>-185277000</c:v>
                </c:pt>
                <c:pt idx="17">
                  <c:v>-168407000</c:v>
                </c:pt>
                <c:pt idx="18">
                  <c:v>-175012000</c:v>
                </c:pt>
              </c:numCache>
            </c:numRef>
          </c:val>
        </c:ser>
        <c:gapWidth val="75"/>
        <c:axId val="132903680"/>
        <c:axId val="132905216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multiLvlStrRef>
              <c:f>'Makroekonomski indikatori'!$K$60:$W$60</c:f>
            </c:multiLvlStrRef>
          </c:cat>
          <c:val>
            <c:numRef>
              <c:f>'Makroekonomski indikatori'!$AB$48:$AS$48</c:f>
              <c:numCache>
                <c:formatCode>0.0,,</c:formatCode>
                <c:ptCount val="18"/>
                <c:pt idx="0">
                  <c:v>24224414.129999999</c:v>
                </c:pt>
                <c:pt idx="1">
                  <c:v>26219899.959999997</c:v>
                </c:pt>
                <c:pt idx="2">
                  <c:v>34408651.600000001</c:v>
                </c:pt>
                <c:pt idx="3">
                  <c:v>25618698.370000001</c:v>
                </c:pt>
                <c:pt idx="4">
                  <c:v>30466689.210000001</c:v>
                </c:pt>
                <c:pt idx="5">
                  <c:v>42895501.060000002</c:v>
                </c:pt>
                <c:pt idx="6">
                  <c:v>36959873.290000103</c:v>
                </c:pt>
                <c:pt idx="7">
                  <c:v>263800859.16</c:v>
                </c:pt>
                <c:pt idx="8">
                  <c:v>40112321.240000002</c:v>
                </c:pt>
                <c:pt idx="9">
                  <c:v>31823690.479999997</c:v>
                </c:pt>
                <c:pt idx="10">
                  <c:v>17050294.059999999</c:v>
                </c:pt>
                <c:pt idx="11">
                  <c:v>45862288.790000103</c:v>
                </c:pt>
                <c:pt idx="12">
                  <c:v>13704221.229999973</c:v>
                </c:pt>
                <c:pt idx="13">
                  <c:v>-32197735.289999992</c:v>
                </c:pt>
                <c:pt idx="14">
                  <c:v>30668331.82</c:v>
                </c:pt>
                <c:pt idx="15">
                  <c:v>15848197.279999983</c:v>
                </c:pt>
                <c:pt idx="16">
                  <c:v>23900505.120000001</c:v>
                </c:pt>
                <c:pt idx="17">
                  <c:v>44230137.379999995</c:v>
                </c:pt>
              </c:numCache>
            </c:numRef>
          </c:val>
          <c:smooth val="1"/>
        </c:ser>
        <c:marker val="1"/>
        <c:axId val="132912640"/>
        <c:axId val="132911104"/>
      </c:lineChart>
      <c:catAx>
        <c:axId val="13290368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>
                <a:solidFill>
                  <a:schemeClr val="tx1"/>
                </a:solidFill>
              </a:defRPr>
            </a:pPr>
            <a:endParaRPr lang="sr-Latn-CS"/>
          </a:p>
        </c:txPr>
        <c:crossAx val="132905216"/>
        <c:crosses val="autoZero"/>
        <c:auto val="1"/>
        <c:lblAlgn val="ctr"/>
        <c:lblOffset val="100"/>
        <c:tickLblSkip val="2"/>
        <c:tickMarkSkip val="2"/>
      </c:catAx>
      <c:valAx>
        <c:axId val="132905216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32903680"/>
        <c:crosses val="autoZero"/>
        <c:crossBetween val="between"/>
      </c:valAx>
      <c:valAx>
        <c:axId val="132911104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132912640"/>
        <c:crosses val="max"/>
        <c:crossBetween val="between"/>
      </c:valAx>
      <c:catAx>
        <c:axId val="132912640"/>
        <c:scaling>
          <c:orientation val="minMax"/>
        </c:scaling>
        <c:delete val="1"/>
        <c:axPos val="b"/>
        <c:numFmt formatCode="General" sourceLinked="1"/>
        <c:tickLblPos val="none"/>
        <c:crossAx val="13291110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734244138337174"/>
          <c:y val="5.6112367142226199E-2"/>
          <c:w val="0.66177232142860065"/>
          <c:h val="0.18495656751777131"/>
        </c:manualLayout>
      </c:layout>
      <c:txPr>
        <a:bodyPr/>
        <a:lstStyle/>
        <a:p>
          <a:pPr>
            <a:defRPr lang="en-US" sz="600"/>
          </a:pPr>
          <a:endParaRPr lang="sr-Latn-C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/>
      <c:barChart>
        <c:barDir val="col"/>
        <c:grouping val="clustered"/>
        <c:ser>
          <c:idx val="0"/>
          <c:order val="0"/>
          <c:tx>
            <c:v>finansijske institucije</c:v>
          </c:tx>
          <c:cat>
            <c:strRef>
              <c:f>'Pokaz strukture kred i depoz'!$BQ$6:$CE$6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'Pokaz strukture kred i depoz'!$BQ$19:$CC$19</c:f>
              <c:numCache>
                <c:formatCode>#,##0</c:formatCode>
                <c:ptCount val="13"/>
                <c:pt idx="0">
                  <c:v>391026</c:v>
                </c:pt>
                <c:pt idx="1">
                  <c:v>462791</c:v>
                </c:pt>
                <c:pt idx="2">
                  <c:v>550476</c:v>
                </c:pt>
                <c:pt idx="3">
                  <c:v>517374</c:v>
                </c:pt>
                <c:pt idx="4">
                  <c:v>478476</c:v>
                </c:pt>
                <c:pt idx="5">
                  <c:v>360326</c:v>
                </c:pt>
                <c:pt idx="6">
                  <c:v>356521</c:v>
                </c:pt>
                <c:pt idx="7">
                  <c:v>352904</c:v>
                </c:pt>
                <c:pt idx="8">
                  <c:v>331673</c:v>
                </c:pt>
                <c:pt idx="9">
                  <c:v>293590</c:v>
                </c:pt>
                <c:pt idx="10">
                  <c:v>284156</c:v>
                </c:pt>
                <c:pt idx="11">
                  <c:v>260330</c:v>
                </c:pt>
                <c:pt idx="12">
                  <c:v>319946</c:v>
                </c:pt>
              </c:numCache>
            </c:numRef>
          </c:val>
        </c:ser>
        <c:ser>
          <c:idx val="1"/>
          <c:order val="1"/>
          <c:tx>
            <c:v>privreda</c:v>
          </c:tx>
          <c:cat>
            <c:strRef>
              <c:f>'Pokaz strukture kred i depoz'!$BQ$6:$CE$6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'Pokaz strukture kred i depoz'!$BQ$20:$CG$20</c:f>
              <c:numCache>
                <c:formatCode>#,##0_ </c:formatCode>
                <c:ptCount val="17"/>
                <c:pt idx="0">
                  <c:v>943027</c:v>
                </c:pt>
                <c:pt idx="1">
                  <c:v>937298</c:v>
                </c:pt>
                <c:pt idx="2">
                  <c:v>931672</c:v>
                </c:pt>
                <c:pt idx="3">
                  <c:v>946614</c:v>
                </c:pt>
                <c:pt idx="4">
                  <c:v>939058</c:v>
                </c:pt>
                <c:pt idx="5">
                  <c:v>936052</c:v>
                </c:pt>
                <c:pt idx="6">
                  <c:v>931102</c:v>
                </c:pt>
                <c:pt idx="7">
                  <c:v>925797</c:v>
                </c:pt>
                <c:pt idx="8">
                  <c:v>939516</c:v>
                </c:pt>
                <c:pt idx="9">
                  <c:v>947140</c:v>
                </c:pt>
                <c:pt idx="10">
                  <c:v>962460</c:v>
                </c:pt>
                <c:pt idx="11">
                  <c:v>976293</c:v>
                </c:pt>
                <c:pt idx="12">
                  <c:v>962484</c:v>
                </c:pt>
              </c:numCache>
            </c:numRef>
          </c:val>
        </c:ser>
        <c:ser>
          <c:idx val="2"/>
          <c:order val="2"/>
          <c:tx>
            <c:v>fizička lica</c:v>
          </c:tx>
          <c:cat>
            <c:strRef>
              <c:f>'Pokaz strukture kred i depoz'!$BQ$6:$CE$6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'Pokaz strukture kred i depoz'!$BQ$22:$CC$22</c:f>
              <c:numCache>
                <c:formatCode>#,##0</c:formatCode>
                <c:ptCount val="13"/>
                <c:pt idx="0">
                  <c:v>914816</c:v>
                </c:pt>
                <c:pt idx="1">
                  <c:v>910011</c:v>
                </c:pt>
                <c:pt idx="2">
                  <c:v>914245</c:v>
                </c:pt>
                <c:pt idx="3">
                  <c:v>917126</c:v>
                </c:pt>
                <c:pt idx="4">
                  <c:v>920824</c:v>
                </c:pt>
                <c:pt idx="5">
                  <c:v>921351</c:v>
                </c:pt>
                <c:pt idx="6">
                  <c:v>920384</c:v>
                </c:pt>
                <c:pt idx="7">
                  <c:v>925878</c:v>
                </c:pt>
                <c:pt idx="8">
                  <c:v>935349</c:v>
                </c:pt>
                <c:pt idx="9">
                  <c:v>944929</c:v>
                </c:pt>
                <c:pt idx="10">
                  <c:v>955456</c:v>
                </c:pt>
                <c:pt idx="11">
                  <c:v>965704</c:v>
                </c:pt>
                <c:pt idx="12">
                  <c:v>980375</c:v>
                </c:pt>
              </c:numCache>
            </c:numRef>
          </c:val>
        </c:ser>
        <c:ser>
          <c:idx val="3"/>
          <c:order val="3"/>
          <c:tx>
            <c:v>opšta Vlada</c:v>
          </c:tx>
          <c:cat>
            <c:strRef>
              <c:f>'Pokaz strukture kred i depoz'!$BQ$6:$CE$6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'Pokaz strukture kred i depoz'!$BQ$21:$CD$21</c:f>
              <c:numCache>
                <c:formatCode>#,##0</c:formatCode>
                <c:ptCount val="14"/>
                <c:pt idx="0">
                  <c:v>87229</c:v>
                </c:pt>
                <c:pt idx="1">
                  <c:v>89858</c:v>
                </c:pt>
                <c:pt idx="2">
                  <c:v>81796</c:v>
                </c:pt>
                <c:pt idx="3">
                  <c:v>80959</c:v>
                </c:pt>
                <c:pt idx="4">
                  <c:v>96736</c:v>
                </c:pt>
                <c:pt idx="5">
                  <c:v>97141</c:v>
                </c:pt>
                <c:pt idx="6">
                  <c:v>97969</c:v>
                </c:pt>
                <c:pt idx="7">
                  <c:v>97631</c:v>
                </c:pt>
                <c:pt idx="8">
                  <c:v>92657</c:v>
                </c:pt>
                <c:pt idx="9">
                  <c:v>93286</c:v>
                </c:pt>
                <c:pt idx="10">
                  <c:v>90867</c:v>
                </c:pt>
                <c:pt idx="11">
                  <c:v>95773</c:v>
                </c:pt>
                <c:pt idx="12">
                  <c:v>104939</c:v>
                </c:pt>
              </c:numCache>
            </c:numRef>
          </c:val>
        </c:ser>
        <c:ser>
          <c:idx val="4"/>
          <c:order val="4"/>
          <c:tx>
            <c:v>ostalo</c:v>
          </c:tx>
          <c:cat>
            <c:strRef>
              <c:f>'Pokaz strukture kred i depoz'!$BQ$6:$CE$6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'Pokaz strukture kred i depoz'!$BQ$23:$CC$23</c:f>
              <c:numCache>
                <c:formatCode>#,##0_ </c:formatCode>
                <c:ptCount val="13"/>
                <c:pt idx="0">
                  <c:v>72063</c:v>
                </c:pt>
                <c:pt idx="1">
                  <c:v>73915</c:v>
                </c:pt>
                <c:pt idx="2">
                  <c:v>65416</c:v>
                </c:pt>
                <c:pt idx="3">
                  <c:v>77426</c:v>
                </c:pt>
                <c:pt idx="4">
                  <c:v>77083</c:v>
                </c:pt>
                <c:pt idx="5">
                  <c:v>70714</c:v>
                </c:pt>
                <c:pt idx="6">
                  <c:v>74651</c:v>
                </c:pt>
                <c:pt idx="7">
                  <c:v>72920</c:v>
                </c:pt>
                <c:pt idx="8">
                  <c:v>75370</c:v>
                </c:pt>
                <c:pt idx="9">
                  <c:v>82082</c:v>
                </c:pt>
                <c:pt idx="10">
                  <c:v>79860</c:v>
                </c:pt>
                <c:pt idx="11">
                  <c:v>79411</c:v>
                </c:pt>
                <c:pt idx="12">
                  <c:v>84648</c:v>
                </c:pt>
              </c:numCache>
            </c:numRef>
          </c:val>
        </c:ser>
        <c:gapWidth val="75"/>
        <c:overlap val="-25"/>
        <c:axId val="132940544"/>
        <c:axId val="132942080"/>
      </c:barChart>
      <c:catAx>
        <c:axId val="1329405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32942080"/>
        <c:crosses val="autoZero"/>
        <c:auto val="1"/>
        <c:lblAlgn val="ctr"/>
        <c:lblOffset val="100"/>
      </c:catAx>
      <c:valAx>
        <c:axId val="132942080"/>
        <c:scaling>
          <c:orientation val="minMax"/>
        </c:scaling>
        <c:axPos val="l"/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sr-Latn-CS"/>
          </a:p>
        </c:txPr>
        <c:crossAx val="132940544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autoTitleDeleted val="1"/>
    <c:plotArea>
      <c:layout>
        <c:manualLayout>
          <c:layoutTarget val="inner"/>
          <c:xMode val="edge"/>
          <c:yMode val="edge"/>
          <c:x val="0.10729443192506832"/>
          <c:y val="9.8526643069546754E-2"/>
          <c:w val="0.83963539996748171"/>
          <c:h val="0.68527376040541832"/>
        </c:manualLayout>
      </c:layout>
      <c:barChart>
        <c:barDir val="col"/>
        <c:grouping val="clustered"/>
        <c:ser>
          <c:idx val="0"/>
          <c:order val="0"/>
          <c:tx>
            <c:v>CPI</c:v>
          </c:tx>
          <c:spPr>
            <a:solidFill>
              <a:srgbClr val="1B72F1"/>
            </a:solidFill>
          </c:spPr>
          <c:cat>
            <c:strRef>
              <c:f>'Makroekonomski indikatori'!$BM$40:$BS$40</c:f>
              <c:strCache>
                <c:ptCount val="7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'Makroekonomski indikatori'!$BM$25:$BS$25</c:f>
              <c:numCache>
                <c:formatCode>General</c:formatCode>
                <c:ptCount val="7"/>
                <c:pt idx="0">
                  <c:v>0.8</c:v>
                </c:pt>
                <c:pt idx="1">
                  <c:v>0.1</c:v>
                </c:pt>
                <c:pt idx="2">
                  <c:v>-0.9</c:v>
                </c:pt>
                <c:pt idx="3">
                  <c:v>-0.70000000000000062</c:v>
                </c:pt>
                <c:pt idx="4" formatCode="0.0">
                  <c:v>-1</c:v>
                </c:pt>
                <c:pt idx="5" formatCode="0.0">
                  <c:v>-1</c:v>
                </c:pt>
                <c:pt idx="6">
                  <c:v>-0.60000000000000064</c:v>
                </c:pt>
              </c:numCache>
            </c:numRef>
          </c:val>
        </c:ser>
        <c:ser>
          <c:idx val="1"/>
          <c:order val="1"/>
          <c:tx>
            <c:v>Hrana i bezalkoholna pića</c:v>
          </c:tx>
          <c:spPr>
            <a:solidFill>
              <a:srgbClr val="22EA27"/>
            </a:solidFill>
          </c:spPr>
          <c:cat>
            <c:strRef>
              <c:f>'Makroekonomski indikatori'!$BM$40:$BS$40</c:f>
              <c:strCache>
                <c:ptCount val="7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'Makroekonomski indikatori'!$BM$27:$BS$27</c:f>
              <c:numCache>
                <c:formatCode>General</c:formatCode>
                <c:ptCount val="7"/>
                <c:pt idx="0">
                  <c:v>0.9</c:v>
                </c:pt>
                <c:pt idx="1">
                  <c:v>-0.5</c:v>
                </c:pt>
                <c:pt idx="2">
                  <c:v>-2.5</c:v>
                </c:pt>
                <c:pt idx="3">
                  <c:v>-1.9000000000000001</c:v>
                </c:pt>
                <c:pt idx="4" formatCode="0.0">
                  <c:v>-1.6</c:v>
                </c:pt>
                <c:pt idx="5">
                  <c:v>-1.4</c:v>
                </c:pt>
                <c:pt idx="6">
                  <c:v>-0.60000000000000064</c:v>
                </c:pt>
              </c:numCache>
            </c:numRef>
          </c:val>
        </c:ser>
        <c:ser>
          <c:idx val="2"/>
          <c:order val="2"/>
          <c:tx>
            <c:v>Gorivo</c:v>
          </c:tx>
          <c:spPr>
            <a:solidFill>
              <a:srgbClr val="5CB084"/>
            </a:solidFill>
          </c:spPr>
          <c:cat>
            <c:strRef>
              <c:f>'Makroekonomski indikatori'!$BM$40:$BS$40</c:f>
              <c:strCache>
                <c:ptCount val="7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'Makroekonomski indikatori'!$BM$28:$BS$28</c:f>
              <c:numCache>
                <c:formatCode>General</c:formatCode>
                <c:ptCount val="7"/>
                <c:pt idx="0">
                  <c:v>-8.7000000000000011</c:v>
                </c:pt>
                <c:pt idx="1">
                  <c:v>-12.7</c:v>
                </c:pt>
                <c:pt idx="2">
                  <c:v>-15.6</c:v>
                </c:pt>
                <c:pt idx="3">
                  <c:v>-14.6</c:v>
                </c:pt>
                <c:pt idx="4" formatCode="0.0">
                  <c:v>-18.5</c:v>
                </c:pt>
                <c:pt idx="5">
                  <c:v>-15.5</c:v>
                </c:pt>
                <c:pt idx="6">
                  <c:v>-15.5</c:v>
                </c:pt>
              </c:numCache>
            </c:numRef>
          </c:val>
        </c:ser>
        <c:gapWidth val="48"/>
        <c:axId val="128145664"/>
        <c:axId val="128151552"/>
      </c:barChart>
      <c:catAx>
        <c:axId val="128145664"/>
        <c:scaling>
          <c:orientation val="minMax"/>
        </c:scaling>
        <c:axPos val="b"/>
        <c:tickLblPos val="low"/>
        <c:txPr>
          <a:bodyPr/>
          <a:lstStyle/>
          <a:p>
            <a:pPr>
              <a:defRPr sz="700"/>
            </a:pPr>
            <a:endParaRPr lang="sr-Latn-CS"/>
          </a:p>
        </c:txPr>
        <c:crossAx val="128151552"/>
        <c:crosses val="autoZero"/>
        <c:auto val="1"/>
        <c:lblAlgn val="ctr"/>
        <c:lblOffset val="100"/>
      </c:catAx>
      <c:valAx>
        <c:axId val="12815155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8145664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DF6CC-4707-4B2D-A12D-530D3A64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branko.krvavac</dc:creator>
  <cp:lastModifiedBy>branko.krvavac</cp:lastModifiedBy>
  <cp:revision>2</cp:revision>
  <dcterms:created xsi:type="dcterms:W3CDTF">2016-09-20T14:20:00Z</dcterms:created>
  <dcterms:modified xsi:type="dcterms:W3CDTF">2016-09-20T14:20:00Z</dcterms:modified>
</cp:coreProperties>
</file>