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theme/themeOverride1.xml" ContentType="application/vnd.openxmlformats-officedocument.themeOverride+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773" w:rsidRPr="00BC4069" w:rsidRDefault="00A07773" w:rsidP="00A07773">
      <w:pPr>
        <w:autoSpaceDE w:val="0"/>
        <w:autoSpaceDN w:val="0"/>
        <w:adjustRightInd w:val="0"/>
        <w:jc w:val="right"/>
        <w:rPr>
          <w:rFonts w:ascii="Arial" w:hAnsi="Arial" w:cs="Arial"/>
          <w:b/>
          <w:color w:val="1F497D" w:themeColor="text2"/>
          <w:sz w:val="20"/>
          <w:szCs w:val="20"/>
        </w:rPr>
      </w:pPr>
      <w:r w:rsidRPr="00BC4069">
        <w:rPr>
          <w:rFonts w:ascii="Arial" w:hAnsi="Arial" w:cs="Arial"/>
          <w:b/>
          <w:color w:val="1F497D" w:themeColor="text2"/>
          <w:szCs w:val="24"/>
        </w:rPr>
        <w:t>OBRAZAC</w:t>
      </w:r>
    </w:p>
    <w:p w:rsidR="00067FCF" w:rsidRPr="00BC4069" w:rsidRDefault="00067FCF" w:rsidP="00BA7396">
      <w:pPr>
        <w:autoSpaceDE w:val="0"/>
        <w:autoSpaceDN w:val="0"/>
        <w:adjustRightInd w:val="0"/>
        <w:rPr>
          <w:rFonts w:ascii="Arial" w:hAnsi="Arial" w:cs="Arial"/>
          <w:b/>
          <w:color w:val="1F497D" w:themeColor="text2"/>
          <w:sz w:val="20"/>
          <w:szCs w:val="20"/>
        </w:rPr>
      </w:pPr>
    </w:p>
    <w:p w:rsidR="00067FCF" w:rsidRPr="00BC4069" w:rsidRDefault="00067FCF" w:rsidP="00BA7396">
      <w:pPr>
        <w:autoSpaceDE w:val="0"/>
        <w:autoSpaceDN w:val="0"/>
        <w:adjustRightInd w:val="0"/>
        <w:rPr>
          <w:rFonts w:ascii="Arial" w:hAnsi="Arial" w:cs="Arial"/>
          <w:b/>
          <w:color w:val="1F497D" w:themeColor="text2"/>
          <w:sz w:val="20"/>
          <w:szCs w:val="20"/>
        </w:rPr>
      </w:pPr>
    </w:p>
    <w:tbl>
      <w:tblPr>
        <w:tblStyle w:val="LightGrid-Accent5"/>
        <w:tblW w:w="0" w:type="auto"/>
        <w:tblLook w:val="04A0"/>
      </w:tblPr>
      <w:tblGrid>
        <w:gridCol w:w="4275"/>
        <w:gridCol w:w="5301"/>
      </w:tblGrid>
      <w:tr w:rsidR="00C72668" w:rsidRPr="00BC4069" w:rsidTr="000511F0">
        <w:trPr>
          <w:cnfStyle w:val="100000000000"/>
        </w:trPr>
        <w:tc>
          <w:tcPr>
            <w:cnfStyle w:val="001000000000"/>
            <w:tcW w:w="9576" w:type="dxa"/>
            <w:gridSpan w:val="2"/>
          </w:tcPr>
          <w:p w:rsidR="00C72668" w:rsidRPr="00BC4069" w:rsidRDefault="00067FCF" w:rsidP="00067FCF">
            <w:pPr>
              <w:autoSpaceDE w:val="0"/>
              <w:autoSpaceDN w:val="0"/>
              <w:adjustRightInd w:val="0"/>
              <w:spacing w:before="120" w:after="120"/>
              <w:rPr>
                <w:rFonts w:ascii="Arial" w:hAnsi="Arial" w:cs="Arial"/>
                <w:color w:val="1F497D" w:themeColor="text2"/>
                <w:sz w:val="28"/>
                <w:szCs w:val="20"/>
              </w:rPr>
            </w:pPr>
            <w:r w:rsidRPr="00BC4069">
              <w:rPr>
                <w:rFonts w:ascii="Arial" w:hAnsi="Arial" w:cs="Arial"/>
                <w:color w:val="1F497D" w:themeColor="text2"/>
                <w:sz w:val="24"/>
                <w:szCs w:val="24"/>
              </w:rPr>
              <w:t>IZVJEŠTAJ</w:t>
            </w:r>
            <w:r w:rsidR="005F6D49" w:rsidRPr="00BC4069">
              <w:rPr>
                <w:rFonts w:ascii="Arial" w:hAnsi="Arial" w:cs="Arial"/>
                <w:color w:val="1F497D" w:themeColor="text2"/>
                <w:sz w:val="24"/>
                <w:szCs w:val="24"/>
              </w:rPr>
              <w:t xml:space="preserve"> O SPROVEDENOJ ANALIZI PROCJENE UTICAJA PROPISA</w:t>
            </w:r>
          </w:p>
        </w:tc>
      </w:tr>
      <w:tr w:rsidR="008322D4" w:rsidRPr="00BC4069" w:rsidTr="000511F0">
        <w:trPr>
          <w:cnfStyle w:val="000000100000"/>
        </w:trPr>
        <w:tc>
          <w:tcPr>
            <w:cnfStyle w:val="001000000000"/>
            <w:tcW w:w="3978" w:type="dxa"/>
          </w:tcPr>
          <w:p w:rsidR="008322D4" w:rsidRPr="00BC4069" w:rsidRDefault="008322D4" w:rsidP="0000426F">
            <w:pPr>
              <w:autoSpaceDE w:val="0"/>
              <w:autoSpaceDN w:val="0"/>
              <w:adjustRightInd w:val="0"/>
              <w:spacing w:before="120" w:after="120"/>
              <w:rPr>
                <w:rFonts w:ascii="Arial" w:hAnsi="Arial" w:cs="Arial"/>
                <w:b w:val="0"/>
                <w:color w:val="1F497D" w:themeColor="text2"/>
                <w:sz w:val="20"/>
                <w:szCs w:val="20"/>
              </w:rPr>
            </w:pPr>
            <w:r w:rsidRPr="00BC4069">
              <w:rPr>
                <w:rFonts w:ascii="Arial" w:hAnsi="Arial" w:cs="Arial"/>
                <w:color w:val="1F497D" w:themeColor="text2"/>
                <w:sz w:val="20"/>
                <w:szCs w:val="20"/>
              </w:rPr>
              <w:t>PREDLAGA</w:t>
            </w:r>
            <w:r w:rsidR="005F6D49" w:rsidRPr="00BC4069">
              <w:rPr>
                <w:rFonts w:ascii="Arial" w:hAnsi="Arial" w:cs="Arial"/>
                <w:color w:val="1F497D" w:themeColor="text2"/>
                <w:sz w:val="20"/>
                <w:szCs w:val="20"/>
              </w:rPr>
              <w:t>Č</w:t>
            </w:r>
            <w:r w:rsidR="0000426F" w:rsidRPr="00BC4069">
              <w:rPr>
                <w:rFonts w:ascii="Arial" w:hAnsi="Arial" w:cs="Arial"/>
                <w:color w:val="1F497D" w:themeColor="text2"/>
                <w:sz w:val="20"/>
                <w:szCs w:val="20"/>
              </w:rPr>
              <w:t xml:space="preserve"> PROPISA</w:t>
            </w:r>
          </w:p>
        </w:tc>
        <w:tc>
          <w:tcPr>
            <w:tcW w:w="5598" w:type="dxa"/>
          </w:tcPr>
          <w:p w:rsidR="008322D4" w:rsidRPr="00BC4069" w:rsidRDefault="00E53D93" w:rsidP="008322D4">
            <w:pPr>
              <w:autoSpaceDE w:val="0"/>
              <w:autoSpaceDN w:val="0"/>
              <w:adjustRightInd w:val="0"/>
              <w:spacing w:before="120" w:after="120"/>
              <w:cnfStyle w:val="000000100000"/>
              <w:rPr>
                <w:rFonts w:ascii="Arial" w:hAnsi="Arial" w:cs="Arial"/>
                <w:b/>
                <w:color w:val="1F497D" w:themeColor="text2"/>
                <w:sz w:val="20"/>
                <w:szCs w:val="20"/>
              </w:rPr>
            </w:pPr>
            <w:r w:rsidRPr="00BC4069">
              <w:rPr>
                <w:rFonts w:ascii="Arial" w:hAnsi="Arial" w:cs="Arial"/>
                <w:b/>
                <w:color w:val="1F497D" w:themeColor="text2"/>
                <w:sz w:val="20"/>
                <w:szCs w:val="20"/>
              </w:rPr>
              <w:t>MINISTARSTVO FINANSIJA</w:t>
            </w:r>
          </w:p>
        </w:tc>
      </w:tr>
      <w:tr w:rsidR="008322D4" w:rsidRPr="00BC4069" w:rsidTr="000511F0">
        <w:trPr>
          <w:cnfStyle w:val="000000010000"/>
        </w:trPr>
        <w:tc>
          <w:tcPr>
            <w:cnfStyle w:val="001000000000"/>
            <w:tcW w:w="3978" w:type="dxa"/>
          </w:tcPr>
          <w:p w:rsidR="008322D4" w:rsidRPr="00BC4069" w:rsidRDefault="008322D4" w:rsidP="00067FCF">
            <w:pPr>
              <w:autoSpaceDE w:val="0"/>
              <w:autoSpaceDN w:val="0"/>
              <w:adjustRightInd w:val="0"/>
              <w:spacing w:before="120" w:after="120"/>
              <w:rPr>
                <w:rFonts w:ascii="Arial" w:hAnsi="Arial" w:cs="Arial"/>
                <w:b w:val="0"/>
                <w:color w:val="1F497D" w:themeColor="text2"/>
                <w:sz w:val="20"/>
                <w:szCs w:val="20"/>
              </w:rPr>
            </w:pPr>
            <w:r w:rsidRPr="00BC4069">
              <w:rPr>
                <w:rFonts w:ascii="Arial" w:hAnsi="Arial" w:cs="Arial"/>
                <w:color w:val="1F497D" w:themeColor="text2"/>
                <w:sz w:val="20"/>
                <w:szCs w:val="20"/>
              </w:rPr>
              <w:t>NA</w:t>
            </w:r>
            <w:r w:rsidR="00067FCF" w:rsidRPr="00BC4069">
              <w:rPr>
                <w:rFonts w:ascii="Arial" w:hAnsi="Arial" w:cs="Arial"/>
                <w:color w:val="1F497D" w:themeColor="text2"/>
                <w:sz w:val="20"/>
                <w:szCs w:val="20"/>
              </w:rPr>
              <w:t>ZIV</w:t>
            </w:r>
            <w:r w:rsidRPr="00BC4069">
              <w:rPr>
                <w:rFonts w:ascii="Arial" w:hAnsi="Arial" w:cs="Arial"/>
                <w:color w:val="1F497D" w:themeColor="text2"/>
                <w:sz w:val="20"/>
                <w:szCs w:val="20"/>
              </w:rPr>
              <w:t xml:space="preserve"> PROPISA</w:t>
            </w:r>
          </w:p>
        </w:tc>
        <w:tc>
          <w:tcPr>
            <w:tcW w:w="5598" w:type="dxa"/>
          </w:tcPr>
          <w:p w:rsidR="008322D4" w:rsidRPr="00BC4069" w:rsidRDefault="00E53D93" w:rsidP="008322D4">
            <w:pPr>
              <w:autoSpaceDE w:val="0"/>
              <w:autoSpaceDN w:val="0"/>
              <w:adjustRightInd w:val="0"/>
              <w:spacing w:before="120" w:after="120"/>
              <w:cnfStyle w:val="000000010000"/>
              <w:rPr>
                <w:rFonts w:ascii="Arial" w:hAnsi="Arial" w:cs="Arial"/>
                <w:b/>
                <w:color w:val="1F497D" w:themeColor="text2"/>
                <w:sz w:val="20"/>
                <w:szCs w:val="20"/>
              </w:rPr>
            </w:pPr>
            <w:r w:rsidRPr="00BC4069">
              <w:rPr>
                <w:rFonts w:ascii="Arial" w:hAnsi="Arial" w:cs="Arial"/>
                <w:b/>
                <w:color w:val="1F497D" w:themeColor="text2"/>
                <w:sz w:val="20"/>
                <w:szCs w:val="20"/>
              </w:rPr>
              <w:t>Nacrt z</w:t>
            </w:r>
            <w:r w:rsidR="00021FD9" w:rsidRPr="00BC4069">
              <w:rPr>
                <w:rFonts w:ascii="Arial" w:hAnsi="Arial" w:cs="Arial"/>
                <w:b/>
                <w:color w:val="1F497D" w:themeColor="text2"/>
                <w:sz w:val="20"/>
                <w:szCs w:val="20"/>
              </w:rPr>
              <w:t>akon</w:t>
            </w:r>
            <w:r w:rsidRPr="00BC4069">
              <w:rPr>
                <w:rFonts w:ascii="Arial" w:hAnsi="Arial" w:cs="Arial"/>
                <w:b/>
                <w:color w:val="1F497D" w:themeColor="text2"/>
                <w:sz w:val="20"/>
                <w:szCs w:val="20"/>
              </w:rPr>
              <w:t>a</w:t>
            </w:r>
            <w:r w:rsidR="00021FD9" w:rsidRPr="00BC4069">
              <w:rPr>
                <w:rFonts w:ascii="Arial" w:hAnsi="Arial" w:cs="Arial"/>
                <w:b/>
                <w:color w:val="1F497D" w:themeColor="text2"/>
                <w:sz w:val="20"/>
                <w:szCs w:val="20"/>
              </w:rPr>
              <w:t xml:space="preserve"> o međubankarskim naknadama i posebnim pravilima poslovanja u vezi sa platnim karticama</w:t>
            </w:r>
          </w:p>
        </w:tc>
      </w:tr>
      <w:tr w:rsidR="008322D4" w:rsidRPr="00BC4069" w:rsidTr="000511F0">
        <w:trPr>
          <w:cnfStyle w:val="000000100000"/>
        </w:trPr>
        <w:tc>
          <w:tcPr>
            <w:cnfStyle w:val="001000000000"/>
            <w:tcW w:w="9576" w:type="dxa"/>
            <w:gridSpan w:val="2"/>
          </w:tcPr>
          <w:p w:rsidR="008322D4" w:rsidRPr="00BC4069" w:rsidRDefault="008322D4" w:rsidP="008322D4">
            <w:pPr>
              <w:autoSpaceDE w:val="0"/>
              <w:autoSpaceDN w:val="0"/>
              <w:adjustRightInd w:val="0"/>
              <w:spacing w:before="120" w:after="120"/>
              <w:rPr>
                <w:rFonts w:ascii="Arial" w:hAnsi="Arial" w:cs="Arial"/>
                <w:color w:val="1F497D" w:themeColor="text2"/>
                <w:sz w:val="20"/>
                <w:szCs w:val="20"/>
              </w:rPr>
            </w:pPr>
            <w:r w:rsidRPr="00BC4069">
              <w:rPr>
                <w:rFonts w:ascii="Arial" w:hAnsi="Arial" w:cs="Arial"/>
                <w:color w:val="1F497D" w:themeColor="text2"/>
                <w:sz w:val="20"/>
                <w:szCs w:val="20"/>
              </w:rPr>
              <w:t>1</w:t>
            </w:r>
            <w:r w:rsidR="001D0BF0" w:rsidRPr="00BC4069">
              <w:rPr>
                <w:rFonts w:ascii="Arial" w:hAnsi="Arial" w:cs="Arial"/>
                <w:color w:val="1F497D" w:themeColor="text2"/>
                <w:sz w:val="20"/>
                <w:szCs w:val="20"/>
              </w:rPr>
              <w:t>.</w:t>
            </w:r>
            <w:r w:rsidRPr="00BC4069">
              <w:rPr>
                <w:rFonts w:ascii="Arial" w:hAnsi="Arial" w:cs="Arial"/>
                <w:color w:val="1F497D" w:themeColor="text2"/>
                <w:sz w:val="20"/>
                <w:szCs w:val="20"/>
              </w:rPr>
              <w:t xml:space="preserve"> Definisanje problema</w:t>
            </w:r>
          </w:p>
          <w:p w:rsidR="00A07773" w:rsidRPr="00BC4069"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sz w:val="20"/>
                <w:szCs w:val="20"/>
              </w:rPr>
            </w:pPr>
            <w:r w:rsidRPr="00BC4069">
              <w:rPr>
                <w:rFonts w:ascii="Arial" w:hAnsi="Arial" w:cs="Arial"/>
                <w:color w:val="1F497D" w:themeColor="text2"/>
                <w:sz w:val="20"/>
                <w:szCs w:val="20"/>
              </w:rPr>
              <w:t>K</w:t>
            </w:r>
            <w:r w:rsidR="001D0BF0" w:rsidRPr="00BC4069">
              <w:rPr>
                <w:rFonts w:ascii="Arial" w:hAnsi="Arial" w:cs="Arial"/>
                <w:color w:val="1F497D" w:themeColor="text2"/>
                <w:sz w:val="20"/>
                <w:szCs w:val="20"/>
              </w:rPr>
              <w:t xml:space="preserve">oje </w:t>
            </w:r>
            <w:r w:rsidR="005F03ED" w:rsidRPr="00BC4069">
              <w:rPr>
                <w:rFonts w:ascii="Arial" w:hAnsi="Arial" w:cs="Arial"/>
                <w:color w:val="1F497D" w:themeColor="text2"/>
                <w:sz w:val="20"/>
                <w:szCs w:val="20"/>
              </w:rPr>
              <w:t>probleme  treba da r</w:t>
            </w:r>
            <w:r w:rsidR="006A1B2C" w:rsidRPr="00BC4069">
              <w:rPr>
                <w:rFonts w:ascii="Arial" w:hAnsi="Arial" w:cs="Arial"/>
                <w:color w:val="1F497D" w:themeColor="text2"/>
                <w:sz w:val="20"/>
                <w:szCs w:val="20"/>
              </w:rPr>
              <w:t>i</w:t>
            </w:r>
            <w:r w:rsidR="005F03ED" w:rsidRPr="00BC4069">
              <w:rPr>
                <w:rFonts w:ascii="Arial" w:hAnsi="Arial" w:cs="Arial"/>
                <w:color w:val="1F497D" w:themeColor="text2"/>
                <w:sz w:val="20"/>
                <w:szCs w:val="20"/>
              </w:rPr>
              <w:t>ješi predloženi akt?</w:t>
            </w:r>
          </w:p>
          <w:p w:rsidR="00A07773" w:rsidRPr="00BC4069" w:rsidRDefault="00D06D2A" w:rsidP="00972845">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sz w:val="20"/>
                <w:szCs w:val="20"/>
              </w:rPr>
            </w:pPr>
            <w:r w:rsidRPr="00BC4069">
              <w:rPr>
                <w:rFonts w:ascii="Arial" w:hAnsi="Arial" w:cs="Arial"/>
                <w:color w:val="1F497D" w:themeColor="text2"/>
                <w:sz w:val="20"/>
                <w:szCs w:val="20"/>
              </w:rPr>
              <w:t>K</w:t>
            </w:r>
            <w:r w:rsidR="00067FCF" w:rsidRPr="00BC4069">
              <w:rPr>
                <w:rFonts w:ascii="Arial" w:hAnsi="Arial" w:cs="Arial"/>
                <w:color w:val="1F497D" w:themeColor="text2"/>
                <w:sz w:val="20"/>
                <w:szCs w:val="20"/>
              </w:rPr>
              <w:t xml:space="preserve">oji </w:t>
            </w:r>
            <w:r w:rsidR="008322D4" w:rsidRPr="00BC4069">
              <w:rPr>
                <w:rFonts w:ascii="Arial" w:hAnsi="Arial" w:cs="Arial"/>
                <w:color w:val="1F497D" w:themeColor="text2"/>
                <w:sz w:val="20"/>
                <w:szCs w:val="20"/>
              </w:rPr>
              <w:t>su uzroci problema?</w:t>
            </w:r>
          </w:p>
          <w:p w:rsidR="00A07773" w:rsidRPr="00BC4069"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sz w:val="20"/>
                <w:szCs w:val="20"/>
              </w:rPr>
            </w:pPr>
            <w:r w:rsidRPr="00BC4069">
              <w:rPr>
                <w:rFonts w:ascii="Arial" w:hAnsi="Arial" w:cs="Arial"/>
                <w:color w:val="1F497D" w:themeColor="text2"/>
                <w:sz w:val="20"/>
                <w:szCs w:val="20"/>
              </w:rPr>
              <w:t>K</w:t>
            </w:r>
            <w:r w:rsidR="00067FCF" w:rsidRPr="00BC4069">
              <w:rPr>
                <w:rFonts w:ascii="Arial" w:hAnsi="Arial" w:cs="Arial"/>
                <w:color w:val="1F497D" w:themeColor="text2"/>
                <w:sz w:val="20"/>
                <w:szCs w:val="20"/>
              </w:rPr>
              <w:t xml:space="preserve">oje </w:t>
            </w:r>
            <w:r w:rsidR="005F03ED" w:rsidRPr="00BC4069">
              <w:rPr>
                <w:rFonts w:ascii="Arial" w:hAnsi="Arial" w:cs="Arial"/>
                <w:color w:val="1F497D" w:themeColor="text2"/>
                <w:sz w:val="20"/>
                <w:szCs w:val="20"/>
              </w:rPr>
              <w:t>su posljedice problema?</w:t>
            </w:r>
          </w:p>
          <w:p w:rsidR="00A07773" w:rsidRPr="00BC4069"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sz w:val="20"/>
                <w:szCs w:val="20"/>
              </w:rPr>
            </w:pPr>
            <w:r w:rsidRPr="00BC4069">
              <w:rPr>
                <w:rFonts w:ascii="Arial" w:hAnsi="Arial" w:cs="Arial"/>
                <w:color w:val="1F497D" w:themeColor="text2"/>
                <w:sz w:val="20"/>
                <w:szCs w:val="20"/>
              </w:rPr>
              <w:t>K</w:t>
            </w:r>
            <w:r w:rsidR="008322D4" w:rsidRPr="00BC4069">
              <w:rPr>
                <w:rFonts w:ascii="Arial" w:hAnsi="Arial" w:cs="Arial"/>
                <w:color w:val="1F497D" w:themeColor="text2"/>
                <w:sz w:val="20"/>
                <w:szCs w:val="20"/>
              </w:rPr>
              <w:t>o</w:t>
            </w:r>
            <w:r w:rsidRPr="00BC4069">
              <w:rPr>
                <w:rFonts w:ascii="Arial" w:hAnsi="Arial" w:cs="Arial"/>
                <w:color w:val="1F497D" w:themeColor="text2"/>
                <w:sz w:val="20"/>
                <w:szCs w:val="20"/>
              </w:rPr>
              <w:t>j</w:t>
            </w:r>
            <w:r w:rsidR="00972845" w:rsidRPr="00BC4069">
              <w:rPr>
                <w:rFonts w:ascii="Arial" w:hAnsi="Arial" w:cs="Arial"/>
                <w:color w:val="1F497D" w:themeColor="text2"/>
                <w:sz w:val="20"/>
                <w:szCs w:val="20"/>
              </w:rPr>
              <w:t>i</w:t>
            </w:r>
            <w:r w:rsidR="00067FCF" w:rsidRPr="00BC4069">
              <w:rPr>
                <w:rFonts w:ascii="Arial" w:hAnsi="Arial" w:cs="Arial"/>
                <w:color w:val="1F497D" w:themeColor="text2"/>
                <w:sz w:val="20"/>
                <w:szCs w:val="20"/>
              </w:rPr>
              <w:t xml:space="preserve"> su subjekti</w:t>
            </w:r>
            <w:r w:rsidR="008322D4" w:rsidRPr="00BC4069">
              <w:rPr>
                <w:rFonts w:ascii="Arial" w:hAnsi="Arial" w:cs="Arial"/>
                <w:color w:val="1F497D" w:themeColor="text2"/>
                <w:sz w:val="20"/>
                <w:szCs w:val="20"/>
              </w:rPr>
              <w:t xml:space="preserve"> oštećen</w:t>
            </w:r>
            <w:r w:rsidR="00067FCF" w:rsidRPr="00BC4069">
              <w:rPr>
                <w:rFonts w:ascii="Arial" w:hAnsi="Arial" w:cs="Arial"/>
                <w:color w:val="1F497D" w:themeColor="text2"/>
                <w:sz w:val="20"/>
                <w:szCs w:val="20"/>
              </w:rPr>
              <w:t>i</w:t>
            </w:r>
            <w:r w:rsidR="008322D4" w:rsidRPr="00BC4069">
              <w:rPr>
                <w:rFonts w:ascii="Arial" w:hAnsi="Arial" w:cs="Arial"/>
                <w:color w:val="1F497D" w:themeColor="text2"/>
                <w:sz w:val="20"/>
                <w:szCs w:val="20"/>
              </w:rPr>
              <w:t xml:space="preserve">, na koji način i </w:t>
            </w:r>
            <w:r w:rsidR="00067FCF" w:rsidRPr="00BC4069">
              <w:rPr>
                <w:rFonts w:ascii="Arial" w:hAnsi="Arial" w:cs="Arial"/>
                <w:color w:val="1F497D" w:themeColor="text2"/>
                <w:sz w:val="20"/>
                <w:szCs w:val="20"/>
              </w:rPr>
              <w:t>u kojoj mjeri</w:t>
            </w:r>
            <w:r w:rsidR="008322D4" w:rsidRPr="00BC4069">
              <w:rPr>
                <w:rFonts w:ascii="Arial" w:hAnsi="Arial" w:cs="Arial"/>
                <w:color w:val="1F497D" w:themeColor="text2"/>
                <w:sz w:val="20"/>
                <w:szCs w:val="20"/>
              </w:rPr>
              <w:t>?</w:t>
            </w:r>
          </w:p>
          <w:p w:rsidR="00A07773" w:rsidRPr="00BC4069"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sz w:val="20"/>
                <w:szCs w:val="20"/>
              </w:rPr>
            </w:pPr>
            <w:r w:rsidRPr="00BC4069">
              <w:rPr>
                <w:rFonts w:ascii="Arial" w:hAnsi="Arial" w:cs="Arial"/>
                <w:color w:val="1F497D" w:themeColor="text2"/>
                <w:sz w:val="20"/>
                <w:szCs w:val="20"/>
              </w:rPr>
              <w:t>K</w:t>
            </w:r>
            <w:r w:rsidR="001D0BF0" w:rsidRPr="00BC4069">
              <w:rPr>
                <w:rFonts w:ascii="Arial" w:hAnsi="Arial" w:cs="Arial"/>
                <w:color w:val="1F497D" w:themeColor="text2"/>
                <w:sz w:val="20"/>
                <w:szCs w:val="20"/>
              </w:rPr>
              <w:t xml:space="preserve">ako </w:t>
            </w:r>
            <w:r w:rsidR="008322D4" w:rsidRPr="00BC4069">
              <w:rPr>
                <w:rFonts w:ascii="Arial" w:hAnsi="Arial" w:cs="Arial"/>
                <w:color w:val="1F497D" w:themeColor="text2"/>
                <w:sz w:val="20"/>
                <w:szCs w:val="20"/>
              </w:rPr>
              <w:t>bi problem evoluirao bez promjene propisa (</w:t>
            </w:r>
            <w:r w:rsidR="005F03ED" w:rsidRPr="00BC4069">
              <w:rPr>
                <w:rFonts w:ascii="Arial" w:hAnsi="Arial" w:cs="Arial"/>
                <w:color w:val="1F497D" w:themeColor="text2"/>
                <w:sz w:val="20"/>
                <w:szCs w:val="20"/>
              </w:rPr>
              <w:t xml:space="preserve">“status quo” </w:t>
            </w:r>
            <w:r w:rsidR="008322D4" w:rsidRPr="00BC4069">
              <w:rPr>
                <w:rFonts w:ascii="Arial" w:hAnsi="Arial" w:cs="Arial"/>
                <w:color w:val="1F497D" w:themeColor="text2"/>
                <w:sz w:val="20"/>
                <w:szCs w:val="20"/>
              </w:rPr>
              <w:t>opcija)?</w:t>
            </w:r>
          </w:p>
        </w:tc>
      </w:tr>
      <w:tr w:rsidR="008322D4" w:rsidRPr="00BC4069" w:rsidTr="000511F0">
        <w:trPr>
          <w:cnfStyle w:val="000000010000"/>
        </w:trPr>
        <w:tc>
          <w:tcPr>
            <w:cnfStyle w:val="001000000000"/>
            <w:tcW w:w="9576" w:type="dxa"/>
            <w:gridSpan w:val="2"/>
          </w:tcPr>
          <w:p w:rsidR="001A6E7E" w:rsidRPr="00BC4069" w:rsidRDefault="001A6E7E" w:rsidP="001A6E7E">
            <w:pPr>
              <w:pStyle w:val="msolistparagraph0"/>
              <w:ind w:left="0"/>
              <w:contextualSpacing/>
              <w:rPr>
                <w:rFonts w:ascii="Arial" w:hAnsi="Arial" w:cs="Arial"/>
                <w:color w:val="1F497D" w:themeColor="text2"/>
                <w:sz w:val="20"/>
                <w:szCs w:val="20"/>
              </w:rPr>
            </w:pPr>
          </w:p>
          <w:p w:rsidR="001A6E7E" w:rsidRPr="00BC4069" w:rsidRDefault="001A6E7E" w:rsidP="00E53D93">
            <w:pPr>
              <w:pStyle w:val="msolistparagraph0"/>
              <w:ind w:left="0"/>
              <w:contextualSpacing/>
              <w:jc w:val="both"/>
              <w:rPr>
                <w:rFonts w:ascii="Arial" w:hAnsi="Arial" w:cs="Arial"/>
                <w:b w:val="0"/>
                <w:color w:val="1F497D" w:themeColor="text2"/>
                <w:szCs w:val="20"/>
              </w:rPr>
            </w:pPr>
            <w:r w:rsidRPr="00BC4069">
              <w:rPr>
                <w:rFonts w:ascii="Arial" w:hAnsi="Arial" w:cs="Arial"/>
                <w:b w:val="0"/>
                <w:color w:val="1F497D" w:themeColor="text2"/>
                <w:szCs w:val="20"/>
              </w:rPr>
              <w:t>Postojeća razlika u međubankarskim naknadama koje se naplaćuju pri izvršavanju nacionalnih platnih transakcija na osnovu platnih kartica u Crnoj Gori, kod kojih pružalac platnih usluga platioca i pružalac platnih usluga primaoca plaćanja imaju sjedište u Crnoj Gori, i njihova visina imaju negatian uticaj kako na potrošače, tako i na primaoce plaćanja.</w:t>
            </w:r>
          </w:p>
          <w:p w:rsidR="001A6E7E" w:rsidRPr="00BC4069" w:rsidRDefault="001A6E7E" w:rsidP="00E53D93">
            <w:pPr>
              <w:pStyle w:val="msolistparagraph0"/>
              <w:ind w:left="0"/>
              <w:contextualSpacing/>
              <w:jc w:val="both"/>
              <w:rPr>
                <w:rFonts w:ascii="Arial" w:hAnsi="Arial" w:cs="Arial"/>
                <w:b w:val="0"/>
                <w:color w:val="1F497D" w:themeColor="text2"/>
                <w:szCs w:val="20"/>
              </w:rPr>
            </w:pPr>
          </w:p>
          <w:p w:rsidR="001A6E7E" w:rsidRPr="00BC4069" w:rsidRDefault="001A6E7E" w:rsidP="00E53D93">
            <w:pPr>
              <w:pStyle w:val="msolistparagraph0"/>
              <w:ind w:left="0"/>
              <w:contextualSpacing/>
              <w:jc w:val="both"/>
              <w:rPr>
                <w:rFonts w:ascii="Arial" w:hAnsi="Arial" w:cs="Arial"/>
                <w:b w:val="0"/>
                <w:color w:val="1F497D" w:themeColor="text2"/>
                <w:szCs w:val="20"/>
              </w:rPr>
            </w:pPr>
            <w:r w:rsidRPr="00BC4069">
              <w:rPr>
                <w:rFonts w:ascii="Arial" w:hAnsi="Arial" w:cs="Arial"/>
                <w:b w:val="0"/>
                <w:color w:val="1F497D" w:themeColor="text2"/>
                <w:szCs w:val="20"/>
              </w:rPr>
              <w:t>Do sada, potrošači često nijesu bili upoznati sa naknadama koje primaoci plaćanja plaćaju za platnu karticu kojom se koriste. Takođe, postoji niz stimulativnih postupaka koje primjenjuju izdavaoci (bonusi, popusti) koji mogu potrošača usmjeriti na upotrebu određene platne kartice, a o kojima potrošači uopšte nijesu informisani.</w:t>
            </w:r>
          </w:p>
          <w:p w:rsidR="001A6E7E" w:rsidRPr="00BC4069" w:rsidRDefault="001A6E7E" w:rsidP="00E53D93">
            <w:pPr>
              <w:pStyle w:val="msolistparagraph0"/>
              <w:ind w:left="0"/>
              <w:contextualSpacing/>
              <w:jc w:val="both"/>
              <w:rPr>
                <w:rFonts w:ascii="Arial" w:hAnsi="Arial" w:cs="Arial"/>
                <w:b w:val="0"/>
                <w:color w:val="1F497D" w:themeColor="text2"/>
                <w:szCs w:val="20"/>
              </w:rPr>
            </w:pPr>
          </w:p>
          <w:p w:rsidR="001A6E7E" w:rsidRPr="00BC4069" w:rsidRDefault="001A6E7E" w:rsidP="00E53D93">
            <w:pPr>
              <w:pStyle w:val="msolistparagraph0"/>
              <w:ind w:left="0"/>
              <w:contextualSpacing/>
              <w:jc w:val="both"/>
              <w:rPr>
                <w:rFonts w:ascii="Arial" w:hAnsi="Arial" w:cs="Arial"/>
                <w:b w:val="0"/>
                <w:color w:val="1F497D" w:themeColor="text2"/>
                <w:szCs w:val="20"/>
              </w:rPr>
            </w:pPr>
            <w:r w:rsidRPr="00BC4069">
              <w:rPr>
                <w:rFonts w:ascii="Arial" w:hAnsi="Arial" w:cs="Arial"/>
                <w:b w:val="0"/>
                <w:color w:val="1F497D" w:themeColor="text2"/>
                <w:szCs w:val="20"/>
              </w:rPr>
              <w:t xml:space="preserve">Isto tako, primaocima plaćanja i potrošačima obično se ne dostavljaju informacije o razlikama u naknadi ili se zabranjuje primaocima plaćanja da u slučaju platnih kartica sa povezanim platnim brendom odaberu jeftiniji platni brend ili da potrošače usmjere na korišćenje jeftinijeg platnog brenda. </w:t>
            </w:r>
          </w:p>
          <w:p w:rsidR="001A6E7E" w:rsidRPr="00BC4069" w:rsidRDefault="001A6E7E" w:rsidP="00E53D93">
            <w:pPr>
              <w:pStyle w:val="msolistparagraph0"/>
              <w:ind w:left="0"/>
              <w:contextualSpacing/>
              <w:jc w:val="both"/>
              <w:rPr>
                <w:rFonts w:ascii="Arial" w:hAnsi="Arial" w:cs="Arial"/>
                <w:b w:val="0"/>
                <w:color w:val="1F497D" w:themeColor="text2"/>
                <w:szCs w:val="20"/>
              </w:rPr>
            </w:pPr>
          </w:p>
          <w:p w:rsidR="001A6E7E" w:rsidRPr="00BC4069" w:rsidRDefault="001A6E7E" w:rsidP="00E53D93">
            <w:pPr>
              <w:pStyle w:val="msolistparagraph0"/>
              <w:ind w:left="0"/>
              <w:contextualSpacing/>
              <w:jc w:val="both"/>
              <w:rPr>
                <w:rFonts w:ascii="Arial" w:hAnsi="Arial" w:cs="Arial"/>
                <w:b w:val="0"/>
                <w:color w:val="1F497D" w:themeColor="text2"/>
                <w:szCs w:val="20"/>
              </w:rPr>
            </w:pPr>
            <w:r w:rsidRPr="00BC4069">
              <w:rPr>
                <w:rFonts w:ascii="Arial" w:hAnsi="Arial" w:cs="Arial"/>
                <w:b w:val="0"/>
                <w:color w:val="1F497D" w:themeColor="text2"/>
                <w:szCs w:val="20"/>
              </w:rPr>
              <w:t>Zbog visokih međubankarskih naknada, manje transaparentnosti i nepostojanja jasnih poslovnih pravila koja se primjenjuju na platne transakcije na osnovu kartica najviše su “oštećeni”:</w:t>
            </w:r>
          </w:p>
          <w:p w:rsidR="001A6E7E" w:rsidRPr="00BC4069" w:rsidRDefault="001A6E7E" w:rsidP="00E53D93">
            <w:pPr>
              <w:pStyle w:val="msolistparagraph0"/>
              <w:ind w:left="630"/>
              <w:contextualSpacing/>
              <w:jc w:val="both"/>
              <w:rPr>
                <w:rFonts w:ascii="Arial" w:hAnsi="Arial" w:cs="Arial"/>
                <w:b w:val="0"/>
                <w:color w:val="1F497D" w:themeColor="text2"/>
                <w:szCs w:val="20"/>
              </w:rPr>
            </w:pPr>
            <w:r w:rsidRPr="00BC4069">
              <w:rPr>
                <w:rFonts w:ascii="Arial" w:hAnsi="Arial" w:cs="Arial"/>
                <w:b w:val="0"/>
                <w:color w:val="1F497D" w:themeColor="text2"/>
                <w:szCs w:val="20"/>
              </w:rPr>
              <w:t xml:space="preserve"> - primaoci plaćanja (mali i srednji trgovci) iz razloga što imaju nepovoljnije uslove za prihvatanje platnih kartica te tako postaju manje konkurentni na tržištu;</w:t>
            </w:r>
          </w:p>
          <w:p w:rsidR="001A6E7E" w:rsidRPr="00BC4069" w:rsidRDefault="001A6E7E" w:rsidP="00E53D93">
            <w:pPr>
              <w:pStyle w:val="msolistparagraph0"/>
              <w:ind w:left="630"/>
              <w:contextualSpacing/>
              <w:jc w:val="both"/>
              <w:rPr>
                <w:rFonts w:ascii="Arial" w:hAnsi="Arial" w:cs="Arial"/>
                <w:b w:val="0"/>
                <w:color w:val="1F497D" w:themeColor="text2"/>
                <w:szCs w:val="20"/>
              </w:rPr>
            </w:pPr>
            <w:r w:rsidRPr="00BC4069">
              <w:rPr>
                <w:rFonts w:ascii="Arial" w:hAnsi="Arial" w:cs="Arial"/>
                <w:b w:val="0"/>
                <w:color w:val="1F497D" w:themeColor="text2"/>
                <w:szCs w:val="20"/>
              </w:rPr>
              <w:t>- potrošači iz razloga što primaoci plaćanja sve troškove prihvatanja platnih kartica uračunavaju u cijenu roba i usluga, i</w:t>
            </w:r>
          </w:p>
          <w:p w:rsidR="001A6E7E" w:rsidRPr="00BC4069" w:rsidRDefault="001A6E7E" w:rsidP="00E53D93">
            <w:pPr>
              <w:pStyle w:val="msolistparagraph0"/>
              <w:ind w:left="630"/>
              <w:contextualSpacing/>
              <w:jc w:val="both"/>
              <w:rPr>
                <w:rFonts w:ascii="Arial" w:hAnsi="Arial" w:cs="Arial"/>
                <w:b w:val="0"/>
                <w:color w:val="1F497D" w:themeColor="text2"/>
                <w:szCs w:val="20"/>
              </w:rPr>
            </w:pPr>
            <w:r w:rsidRPr="00BC4069">
              <w:rPr>
                <w:rFonts w:ascii="Arial" w:hAnsi="Arial" w:cs="Arial"/>
                <w:b w:val="0"/>
                <w:color w:val="1F497D" w:themeColor="text2"/>
                <w:szCs w:val="20"/>
              </w:rPr>
              <w:t>- država iz razloga što se usled destimulisanja upotrebe platnih kartica usporava rast bezgotovinskih platnih transakcija.</w:t>
            </w:r>
          </w:p>
          <w:p w:rsidR="001A6E7E" w:rsidRPr="00BC4069" w:rsidRDefault="001A6E7E" w:rsidP="00E53D93">
            <w:pPr>
              <w:pStyle w:val="msolistparagraph0"/>
              <w:ind w:left="630"/>
              <w:contextualSpacing/>
              <w:jc w:val="both"/>
              <w:rPr>
                <w:rFonts w:ascii="Arial" w:hAnsi="Arial" w:cs="Arial"/>
                <w:b w:val="0"/>
                <w:color w:val="1F497D" w:themeColor="text2"/>
                <w:szCs w:val="20"/>
              </w:rPr>
            </w:pPr>
          </w:p>
          <w:p w:rsidR="001A6E7E" w:rsidRPr="00BC4069" w:rsidRDefault="001A6E7E" w:rsidP="00E53D93">
            <w:pPr>
              <w:pStyle w:val="msolistparagraph0"/>
              <w:numPr>
                <w:ilvl w:val="0"/>
                <w:numId w:val="13"/>
              </w:numPr>
              <w:ind w:left="0"/>
              <w:contextualSpacing/>
              <w:jc w:val="both"/>
              <w:rPr>
                <w:rFonts w:ascii="Arial" w:hAnsi="Arial" w:cs="Arial"/>
                <w:b w:val="0"/>
                <w:color w:val="1F497D" w:themeColor="text2"/>
                <w:szCs w:val="20"/>
                <w:lang w:val="pl-PL"/>
              </w:rPr>
            </w:pPr>
            <w:r w:rsidRPr="00BC4069">
              <w:rPr>
                <w:rFonts w:ascii="Arial" w:hAnsi="Arial" w:cs="Arial"/>
                <w:b w:val="0"/>
                <w:bCs/>
                <w:color w:val="1F497D" w:themeColor="text2"/>
                <w:szCs w:val="20"/>
                <w:lang w:val="pl-PL"/>
              </w:rPr>
              <w:t xml:space="preserve">Predloženi zakon omogućiće da se poboljša </w:t>
            </w:r>
            <w:r w:rsidRPr="00BC4069">
              <w:rPr>
                <w:rFonts w:ascii="Arial" w:hAnsi="Arial" w:cs="Arial"/>
                <w:b w:val="0"/>
                <w:color w:val="1F497D" w:themeColor="text2"/>
                <w:szCs w:val="20"/>
                <w:lang w:val="pl-PL"/>
              </w:rPr>
              <w:t xml:space="preserve">funkcionisanje unutrašnjeg tržišta za platne usluge u korist potrošača, odnosno da se smanje troškovi za platne transakcije na osnovu platnih kartica i uspostave jednaka prava, obaveze i mogućnosti za sve učesnike na tržištu. </w:t>
            </w:r>
          </w:p>
          <w:p w:rsidR="001A6E7E" w:rsidRPr="00BC4069" w:rsidRDefault="001A6E7E" w:rsidP="00E53D93">
            <w:pPr>
              <w:pStyle w:val="msolistparagraph0"/>
              <w:ind w:left="630"/>
              <w:contextualSpacing/>
              <w:jc w:val="both"/>
              <w:rPr>
                <w:rFonts w:ascii="Arial" w:hAnsi="Arial" w:cs="Arial"/>
                <w:b w:val="0"/>
                <w:color w:val="1F497D" w:themeColor="text2"/>
                <w:szCs w:val="20"/>
              </w:rPr>
            </w:pPr>
          </w:p>
          <w:p w:rsidR="001A6E7E" w:rsidRPr="00BC4069" w:rsidRDefault="001A6E7E" w:rsidP="00E53D93">
            <w:pPr>
              <w:pStyle w:val="msolistparagraph0"/>
              <w:ind w:left="0"/>
              <w:contextualSpacing/>
              <w:jc w:val="both"/>
              <w:rPr>
                <w:rFonts w:ascii="Arial" w:hAnsi="Arial" w:cs="Arial"/>
                <w:b w:val="0"/>
                <w:bCs/>
                <w:color w:val="1F497D" w:themeColor="text2"/>
                <w:szCs w:val="20"/>
              </w:rPr>
            </w:pPr>
            <w:r w:rsidRPr="00BC4069">
              <w:rPr>
                <w:rFonts w:ascii="Arial" w:hAnsi="Arial" w:cs="Arial"/>
                <w:b w:val="0"/>
                <w:bCs/>
                <w:color w:val="1F497D" w:themeColor="text2"/>
                <w:szCs w:val="20"/>
              </w:rPr>
              <w:t>Bez promjene propisa (“status quo”):</w:t>
            </w:r>
          </w:p>
          <w:p w:rsidR="001A6E7E" w:rsidRPr="00BC4069" w:rsidRDefault="001A6E7E" w:rsidP="00E53D93">
            <w:pPr>
              <w:pStyle w:val="NormalWeb"/>
              <w:numPr>
                <w:ilvl w:val="0"/>
                <w:numId w:val="14"/>
              </w:numPr>
              <w:tabs>
                <w:tab w:val="left" w:pos="540"/>
              </w:tabs>
              <w:rPr>
                <w:rFonts w:ascii="Arial" w:hAnsi="Arial" w:cs="Arial"/>
                <w:b w:val="0"/>
                <w:bCs w:val="0"/>
                <w:color w:val="1F497D" w:themeColor="text2"/>
                <w:szCs w:val="20"/>
                <w:lang w:val="en-US" w:eastAsia="en-US"/>
              </w:rPr>
            </w:pPr>
            <w:r w:rsidRPr="00BC4069">
              <w:rPr>
                <w:rFonts w:ascii="Arial" w:hAnsi="Arial" w:cs="Arial"/>
                <w:b w:val="0"/>
                <w:bCs w:val="0"/>
                <w:color w:val="1F497D" w:themeColor="text2"/>
                <w:szCs w:val="20"/>
                <w:lang w:val="en-US" w:eastAsia="en-US"/>
              </w:rPr>
              <w:t>i dalje bi postojale velike razlike u visini međubankarskih naknada;</w:t>
            </w:r>
          </w:p>
          <w:p w:rsidR="001A6E7E" w:rsidRPr="00BC4069" w:rsidRDefault="0009156F" w:rsidP="00E53D93">
            <w:pPr>
              <w:pStyle w:val="NormalWeb"/>
              <w:numPr>
                <w:ilvl w:val="0"/>
                <w:numId w:val="14"/>
              </w:numPr>
              <w:tabs>
                <w:tab w:val="left" w:pos="540"/>
              </w:tabs>
              <w:rPr>
                <w:rFonts w:ascii="Arial" w:hAnsi="Arial" w:cs="Arial"/>
                <w:b w:val="0"/>
                <w:bCs w:val="0"/>
                <w:color w:val="1F497D" w:themeColor="text2"/>
                <w:szCs w:val="20"/>
                <w:lang w:val="en-US" w:eastAsia="en-US"/>
              </w:rPr>
            </w:pPr>
            <w:r w:rsidRPr="00BC4069">
              <w:rPr>
                <w:rFonts w:ascii="Arial" w:hAnsi="Arial" w:cs="Arial"/>
                <w:b w:val="0"/>
                <w:bCs w:val="0"/>
                <w:color w:val="1F497D" w:themeColor="text2"/>
                <w:szCs w:val="20"/>
                <w:lang w:val="en-US" w:eastAsia="en-US"/>
              </w:rPr>
              <w:t>ne bi se povećao nivo trans</w:t>
            </w:r>
            <w:r w:rsidR="001A6E7E" w:rsidRPr="00BC4069">
              <w:rPr>
                <w:rFonts w:ascii="Arial" w:hAnsi="Arial" w:cs="Arial"/>
                <w:b w:val="0"/>
                <w:bCs w:val="0"/>
                <w:color w:val="1F497D" w:themeColor="text2"/>
                <w:szCs w:val="20"/>
                <w:lang w:val="en-US" w:eastAsia="en-US"/>
              </w:rPr>
              <w:t>parentnosti kod sklapanja ugovor</w:t>
            </w:r>
            <w:r w:rsidRPr="00BC4069">
              <w:rPr>
                <w:rFonts w:ascii="Arial" w:hAnsi="Arial" w:cs="Arial"/>
                <w:b w:val="0"/>
                <w:bCs w:val="0"/>
                <w:color w:val="1F497D" w:themeColor="text2"/>
                <w:szCs w:val="20"/>
                <w:lang w:val="en-US" w:eastAsia="en-US"/>
              </w:rPr>
              <w:t xml:space="preserve">a između primaoca plaćanja i </w:t>
            </w:r>
            <w:r w:rsidR="001A6E7E" w:rsidRPr="00BC4069">
              <w:rPr>
                <w:rFonts w:ascii="Arial" w:hAnsi="Arial" w:cs="Arial"/>
                <w:b w:val="0"/>
                <w:bCs w:val="0"/>
                <w:color w:val="1F497D" w:themeColor="text2"/>
                <w:szCs w:val="20"/>
                <w:lang w:val="en-US" w:eastAsia="en-US"/>
              </w:rPr>
              <w:t>prihvatioca;</w:t>
            </w:r>
            <w:r w:rsidRPr="00BC4069">
              <w:rPr>
                <w:rFonts w:ascii="Arial" w:hAnsi="Arial" w:cs="Arial"/>
                <w:b w:val="0"/>
                <w:bCs w:val="0"/>
                <w:color w:val="1F497D" w:themeColor="text2"/>
                <w:szCs w:val="20"/>
                <w:lang w:val="en-US" w:eastAsia="en-US"/>
              </w:rPr>
              <w:t xml:space="preserve">   </w:t>
            </w:r>
          </w:p>
          <w:p w:rsidR="001A6E7E" w:rsidRPr="00BC4069" w:rsidRDefault="001A6E7E" w:rsidP="00E53D93">
            <w:pPr>
              <w:pStyle w:val="NormalWeb"/>
              <w:numPr>
                <w:ilvl w:val="0"/>
                <w:numId w:val="14"/>
              </w:numPr>
              <w:tabs>
                <w:tab w:val="left" w:pos="540"/>
              </w:tabs>
              <w:rPr>
                <w:rFonts w:ascii="Arial" w:hAnsi="Arial" w:cs="Arial"/>
                <w:b w:val="0"/>
                <w:bCs w:val="0"/>
                <w:color w:val="1F497D" w:themeColor="text2"/>
                <w:szCs w:val="20"/>
                <w:lang w:val="en-US" w:eastAsia="en-US"/>
              </w:rPr>
            </w:pPr>
            <w:r w:rsidRPr="00BC4069">
              <w:rPr>
                <w:rFonts w:ascii="Arial" w:hAnsi="Arial" w:cs="Arial"/>
                <w:b w:val="0"/>
                <w:bCs w:val="0"/>
                <w:color w:val="1F497D" w:themeColor="text2"/>
                <w:szCs w:val="20"/>
                <w:lang w:val="en-US" w:eastAsia="en-US"/>
              </w:rPr>
              <w:lastRenderedPageBreak/>
              <w:t>potrošači bi i dalje plaćali visoke troškove prihvatanja platnih kartica kroz cijene roba i usluga;</w:t>
            </w:r>
          </w:p>
          <w:p w:rsidR="00285824" w:rsidRPr="00BC4069" w:rsidRDefault="001A6E7E" w:rsidP="00285824">
            <w:pPr>
              <w:pStyle w:val="NormalWeb"/>
              <w:numPr>
                <w:ilvl w:val="0"/>
                <w:numId w:val="14"/>
              </w:numPr>
              <w:tabs>
                <w:tab w:val="left" w:pos="540"/>
              </w:tabs>
              <w:rPr>
                <w:rFonts w:ascii="Arial" w:hAnsi="Arial" w:cs="Arial"/>
                <w:b w:val="0"/>
                <w:bCs w:val="0"/>
                <w:color w:val="1F497D" w:themeColor="text2"/>
                <w:szCs w:val="20"/>
                <w:lang w:val="en-US" w:eastAsia="en-US"/>
              </w:rPr>
            </w:pPr>
            <w:r w:rsidRPr="00BC4069">
              <w:rPr>
                <w:rFonts w:ascii="Arial" w:hAnsi="Arial" w:cs="Arial"/>
                <w:b w:val="0"/>
                <w:bCs w:val="0"/>
                <w:color w:val="1F497D" w:themeColor="text2"/>
                <w:szCs w:val="20"/>
                <w:lang w:val="en-US" w:eastAsia="en-US"/>
              </w:rPr>
              <w:t>i dalje bi bio prisutan nedostatak tržišne konkurencije između kartičnih platnih šema;</w:t>
            </w:r>
          </w:p>
          <w:p w:rsidR="00AA117E" w:rsidRPr="00BC4069" w:rsidRDefault="001A6E7E" w:rsidP="00285824">
            <w:pPr>
              <w:pStyle w:val="NormalWeb"/>
              <w:numPr>
                <w:ilvl w:val="0"/>
                <w:numId w:val="14"/>
              </w:numPr>
              <w:tabs>
                <w:tab w:val="left" w:pos="540"/>
              </w:tabs>
              <w:rPr>
                <w:rFonts w:ascii="Arial" w:hAnsi="Arial" w:cs="Arial"/>
                <w:b w:val="0"/>
                <w:bCs w:val="0"/>
                <w:color w:val="1F497D" w:themeColor="text2"/>
                <w:szCs w:val="20"/>
                <w:lang w:val="en-US" w:eastAsia="en-US"/>
              </w:rPr>
            </w:pPr>
            <w:r w:rsidRPr="00BC4069">
              <w:rPr>
                <w:rFonts w:ascii="Arial" w:hAnsi="Arial" w:cs="Arial"/>
                <w:b w:val="0"/>
                <w:color w:val="1F497D" w:themeColor="text2"/>
                <w:szCs w:val="20"/>
              </w:rPr>
              <w:t>Crna Gora ne bi ispunila svoju obavezu potpunog usaglašavanja regulatornog okvira iz ove oblasti sa acqui communautire.</w:t>
            </w:r>
          </w:p>
          <w:p w:rsidR="00285824" w:rsidRPr="00BC4069" w:rsidRDefault="00285824" w:rsidP="00285824">
            <w:pPr>
              <w:pStyle w:val="NormalWeb"/>
              <w:tabs>
                <w:tab w:val="left" w:pos="540"/>
              </w:tabs>
              <w:ind w:left="1080"/>
              <w:rPr>
                <w:rFonts w:ascii="Arial" w:hAnsi="Arial" w:cs="Arial"/>
                <w:b w:val="0"/>
                <w:bCs w:val="0"/>
                <w:color w:val="1F497D" w:themeColor="text2"/>
                <w:szCs w:val="20"/>
                <w:lang w:val="en-US" w:eastAsia="en-US"/>
              </w:rPr>
            </w:pPr>
          </w:p>
        </w:tc>
      </w:tr>
      <w:tr w:rsidR="008322D4" w:rsidRPr="00BC4069" w:rsidTr="000511F0">
        <w:trPr>
          <w:cnfStyle w:val="000000100000"/>
        </w:trPr>
        <w:tc>
          <w:tcPr>
            <w:cnfStyle w:val="001000000000"/>
            <w:tcW w:w="9576" w:type="dxa"/>
            <w:gridSpan w:val="2"/>
          </w:tcPr>
          <w:p w:rsidR="008322D4" w:rsidRPr="00BC4069" w:rsidRDefault="008322D4" w:rsidP="008322D4">
            <w:pPr>
              <w:autoSpaceDE w:val="0"/>
              <w:autoSpaceDN w:val="0"/>
              <w:adjustRightInd w:val="0"/>
              <w:spacing w:before="120" w:after="120"/>
              <w:rPr>
                <w:rFonts w:ascii="Arial" w:hAnsi="Arial" w:cs="Arial"/>
                <w:b w:val="0"/>
                <w:color w:val="1F497D" w:themeColor="text2"/>
                <w:sz w:val="20"/>
                <w:szCs w:val="20"/>
              </w:rPr>
            </w:pPr>
            <w:r w:rsidRPr="00BC4069">
              <w:rPr>
                <w:rFonts w:ascii="Arial" w:hAnsi="Arial" w:cs="Arial"/>
                <w:color w:val="1F497D" w:themeColor="text2"/>
                <w:sz w:val="20"/>
                <w:szCs w:val="20"/>
              </w:rPr>
              <w:lastRenderedPageBreak/>
              <w:t>2</w:t>
            </w:r>
            <w:r w:rsidR="001D0BF0" w:rsidRPr="00BC4069">
              <w:rPr>
                <w:rFonts w:ascii="Arial" w:hAnsi="Arial" w:cs="Arial"/>
                <w:color w:val="1F497D" w:themeColor="text2"/>
                <w:sz w:val="20"/>
                <w:szCs w:val="20"/>
              </w:rPr>
              <w:t>.</w:t>
            </w:r>
            <w:r w:rsidRPr="00BC4069">
              <w:rPr>
                <w:rFonts w:ascii="Arial" w:hAnsi="Arial" w:cs="Arial"/>
                <w:color w:val="1F497D" w:themeColor="text2"/>
                <w:sz w:val="20"/>
                <w:szCs w:val="20"/>
              </w:rPr>
              <w:t xml:space="preserve"> Ciljevi</w:t>
            </w:r>
          </w:p>
          <w:p w:rsidR="00A07773" w:rsidRPr="00BC4069" w:rsidRDefault="00D06D2A" w:rsidP="00A07773">
            <w:pPr>
              <w:pStyle w:val="ListParagraph"/>
              <w:numPr>
                <w:ilvl w:val="0"/>
                <w:numId w:val="13"/>
              </w:numPr>
              <w:autoSpaceDE w:val="0"/>
              <w:autoSpaceDN w:val="0"/>
              <w:adjustRightInd w:val="0"/>
              <w:spacing w:before="120" w:after="120"/>
              <w:contextualSpacing/>
              <w:jc w:val="left"/>
              <w:rPr>
                <w:rFonts w:ascii="Arial" w:hAnsi="Arial" w:cs="Arial"/>
                <w:color w:val="1F497D" w:themeColor="text2"/>
                <w:sz w:val="20"/>
                <w:szCs w:val="20"/>
              </w:rPr>
            </w:pPr>
            <w:r w:rsidRPr="00BC4069">
              <w:rPr>
                <w:rFonts w:ascii="Arial" w:hAnsi="Arial" w:cs="Arial"/>
                <w:color w:val="1F497D" w:themeColor="text2"/>
                <w:sz w:val="20"/>
                <w:szCs w:val="20"/>
              </w:rPr>
              <w:t>K</w:t>
            </w:r>
            <w:r w:rsidR="00A07773" w:rsidRPr="00BC4069">
              <w:rPr>
                <w:rFonts w:ascii="Arial" w:hAnsi="Arial" w:cs="Arial"/>
                <w:color w:val="1F497D" w:themeColor="text2"/>
                <w:sz w:val="20"/>
                <w:szCs w:val="20"/>
              </w:rPr>
              <w:t>oji ciljevi se postižu predloženim propisom?</w:t>
            </w:r>
          </w:p>
          <w:p w:rsidR="00A07773" w:rsidRPr="00BC4069" w:rsidRDefault="00D06D2A" w:rsidP="00A07773">
            <w:pPr>
              <w:pStyle w:val="ListParagraph"/>
              <w:numPr>
                <w:ilvl w:val="0"/>
                <w:numId w:val="13"/>
              </w:numPr>
              <w:autoSpaceDE w:val="0"/>
              <w:autoSpaceDN w:val="0"/>
              <w:adjustRightInd w:val="0"/>
              <w:spacing w:before="120" w:after="120"/>
              <w:contextualSpacing/>
              <w:jc w:val="left"/>
              <w:rPr>
                <w:rFonts w:ascii="Arial" w:hAnsi="Arial" w:cs="Arial"/>
                <w:b w:val="0"/>
                <w:color w:val="1F497D" w:themeColor="text2"/>
                <w:sz w:val="20"/>
                <w:szCs w:val="20"/>
              </w:rPr>
            </w:pPr>
            <w:r w:rsidRPr="00BC4069">
              <w:rPr>
                <w:rFonts w:ascii="Arial" w:hAnsi="Arial" w:cs="Arial"/>
                <w:color w:val="1F497D" w:themeColor="text2"/>
                <w:sz w:val="20"/>
                <w:szCs w:val="20"/>
              </w:rPr>
              <w:t>N</w:t>
            </w:r>
            <w:r w:rsidR="00A07773" w:rsidRPr="00BC4069">
              <w:rPr>
                <w:rFonts w:ascii="Arial" w:hAnsi="Arial" w:cs="Arial"/>
                <w:color w:val="1F497D" w:themeColor="text2"/>
                <w:sz w:val="20"/>
                <w:szCs w:val="20"/>
              </w:rPr>
              <w:t xml:space="preserve">avesti </w:t>
            </w:r>
            <w:r w:rsidR="00067FCF" w:rsidRPr="00BC4069">
              <w:rPr>
                <w:rFonts w:ascii="Arial" w:hAnsi="Arial" w:cs="Arial"/>
                <w:color w:val="1F497D" w:themeColor="text2"/>
                <w:sz w:val="20"/>
                <w:szCs w:val="20"/>
              </w:rPr>
              <w:t>usklađenost</w:t>
            </w:r>
            <w:r w:rsidR="00A07773" w:rsidRPr="00BC4069">
              <w:rPr>
                <w:rFonts w:ascii="Arial" w:hAnsi="Arial" w:cs="Arial"/>
                <w:color w:val="1F497D" w:themeColor="text2"/>
                <w:sz w:val="20"/>
                <w:szCs w:val="20"/>
              </w:rPr>
              <w:t xml:space="preserve"> ovih ciljeva sa postojećim strategijama ili programima Vlade, ako je primjenljivo.</w:t>
            </w:r>
          </w:p>
        </w:tc>
      </w:tr>
      <w:tr w:rsidR="008322D4" w:rsidRPr="00BC4069" w:rsidTr="000511F0">
        <w:trPr>
          <w:cnfStyle w:val="000000010000"/>
        </w:trPr>
        <w:tc>
          <w:tcPr>
            <w:cnfStyle w:val="001000000000"/>
            <w:tcW w:w="9576" w:type="dxa"/>
            <w:gridSpan w:val="2"/>
          </w:tcPr>
          <w:p w:rsidR="001A6E7E" w:rsidRPr="00BC4069" w:rsidRDefault="001A6E7E" w:rsidP="001A6E7E">
            <w:pPr>
              <w:autoSpaceDE w:val="0"/>
              <w:autoSpaceDN w:val="0"/>
              <w:adjustRightInd w:val="0"/>
              <w:spacing w:before="120" w:after="120"/>
              <w:rPr>
                <w:rFonts w:ascii="Arial" w:hAnsi="Arial" w:cs="Arial"/>
                <w:b w:val="0"/>
                <w:color w:val="1F497D" w:themeColor="text2"/>
                <w:szCs w:val="20"/>
              </w:rPr>
            </w:pPr>
            <w:r w:rsidRPr="00BC4069">
              <w:rPr>
                <w:rFonts w:ascii="Arial" w:hAnsi="Arial" w:cs="Arial"/>
                <w:b w:val="0"/>
                <w:color w:val="1F497D" w:themeColor="text2"/>
                <w:szCs w:val="20"/>
                <w:lang w:val="pl-PL"/>
              </w:rPr>
              <w:t>Predloženi zakon ima za cilj da se</w:t>
            </w:r>
            <w:r w:rsidRPr="00BC4069">
              <w:rPr>
                <w:rFonts w:ascii="Arial" w:hAnsi="Arial" w:cs="Arial"/>
                <w:b w:val="0"/>
                <w:color w:val="1F497D" w:themeColor="text2"/>
                <w:szCs w:val="20"/>
                <w:lang w:val="en-US"/>
              </w:rPr>
              <w:t>:</w:t>
            </w:r>
          </w:p>
          <w:p w:rsidR="001A6E7E" w:rsidRPr="00BC4069" w:rsidRDefault="001A6E7E" w:rsidP="00BC4069">
            <w:pPr>
              <w:pStyle w:val="NoSpacing"/>
              <w:ind w:left="709"/>
              <w:rPr>
                <w:rFonts w:ascii="Arial" w:hAnsi="Arial" w:cs="Arial"/>
                <w:b w:val="0"/>
                <w:color w:val="1F497D" w:themeColor="text2"/>
                <w:sz w:val="22"/>
                <w:lang w:val="en-US"/>
              </w:rPr>
            </w:pPr>
            <w:r w:rsidRPr="00BC4069">
              <w:rPr>
                <w:rFonts w:ascii="Arial" w:hAnsi="Arial" w:cs="Arial"/>
                <w:b w:val="0"/>
                <w:color w:val="1F497D" w:themeColor="text2"/>
                <w:sz w:val="22"/>
                <w:lang w:val="en-US"/>
              </w:rPr>
              <w:t>- uredi tržište platnih kartica;</w:t>
            </w:r>
          </w:p>
          <w:p w:rsidR="001A6E7E" w:rsidRPr="00BC4069" w:rsidRDefault="001A6E7E" w:rsidP="00BC4069">
            <w:pPr>
              <w:pStyle w:val="NoSpacing"/>
              <w:ind w:left="709"/>
              <w:rPr>
                <w:rFonts w:ascii="Arial" w:hAnsi="Arial" w:cs="Arial"/>
                <w:b w:val="0"/>
                <w:color w:val="1F497D" w:themeColor="text2"/>
                <w:sz w:val="22"/>
              </w:rPr>
            </w:pPr>
            <w:r w:rsidRPr="00BC4069">
              <w:rPr>
                <w:rFonts w:ascii="Arial" w:hAnsi="Arial" w:cs="Arial"/>
                <w:b w:val="0"/>
                <w:color w:val="1F497D" w:themeColor="text2"/>
                <w:sz w:val="22"/>
                <w:lang w:val="pl-PL"/>
              </w:rPr>
              <w:t>- zaštite interesi korisnika platnih kartica, kako potrošača tako i primalaca plaćanja (trgovaca);</w:t>
            </w:r>
          </w:p>
          <w:p w:rsidR="001A6E7E" w:rsidRPr="00BC4069" w:rsidRDefault="001A6E7E" w:rsidP="00BC4069">
            <w:pPr>
              <w:pStyle w:val="NoSpacing"/>
              <w:ind w:left="709"/>
              <w:rPr>
                <w:rFonts w:ascii="Arial" w:hAnsi="Arial" w:cs="Arial"/>
                <w:b w:val="0"/>
                <w:color w:val="1F497D" w:themeColor="text2"/>
                <w:sz w:val="22"/>
                <w:lang w:val="pl-PL"/>
              </w:rPr>
            </w:pPr>
            <w:r w:rsidRPr="00BC4069">
              <w:rPr>
                <w:rFonts w:ascii="Arial" w:hAnsi="Arial" w:cs="Arial"/>
                <w:b w:val="0"/>
                <w:color w:val="1F497D" w:themeColor="text2"/>
                <w:sz w:val="22"/>
                <w:lang w:val="en-US"/>
              </w:rPr>
              <w:t xml:space="preserve">- </w:t>
            </w:r>
            <w:r w:rsidRPr="00BC4069">
              <w:rPr>
                <w:rFonts w:ascii="Arial" w:hAnsi="Arial" w:cs="Arial"/>
                <w:b w:val="0"/>
                <w:color w:val="1F497D" w:themeColor="text2"/>
                <w:sz w:val="22"/>
                <w:lang w:val="pl-PL"/>
              </w:rPr>
              <w:t>korisnicima platnih usluga obezbijedi sigurna, nesmetana i inovativna elektronska plaćanja uklanjanjem prepreka za djelotvorno funkcionisanje tržišta platnih kartica, kao i da se, kada su potrošači u pitanju, riješi problem visokih i različitih međubankarskih naknada na osnovu platnih kartica;</w:t>
            </w:r>
          </w:p>
          <w:p w:rsidR="001A6E7E" w:rsidRPr="00BC4069" w:rsidRDefault="001A6E7E" w:rsidP="00BC4069">
            <w:pPr>
              <w:pStyle w:val="NoSpacing"/>
              <w:ind w:left="709"/>
              <w:rPr>
                <w:rFonts w:ascii="Arial" w:hAnsi="Arial" w:cs="Arial"/>
                <w:b w:val="0"/>
                <w:color w:val="1F497D" w:themeColor="text2"/>
                <w:sz w:val="22"/>
              </w:rPr>
            </w:pPr>
            <w:r w:rsidRPr="00BC4069">
              <w:rPr>
                <w:rFonts w:ascii="Arial" w:hAnsi="Arial" w:cs="Arial"/>
                <w:b w:val="0"/>
                <w:color w:val="1F497D" w:themeColor="text2"/>
                <w:sz w:val="22"/>
                <w:lang w:val="pl-PL"/>
              </w:rPr>
              <w:t>- omogu</w:t>
            </w:r>
            <w:r w:rsidRPr="00BC4069">
              <w:rPr>
                <w:rFonts w:ascii="Arial" w:hAnsi="Arial" w:cs="Arial"/>
                <w:b w:val="0"/>
                <w:color w:val="1F497D" w:themeColor="text2"/>
                <w:sz w:val="22"/>
              </w:rPr>
              <w:t>ći fer tržišna utakmica na način što će se smanjiti troškovi prihvatanja platnih kartica;</w:t>
            </w:r>
          </w:p>
          <w:p w:rsidR="001A6E7E" w:rsidRPr="00BC4069" w:rsidRDefault="001A6E7E" w:rsidP="00BC4069">
            <w:pPr>
              <w:pStyle w:val="NoSpacing"/>
              <w:ind w:left="709"/>
              <w:rPr>
                <w:rFonts w:ascii="Arial" w:hAnsi="Arial" w:cs="Arial"/>
                <w:b w:val="0"/>
                <w:color w:val="1F497D" w:themeColor="text2"/>
                <w:sz w:val="22"/>
              </w:rPr>
            </w:pPr>
            <w:r w:rsidRPr="00BC4069">
              <w:rPr>
                <w:rFonts w:ascii="Arial" w:hAnsi="Arial" w:cs="Arial"/>
                <w:b w:val="0"/>
                <w:color w:val="1F497D" w:themeColor="text2"/>
                <w:sz w:val="22"/>
              </w:rPr>
              <w:t>- obezbijedi transparentnost i uporedivost naknada koje primaoci plaćanja plaćaju za platnu karticu koju koriste, jer do sada potrošači nijesu bili upoznati sa na navedenim naknadama;</w:t>
            </w:r>
          </w:p>
          <w:p w:rsidR="001A6E7E" w:rsidRPr="00BC4069" w:rsidRDefault="001A6E7E" w:rsidP="00BC4069">
            <w:pPr>
              <w:pStyle w:val="NoSpacing"/>
              <w:ind w:left="709"/>
              <w:rPr>
                <w:rFonts w:ascii="Arial" w:hAnsi="Arial" w:cs="Arial"/>
                <w:b w:val="0"/>
                <w:color w:val="1F497D" w:themeColor="text2"/>
                <w:sz w:val="22"/>
              </w:rPr>
            </w:pPr>
            <w:r w:rsidRPr="00BC4069">
              <w:rPr>
                <w:rFonts w:ascii="Arial" w:hAnsi="Arial" w:cs="Arial"/>
                <w:b w:val="0"/>
                <w:color w:val="1F497D" w:themeColor="text2"/>
                <w:sz w:val="22"/>
              </w:rPr>
              <w:t>- obezbijedi informisanost potrošača o nizu stimulativnih postupaka koje primjenjuju izdavaoci (bonusi, popusti), koji mogu potrošača usmjeriti na upotrebu određene platne kartice, a o kojima potrošači uopšte nijesu informisani;</w:t>
            </w:r>
          </w:p>
          <w:p w:rsidR="001A6E7E" w:rsidRPr="00BC4069" w:rsidRDefault="001A6E7E" w:rsidP="00BC4069">
            <w:pPr>
              <w:pStyle w:val="NoSpacing"/>
              <w:ind w:left="709"/>
              <w:rPr>
                <w:rFonts w:ascii="Arial" w:hAnsi="Arial" w:cs="Arial"/>
                <w:b w:val="0"/>
                <w:color w:val="1F497D" w:themeColor="text2"/>
                <w:sz w:val="22"/>
              </w:rPr>
            </w:pPr>
            <w:r w:rsidRPr="00BC4069">
              <w:rPr>
                <w:rFonts w:ascii="Arial" w:hAnsi="Arial" w:cs="Arial"/>
                <w:b w:val="0"/>
                <w:color w:val="1F497D" w:themeColor="text2"/>
                <w:sz w:val="22"/>
                <w:lang w:val="en-US"/>
              </w:rPr>
              <w:t xml:space="preserve">- smanji siva ekonomija; </w:t>
            </w:r>
          </w:p>
          <w:p w:rsidR="00AA117E" w:rsidRDefault="001A6E7E" w:rsidP="00BC4069">
            <w:pPr>
              <w:pStyle w:val="NoSpacing"/>
              <w:ind w:left="709"/>
              <w:rPr>
                <w:rFonts w:ascii="Arial" w:hAnsi="Arial" w:cs="Arial"/>
                <w:b w:val="0"/>
                <w:color w:val="1F497D" w:themeColor="text2"/>
                <w:sz w:val="22"/>
                <w:lang w:val="pl-PL"/>
              </w:rPr>
            </w:pPr>
            <w:r w:rsidRPr="00BC4069">
              <w:rPr>
                <w:rFonts w:ascii="Arial" w:hAnsi="Arial" w:cs="Arial"/>
                <w:b w:val="0"/>
                <w:color w:val="1F497D" w:themeColor="text2"/>
                <w:sz w:val="22"/>
                <w:lang w:val="pl-PL"/>
              </w:rPr>
              <w:t>- uskladi nacionalno zakonodavstvo sa Uredbom (EU) 2015/751 o međubankarskim naknadama za platne transakcije po osnovu kartica.</w:t>
            </w:r>
          </w:p>
          <w:p w:rsidR="00BC4069" w:rsidRPr="00BC4069" w:rsidRDefault="00BC4069" w:rsidP="00BC4069">
            <w:pPr>
              <w:pStyle w:val="NoSpacing"/>
              <w:ind w:left="709"/>
              <w:rPr>
                <w:sz w:val="20"/>
              </w:rPr>
            </w:pPr>
          </w:p>
        </w:tc>
      </w:tr>
      <w:tr w:rsidR="008322D4" w:rsidRPr="00BC4069" w:rsidTr="000511F0">
        <w:trPr>
          <w:cnfStyle w:val="000000100000"/>
        </w:trPr>
        <w:tc>
          <w:tcPr>
            <w:cnfStyle w:val="001000000000"/>
            <w:tcW w:w="9576" w:type="dxa"/>
            <w:gridSpan w:val="2"/>
          </w:tcPr>
          <w:p w:rsidR="008322D4" w:rsidRPr="00BC4069" w:rsidRDefault="00282840" w:rsidP="00282840">
            <w:pPr>
              <w:autoSpaceDE w:val="0"/>
              <w:autoSpaceDN w:val="0"/>
              <w:adjustRightInd w:val="0"/>
              <w:spacing w:before="120" w:after="120"/>
              <w:rPr>
                <w:rFonts w:ascii="Arial" w:hAnsi="Arial" w:cs="Arial"/>
                <w:b w:val="0"/>
                <w:color w:val="1F497D" w:themeColor="text2"/>
                <w:sz w:val="20"/>
                <w:szCs w:val="20"/>
              </w:rPr>
            </w:pPr>
            <w:r w:rsidRPr="00BC4069">
              <w:rPr>
                <w:rFonts w:ascii="Arial" w:hAnsi="Arial" w:cs="Arial"/>
                <w:color w:val="1F497D" w:themeColor="text2"/>
                <w:sz w:val="20"/>
                <w:szCs w:val="20"/>
              </w:rPr>
              <w:t>3</w:t>
            </w:r>
            <w:r w:rsidR="001D0BF0" w:rsidRPr="00BC4069">
              <w:rPr>
                <w:rFonts w:ascii="Arial" w:hAnsi="Arial" w:cs="Arial"/>
                <w:color w:val="1F497D" w:themeColor="text2"/>
                <w:sz w:val="20"/>
                <w:szCs w:val="20"/>
              </w:rPr>
              <w:t>.</w:t>
            </w:r>
            <w:r w:rsidRPr="00BC4069">
              <w:rPr>
                <w:rFonts w:ascii="Arial" w:hAnsi="Arial" w:cs="Arial"/>
                <w:color w:val="1F497D" w:themeColor="text2"/>
                <w:sz w:val="20"/>
                <w:szCs w:val="20"/>
              </w:rPr>
              <w:t xml:space="preserve"> Opcije</w:t>
            </w:r>
          </w:p>
          <w:p w:rsidR="00A07773" w:rsidRPr="00BC4069" w:rsidRDefault="00D06D2A" w:rsidP="00A07773">
            <w:pPr>
              <w:pStyle w:val="ListParagraph"/>
              <w:numPr>
                <w:ilvl w:val="0"/>
                <w:numId w:val="13"/>
              </w:numPr>
              <w:autoSpaceDE w:val="0"/>
              <w:autoSpaceDN w:val="0"/>
              <w:adjustRightInd w:val="0"/>
              <w:contextualSpacing/>
              <w:rPr>
                <w:rFonts w:ascii="Arial" w:hAnsi="Arial" w:cs="Arial"/>
                <w:color w:val="1F497D" w:themeColor="text2"/>
                <w:sz w:val="20"/>
                <w:szCs w:val="20"/>
              </w:rPr>
            </w:pPr>
            <w:r w:rsidRPr="00BC4069">
              <w:rPr>
                <w:rFonts w:ascii="Arial" w:hAnsi="Arial" w:cs="Arial"/>
                <w:color w:val="1F497D" w:themeColor="text2"/>
                <w:sz w:val="20"/>
                <w:szCs w:val="20"/>
              </w:rPr>
              <w:t>K</w:t>
            </w:r>
            <w:r w:rsidR="00A07773" w:rsidRPr="00BC4069">
              <w:rPr>
                <w:rFonts w:ascii="Arial" w:hAnsi="Arial" w:cs="Arial"/>
                <w:color w:val="1F497D" w:themeColor="text2"/>
                <w:sz w:val="20"/>
                <w:szCs w:val="20"/>
              </w:rPr>
              <w:t xml:space="preserve">oje su moguće opcije za ispunjavanje ciljeva i rješavanje problema? (uvijek treba razmatrati “status quo” opciju i preporučljivo je uključiti i neregulatornu opciju, osim ako postoji obaveza </w:t>
            </w:r>
            <w:r w:rsidR="00067FCF" w:rsidRPr="00BC4069">
              <w:rPr>
                <w:rFonts w:ascii="Arial" w:hAnsi="Arial" w:cs="Arial"/>
                <w:color w:val="1F497D" w:themeColor="text2"/>
                <w:sz w:val="20"/>
                <w:szCs w:val="20"/>
              </w:rPr>
              <w:t>donošenja predloženog propisa</w:t>
            </w:r>
            <w:r w:rsidR="00A07773" w:rsidRPr="00BC4069">
              <w:rPr>
                <w:rFonts w:ascii="Arial" w:hAnsi="Arial" w:cs="Arial"/>
                <w:color w:val="1F497D" w:themeColor="text2"/>
                <w:sz w:val="20"/>
                <w:szCs w:val="20"/>
              </w:rPr>
              <w:t>)</w:t>
            </w:r>
            <w:r w:rsidRPr="00BC4069">
              <w:rPr>
                <w:rFonts w:ascii="Arial" w:hAnsi="Arial" w:cs="Arial"/>
                <w:color w:val="1F497D" w:themeColor="text2"/>
                <w:sz w:val="20"/>
                <w:szCs w:val="20"/>
              </w:rPr>
              <w:t>.</w:t>
            </w:r>
          </w:p>
          <w:p w:rsidR="00A07773" w:rsidRPr="00BC4069" w:rsidRDefault="00D06D2A" w:rsidP="00A07773">
            <w:pPr>
              <w:pStyle w:val="ListParagraph"/>
              <w:numPr>
                <w:ilvl w:val="0"/>
                <w:numId w:val="13"/>
              </w:numPr>
              <w:autoSpaceDE w:val="0"/>
              <w:autoSpaceDN w:val="0"/>
              <w:adjustRightInd w:val="0"/>
              <w:contextualSpacing/>
              <w:rPr>
                <w:rFonts w:ascii="Arial" w:hAnsi="Arial" w:cs="Arial"/>
                <w:color w:val="1F497D" w:themeColor="text2"/>
                <w:sz w:val="20"/>
                <w:szCs w:val="20"/>
              </w:rPr>
            </w:pPr>
            <w:r w:rsidRPr="00BC4069">
              <w:rPr>
                <w:rFonts w:ascii="Arial" w:hAnsi="Arial" w:cs="Arial"/>
                <w:color w:val="1F497D" w:themeColor="text2"/>
                <w:sz w:val="20"/>
                <w:szCs w:val="20"/>
              </w:rPr>
              <w:t>O</w:t>
            </w:r>
            <w:r w:rsidR="00A07773" w:rsidRPr="00BC4069">
              <w:rPr>
                <w:rFonts w:ascii="Arial" w:hAnsi="Arial" w:cs="Arial"/>
                <w:color w:val="1F497D" w:themeColor="text2"/>
                <w:sz w:val="20"/>
                <w:szCs w:val="20"/>
              </w:rPr>
              <w:t>brazložiti preferiranu opciju</w:t>
            </w:r>
            <w:r w:rsidR="00067FCF" w:rsidRPr="00BC4069">
              <w:rPr>
                <w:rFonts w:ascii="Arial" w:hAnsi="Arial" w:cs="Arial"/>
                <w:color w:val="1F497D" w:themeColor="text2"/>
                <w:sz w:val="20"/>
                <w:szCs w:val="20"/>
              </w:rPr>
              <w:t>?</w:t>
            </w:r>
          </w:p>
        </w:tc>
      </w:tr>
      <w:tr w:rsidR="008322D4" w:rsidRPr="00BC4069" w:rsidTr="000511F0">
        <w:trPr>
          <w:cnfStyle w:val="000000010000"/>
        </w:trPr>
        <w:tc>
          <w:tcPr>
            <w:cnfStyle w:val="001000000000"/>
            <w:tcW w:w="9576" w:type="dxa"/>
            <w:gridSpan w:val="2"/>
          </w:tcPr>
          <w:p w:rsidR="001A6E7E" w:rsidRPr="00BC4069" w:rsidRDefault="001A6E7E" w:rsidP="001A6E7E">
            <w:pPr>
              <w:rPr>
                <w:rFonts w:ascii="Arial" w:hAnsi="Arial" w:cs="Arial"/>
                <w:color w:val="1F497D" w:themeColor="text2"/>
                <w:sz w:val="20"/>
                <w:szCs w:val="20"/>
              </w:rPr>
            </w:pPr>
          </w:p>
          <w:p w:rsidR="001A6E7E" w:rsidRPr="00BC4069" w:rsidRDefault="001A6E7E" w:rsidP="001A6E7E">
            <w:pPr>
              <w:rPr>
                <w:rFonts w:ascii="Arial" w:hAnsi="Arial" w:cs="Arial"/>
                <w:b w:val="0"/>
                <w:color w:val="1F497D" w:themeColor="text2"/>
                <w:szCs w:val="20"/>
              </w:rPr>
            </w:pPr>
            <w:r w:rsidRPr="00BC4069">
              <w:rPr>
                <w:rFonts w:ascii="Arial" w:hAnsi="Arial" w:cs="Arial"/>
                <w:b w:val="0"/>
                <w:color w:val="1F497D" w:themeColor="text2"/>
                <w:szCs w:val="20"/>
              </w:rPr>
              <w:t xml:space="preserve">Opcija status quo, odnosno odsustvo regulative, nije prihvatljivo, jer </w:t>
            </w:r>
            <w:r w:rsidRPr="00BC4069">
              <w:rPr>
                <w:rFonts w:ascii="Arial" w:hAnsi="Arial" w:cs="Arial"/>
                <w:b w:val="0"/>
                <w:color w:val="1F497D" w:themeColor="text2"/>
                <w:szCs w:val="20"/>
                <w:lang w:val="pl-PL"/>
              </w:rPr>
              <w:t>Uredba (EU) 2015/751</w:t>
            </w:r>
            <w:r w:rsidRPr="00BC4069">
              <w:rPr>
                <w:rFonts w:ascii="Arial" w:hAnsi="Arial" w:cs="Arial"/>
                <w:b w:val="0"/>
                <w:color w:val="1F497D" w:themeColor="text2"/>
                <w:szCs w:val="20"/>
              </w:rPr>
              <w:t xml:space="preserve"> predstavlja obavezan propis EU za sve članice koje su je morale implementirati u nacionalna zakonodastva do 09.06.2016. godine. Imajući u vidu da je Crna Gora u postupku pristupnih pregovoria, usklađivanje sa ovom uredbom je neophodno.</w:t>
            </w:r>
          </w:p>
          <w:p w:rsidR="001A6E7E" w:rsidRPr="00BC4069" w:rsidRDefault="001A6E7E" w:rsidP="001A6E7E">
            <w:pPr>
              <w:rPr>
                <w:rFonts w:ascii="Arial" w:hAnsi="Arial" w:cs="Arial"/>
                <w:b w:val="0"/>
                <w:color w:val="1F497D" w:themeColor="text2"/>
                <w:szCs w:val="20"/>
              </w:rPr>
            </w:pPr>
          </w:p>
          <w:p w:rsidR="001A6E7E" w:rsidRPr="00BC4069" w:rsidRDefault="001A6E7E" w:rsidP="001A6E7E">
            <w:pPr>
              <w:pStyle w:val="NormalWeb"/>
              <w:rPr>
                <w:rFonts w:ascii="Arial" w:hAnsi="Arial" w:cs="Arial"/>
                <w:b w:val="0"/>
                <w:color w:val="1F497D" w:themeColor="text2"/>
                <w:szCs w:val="20"/>
              </w:rPr>
            </w:pPr>
            <w:r w:rsidRPr="00BC4069">
              <w:rPr>
                <w:rFonts w:ascii="Arial" w:hAnsi="Arial" w:cs="Arial"/>
                <w:b w:val="0"/>
                <w:color w:val="1F497D" w:themeColor="text2"/>
                <w:szCs w:val="20"/>
              </w:rPr>
              <w:t>Predloženo je da ovaj zakon stupi na snagu osmog dana od dana objavljivanja u “Službenom listu Crne Gore”, a da se primjenjuje nakon isteka dvije godine dana od dana njegovog stupanja na snagu, čime će se obezbijediti da se svi na koje se ovaj zakon odnosi adekvatno pripreme uz minimalne troškove.</w:t>
            </w:r>
          </w:p>
          <w:p w:rsidR="001A6E7E" w:rsidRPr="00BC4069" w:rsidRDefault="001A6E7E" w:rsidP="001A6E7E">
            <w:pPr>
              <w:pStyle w:val="NormalWeb"/>
              <w:rPr>
                <w:rFonts w:ascii="Arial" w:hAnsi="Arial" w:cs="Arial"/>
                <w:b w:val="0"/>
                <w:color w:val="1F497D" w:themeColor="text2"/>
                <w:szCs w:val="20"/>
              </w:rPr>
            </w:pPr>
          </w:p>
          <w:p w:rsidR="00FB6BD5" w:rsidRPr="00BC4069" w:rsidRDefault="001A6E7E" w:rsidP="0009156F">
            <w:pPr>
              <w:pStyle w:val="NormalWeb"/>
              <w:rPr>
                <w:rFonts w:ascii="Arial" w:hAnsi="Arial" w:cs="Arial"/>
                <w:b w:val="0"/>
                <w:color w:val="1F497D" w:themeColor="text2"/>
                <w:szCs w:val="20"/>
              </w:rPr>
            </w:pPr>
            <w:r w:rsidRPr="00BC4069">
              <w:rPr>
                <w:rFonts w:ascii="Arial" w:hAnsi="Arial" w:cs="Arial"/>
                <w:b w:val="0"/>
                <w:color w:val="1F497D" w:themeColor="text2"/>
                <w:szCs w:val="20"/>
              </w:rPr>
              <w:t>Predloženo je i dodatno privremeno odlaganje primjene propisane visine međubankarske naknade, na način što će pružalac platnih usluga moći, najduže u roku od šest mjeseci od dana početka primjene ovog zakona, nuditi i zahtijevati međubankarsku naknadu za platne transakcije u dvostruko većem procentu od propisanog.</w:t>
            </w:r>
          </w:p>
          <w:p w:rsidR="00893CE2" w:rsidRPr="00BC4069" w:rsidRDefault="00893CE2" w:rsidP="0009156F">
            <w:pPr>
              <w:pStyle w:val="NormalWeb"/>
              <w:rPr>
                <w:rFonts w:ascii="Arial" w:hAnsi="Arial" w:cs="Arial"/>
                <w:b w:val="0"/>
                <w:color w:val="1F497D" w:themeColor="text2"/>
                <w:sz w:val="20"/>
                <w:szCs w:val="20"/>
              </w:rPr>
            </w:pPr>
          </w:p>
        </w:tc>
      </w:tr>
      <w:tr w:rsidR="00282840" w:rsidRPr="00BC4069" w:rsidTr="000511F0">
        <w:trPr>
          <w:cnfStyle w:val="000000100000"/>
        </w:trPr>
        <w:tc>
          <w:tcPr>
            <w:cnfStyle w:val="001000000000"/>
            <w:tcW w:w="9576" w:type="dxa"/>
            <w:gridSpan w:val="2"/>
          </w:tcPr>
          <w:p w:rsidR="00282840" w:rsidRPr="00BC4069" w:rsidRDefault="00282840" w:rsidP="00282840">
            <w:pPr>
              <w:autoSpaceDE w:val="0"/>
              <w:autoSpaceDN w:val="0"/>
              <w:adjustRightInd w:val="0"/>
              <w:rPr>
                <w:rFonts w:ascii="Arial" w:hAnsi="Arial" w:cs="Arial"/>
                <w:b w:val="0"/>
                <w:color w:val="1F497D" w:themeColor="text2"/>
                <w:sz w:val="20"/>
                <w:szCs w:val="20"/>
              </w:rPr>
            </w:pPr>
            <w:r w:rsidRPr="00BC4069">
              <w:rPr>
                <w:rFonts w:ascii="Arial" w:hAnsi="Arial" w:cs="Arial"/>
                <w:color w:val="1F497D" w:themeColor="text2"/>
                <w:sz w:val="20"/>
                <w:szCs w:val="20"/>
              </w:rPr>
              <w:t>4</w:t>
            </w:r>
            <w:r w:rsidR="001D0BF0" w:rsidRPr="00BC4069">
              <w:rPr>
                <w:rFonts w:ascii="Arial" w:hAnsi="Arial" w:cs="Arial"/>
                <w:color w:val="1F497D" w:themeColor="text2"/>
                <w:sz w:val="20"/>
                <w:szCs w:val="20"/>
              </w:rPr>
              <w:t>.</w:t>
            </w:r>
            <w:r w:rsidRPr="00BC4069">
              <w:rPr>
                <w:rFonts w:ascii="Arial" w:hAnsi="Arial" w:cs="Arial"/>
                <w:color w:val="1F497D" w:themeColor="text2"/>
                <w:sz w:val="20"/>
                <w:szCs w:val="20"/>
              </w:rPr>
              <w:t xml:space="preserve"> Analiza uticaja</w:t>
            </w:r>
          </w:p>
          <w:p w:rsidR="00A07773" w:rsidRPr="00BC4069" w:rsidRDefault="00D06D2A" w:rsidP="00A07773">
            <w:pPr>
              <w:pStyle w:val="ListParagraph"/>
              <w:numPr>
                <w:ilvl w:val="0"/>
                <w:numId w:val="13"/>
              </w:numPr>
              <w:autoSpaceDE w:val="0"/>
              <w:autoSpaceDN w:val="0"/>
              <w:adjustRightInd w:val="0"/>
              <w:contextualSpacing/>
              <w:rPr>
                <w:rFonts w:ascii="Arial" w:hAnsi="Arial" w:cs="Arial"/>
                <w:color w:val="1F497D" w:themeColor="text2"/>
                <w:sz w:val="20"/>
                <w:szCs w:val="20"/>
              </w:rPr>
            </w:pPr>
            <w:r w:rsidRPr="00BC4069">
              <w:rPr>
                <w:rFonts w:ascii="Arial" w:hAnsi="Arial" w:cs="Arial"/>
                <w:color w:val="1F497D" w:themeColor="text2"/>
                <w:sz w:val="20"/>
                <w:szCs w:val="20"/>
              </w:rPr>
              <w:t>N</w:t>
            </w:r>
            <w:r w:rsidR="00A07773" w:rsidRPr="00BC4069">
              <w:rPr>
                <w:rFonts w:ascii="Arial" w:hAnsi="Arial" w:cs="Arial"/>
                <w:color w:val="1F497D" w:themeColor="text2"/>
                <w:sz w:val="20"/>
                <w:szCs w:val="20"/>
              </w:rPr>
              <w:t xml:space="preserve">a koga će i kako će najvjerovatnije uticati rješenja u propisu - </w:t>
            </w:r>
            <w:r w:rsidR="00067FCF" w:rsidRPr="00BC4069">
              <w:rPr>
                <w:rFonts w:ascii="Arial" w:hAnsi="Arial" w:cs="Arial"/>
                <w:color w:val="1F497D" w:themeColor="text2"/>
                <w:sz w:val="20"/>
                <w:szCs w:val="20"/>
              </w:rPr>
              <w:t>n</w:t>
            </w:r>
            <w:r w:rsidR="00A07773" w:rsidRPr="00BC4069">
              <w:rPr>
                <w:rFonts w:ascii="Arial" w:hAnsi="Arial" w:cs="Arial"/>
                <w:color w:val="1F497D" w:themeColor="text2"/>
                <w:sz w:val="20"/>
                <w:szCs w:val="20"/>
              </w:rPr>
              <w:t>abrojati pozitivne i negativne uticaje, direktne i indirektne</w:t>
            </w:r>
            <w:r w:rsidRPr="00BC4069">
              <w:rPr>
                <w:rFonts w:ascii="Arial" w:hAnsi="Arial" w:cs="Arial"/>
                <w:color w:val="1F497D" w:themeColor="text2"/>
                <w:sz w:val="20"/>
                <w:szCs w:val="20"/>
              </w:rPr>
              <w:t>.</w:t>
            </w:r>
          </w:p>
          <w:p w:rsidR="00A07773" w:rsidRPr="00BC4069" w:rsidRDefault="00D06D2A" w:rsidP="00A07773">
            <w:pPr>
              <w:pStyle w:val="ListParagraph"/>
              <w:numPr>
                <w:ilvl w:val="0"/>
                <w:numId w:val="13"/>
              </w:numPr>
              <w:autoSpaceDE w:val="0"/>
              <w:autoSpaceDN w:val="0"/>
              <w:adjustRightInd w:val="0"/>
              <w:contextualSpacing/>
              <w:rPr>
                <w:rFonts w:ascii="Arial" w:hAnsi="Arial" w:cs="Arial"/>
                <w:color w:val="1F497D" w:themeColor="text2"/>
                <w:sz w:val="20"/>
                <w:szCs w:val="20"/>
              </w:rPr>
            </w:pPr>
            <w:r w:rsidRPr="00BC4069">
              <w:rPr>
                <w:rFonts w:ascii="Arial" w:hAnsi="Arial" w:cs="Arial"/>
                <w:color w:val="1F497D" w:themeColor="text2"/>
                <w:sz w:val="20"/>
                <w:szCs w:val="20"/>
              </w:rPr>
              <w:t>K</w:t>
            </w:r>
            <w:r w:rsidR="00067FCF" w:rsidRPr="00BC4069">
              <w:rPr>
                <w:rFonts w:ascii="Arial" w:hAnsi="Arial" w:cs="Arial"/>
                <w:color w:val="1F497D" w:themeColor="text2"/>
                <w:sz w:val="20"/>
                <w:szCs w:val="20"/>
              </w:rPr>
              <w:t>oje</w:t>
            </w:r>
            <w:r w:rsidR="00A07773" w:rsidRPr="00BC4069">
              <w:rPr>
                <w:rFonts w:ascii="Arial" w:hAnsi="Arial" w:cs="Arial"/>
                <w:color w:val="1F497D" w:themeColor="text2"/>
                <w:sz w:val="20"/>
                <w:szCs w:val="20"/>
              </w:rPr>
              <w:t xml:space="preserve"> troškove će primjena propisa </w:t>
            </w:r>
            <w:r w:rsidR="00067FCF" w:rsidRPr="00BC4069">
              <w:rPr>
                <w:rFonts w:ascii="Arial" w:hAnsi="Arial" w:cs="Arial"/>
                <w:color w:val="1F497D" w:themeColor="text2"/>
                <w:sz w:val="20"/>
                <w:szCs w:val="20"/>
              </w:rPr>
              <w:t>izazvati</w:t>
            </w:r>
            <w:r w:rsidR="00A07773" w:rsidRPr="00BC4069">
              <w:rPr>
                <w:rFonts w:ascii="Arial" w:hAnsi="Arial" w:cs="Arial"/>
                <w:color w:val="1F497D" w:themeColor="text2"/>
                <w:sz w:val="20"/>
                <w:szCs w:val="20"/>
              </w:rPr>
              <w:t xml:space="preserve"> građanima i privredi (naročito malim i srednjim preduzećima)</w:t>
            </w:r>
            <w:r w:rsidR="0000426F" w:rsidRPr="00BC4069">
              <w:rPr>
                <w:rFonts w:ascii="Arial" w:hAnsi="Arial" w:cs="Arial"/>
                <w:color w:val="1F497D" w:themeColor="text2"/>
                <w:sz w:val="20"/>
                <w:szCs w:val="20"/>
              </w:rPr>
              <w:t>.</w:t>
            </w:r>
          </w:p>
          <w:p w:rsidR="00A07773" w:rsidRPr="00BC4069" w:rsidRDefault="00D06D2A" w:rsidP="00A07773">
            <w:pPr>
              <w:pStyle w:val="ListParagraph"/>
              <w:numPr>
                <w:ilvl w:val="0"/>
                <w:numId w:val="13"/>
              </w:numPr>
              <w:autoSpaceDE w:val="0"/>
              <w:autoSpaceDN w:val="0"/>
              <w:adjustRightInd w:val="0"/>
              <w:contextualSpacing/>
              <w:rPr>
                <w:rFonts w:ascii="Arial" w:hAnsi="Arial" w:cs="Arial"/>
                <w:color w:val="1F497D" w:themeColor="text2"/>
                <w:sz w:val="20"/>
                <w:szCs w:val="20"/>
              </w:rPr>
            </w:pPr>
            <w:r w:rsidRPr="00BC4069">
              <w:rPr>
                <w:rFonts w:ascii="Arial" w:hAnsi="Arial" w:cs="Arial"/>
                <w:color w:val="1F497D" w:themeColor="text2"/>
                <w:sz w:val="20"/>
                <w:szCs w:val="20"/>
              </w:rPr>
              <w:t>D</w:t>
            </w:r>
            <w:r w:rsidR="00A07773" w:rsidRPr="00BC4069">
              <w:rPr>
                <w:rFonts w:ascii="Arial" w:hAnsi="Arial" w:cs="Arial"/>
                <w:color w:val="1F497D" w:themeColor="text2"/>
                <w:sz w:val="20"/>
                <w:szCs w:val="20"/>
              </w:rPr>
              <w:t>a li pozitivne posljedice donošenja propisa opravdava</w:t>
            </w:r>
            <w:r w:rsidR="0000426F" w:rsidRPr="00BC4069">
              <w:rPr>
                <w:rFonts w:ascii="Arial" w:hAnsi="Arial" w:cs="Arial"/>
                <w:color w:val="1F497D" w:themeColor="text2"/>
                <w:sz w:val="20"/>
                <w:szCs w:val="20"/>
              </w:rPr>
              <w:t>ju troškove koje će on stvoriti.</w:t>
            </w:r>
          </w:p>
          <w:p w:rsidR="00A07773" w:rsidRPr="00BC4069" w:rsidRDefault="00D06D2A" w:rsidP="00A07773">
            <w:pPr>
              <w:pStyle w:val="ListParagraph"/>
              <w:numPr>
                <w:ilvl w:val="0"/>
                <w:numId w:val="13"/>
              </w:numPr>
              <w:autoSpaceDE w:val="0"/>
              <w:autoSpaceDN w:val="0"/>
              <w:adjustRightInd w:val="0"/>
              <w:contextualSpacing/>
              <w:rPr>
                <w:rFonts w:ascii="Arial" w:hAnsi="Arial" w:cs="Arial"/>
                <w:b w:val="0"/>
                <w:color w:val="1F497D" w:themeColor="text2"/>
                <w:sz w:val="20"/>
                <w:szCs w:val="20"/>
              </w:rPr>
            </w:pPr>
            <w:r w:rsidRPr="00BC4069">
              <w:rPr>
                <w:rFonts w:ascii="Arial" w:hAnsi="Arial" w:cs="Arial"/>
                <w:color w:val="1F497D" w:themeColor="text2"/>
                <w:sz w:val="20"/>
                <w:szCs w:val="20"/>
              </w:rPr>
              <w:t>D</w:t>
            </w:r>
            <w:r w:rsidR="00A07773" w:rsidRPr="00BC4069">
              <w:rPr>
                <w:rFonts w:ascii="Arial" w:hAnsi="Arial" w:cs="Arial"/>
                <w:color w:val="1F497D" w:themeColor="text2"/>
                <w:sz w:val="20"/>
                <w:szCs w:val="20"/>
              </w:rPr>
              <w:t xml:space="preserve">a li se propisom podržava stvaranje novih privrednih subjekata na tržištu i tržišna </w:t>
            </w:r>
            <w:r w:rsidR="001D0BF0" w:rsidRPr="00BC4069">
              <w:rPr>
                <w:rFonts w:ascii="Arial" w:hAnsi="Arial" w:cs="Arial"/>
                <w:color w:val="1F497D" w:themeColor="text2"/>
                <w:sz w:val="20"/>
                <w:szCs w:val="20"/>
              </w:rPr>
              <w:t>konkurencija</w:t>
            </w:r>
            <w:r w:rsidR="0000426F" w:rsidRPr="00BC4069">
              <w:rPr>
                <w:rFonts w:ascii="Arial" w:hAnsi="Arial" w:cs="Arial"/>
                <w:color w:val="1F497D" w:themeColor="text2"/>
                <w:sz w:val="20"/>
                <w:szCs w:val="20"/>
              </w:rPr>
              <w:t>.</w:t>
            </w:r>
          </w:p>
          <w:p w:rsidR="00A07773" w:rsidRPr="00BC4069" w:rsidRDefault="00D06D2A" w:rsidP="00A07773">
            <w:pPr>
              <w:pStyle w:val="ListParagraph"/>
              <w:numPr>
                <w:ilvl w:val="0"/>
                <w:numId w:val="13"/>
              </w:numPr>
              <w:autoSpaceDE w:val="0"/>
              <w:autoSpaceDN w:val="0"/>
              <w:adjustRightInd w:val="0"/>
              <w:contextualSpacing/>
              <w:rPr>
                <w:rFonts w:ascii="Arial" w:hAnsi="Arial" w:cs="Arial"/>
                <w:color w:val="1F497D" w:themeColor="text2"/>
                <w:sz w:val="20"/>
                <w:szCs w:val="20"/>
              </w:rPr>
            </w:pPr>
            <w:r w:rsidRPr="00BC4069">
              <w:rPr>
                <w:rFonts w:ascii="Arial" w:hAnsi="Arial" w:cs="Arial"/>
                <w:color w:val="1F497D" w:themeColor="text2"/>
                <w:sz w:val="20"/>
                <w:szCs w:val="20"/>
              </w:rPr>
              <w:t>U</w:t>
            </w:r>
            <w:r w:rsidR="001D0BF0" w:rsidRPr="00BC4069">
              <w:rPr>
                <w:rFonts w:ascii="Arial" w:hAnsi="Arial" w:cs="Arial"/>
                <w:color w:val="1F497D" w:themeColor="text2"/>
                <w:sz w:val="20"/>
                <w:szCs w:val="20"/>
              </w:rPr>
              <w:t>ključiti</w:t>
            </w:r>
            <w:r w:rsidR="00A07773" w:rsidRPr="00BC4069">
              <w:rPr>
                <w:rFonts w:ascii="Arial" w:hAnsi="Arial" w:cs="Arial"/>
                <w:color w:val="1F497D" w:themeColor="text2"/>
                <w:sz w:val="20"/>
                <w:szCs w:val="20"/>
              </w:rPr>
              <w:t xml:space="preserve"> procjenu administrativnih opterećenja i biznis barijera.</w:t>
            </w:r>
          </w:p>
          <w:p w:rsidR="00D27C82" w:rsidRPr="00BC4069" w:rsidRDefault="00D27C82" w:rsidP="00D27C82">
            <w:pPr>
              <w:pStyle w:val="ListParagraph"/>
              <w:autoSpaceDE w:val="0"/>
              <w:autoSpaceDN w:val="0"/>
              <w:adjustRightInd w:val="0"/>
              <w:contextualSpacing/>
              <w:rPr>
                <w:rFonts w:ascii="Arial" w:hAnsi="Arial" w:cs="Arial"/>
                <w:color w:val="1F497D" w:themeColor="text2"/>
                <w:sz w:val="20"/>
                <w:szCs w:val="20"/>
              </w:rPr>
            </w:pPr>
          </w:p>
        </w:tc>
      </w:tr>
      <w:tr w:rsidR="00282840" w:rsidRPr="00BC4069" w:rsidTr="000511F0">
        <w:trPr>
          <w:cnfStyle w:val="000000010000"/>
        </w:trPr>
        <w:tc>
          <w:tcPr>
            <w:cnfStyle w:val="001000000000"/>
            <w:tcW w:w="9576" w:type="dxa"/>
            <w:gridSpan w:val="2"/>
          </w:tcPr>
          <w:p w:rsidR="00282840" w:rsidRPr="00BC4069" w:rsidRDefault="00282840" w:rsidP="00282840">
            <w:pPr>
              <w:autoSpaceDE w:val="0"/>
              <w:autoSpaceDN w:val="0"/>
              <w:adjustRightInd w:val="0"/>
              <w:rPr>
                <w:rFonts w:ascii="Arial" w:hAnsi="Arial" w:cs="Arial"/>
                <w:b w:val="0"/>
                <w:color w:val="1F497D" w:themeColor="text2"/>
                <w:sz w:val="20"/>
                <w:szCs w:val="20"/>
              </w:rPr>
            </w:pPr>
          </w:p>
          <w:p w:rsidR="001A6E7E" w:rsidRPr="00BC4069" w:rsidRDefault="001A6E7E" w:rsidP="001A6E7E">
            <w:pPr>
              <w:rPr>
                <w:rFonts w:ascii="Arial" w:hAnsi="Arial" w:cs="Arial"/>
                <w:b w:val="0"/>
                <w:color w:val="1F497D" w:themeColor="text2"/>
              </w:rPr>
            </w:pPr>
            <w:r w:rsidRPr="00BC4069">
              <w:rPr>
                <w:rFonts w:ascii="Arial" w:hAnsi="Arial" w:cs="Arial"/>
                <w:b w:val="0"/>
                <w:color w:val="1F497D" w:themeColor="text2"/>
              </w:rPr>
              <w:t>Za očekivati je da će primjena ovog zakona, ograničavanjem visine međubankarskih naknada, dovesti do nižih trgovačkih naknada, a zatim indirektno i do snižavanja cijena za potrošače. Ovo iz razloga što će se, kroz nižu naknadu koju će plaćati primaoci plaćanja (trgovci) i smanjenje troškova poslovanja, stvoriti uslovi i prostor za niže cijene roba i usluga.</w:t>
            </w:r>
          </w:p>
          <w:p w:rsidR="001A6E7E" w:rsidRPr="00BC4069" w:rsidRDefault="001A6E7E" w:rsidP="001A6E7E">
            <w:pPr>
              <w:rPr>
                <w:rFonts w:ascii="Arial" w:hAnsi="Arial" w:cs="Arial"/>
                <w:b w:val="0"/>
                <w:color w:val="1F497D" w:themeColor="text2"/>
              </w:rPr>
            </w:pPr>
          </w:p>
          <w:p w:rsidR="001A6E7E" w:rsidRPr="00BC4069" w:rsidRDefault="001A6E7E" w:rsidP="001A6E7E">
            <w:pPr>
              <w:rPr>
                <w:rFonts w:ascii="Arial" w:hAnsi="Arial" w:cs="Arial"/>
                <w:b w:val="0"/>
                <w:color w:val="1F497D" w:themeColor="text2"/>
              </w:rPr>
            </w:pPr>
            <w:r w:rsidRPr="00BC4069">
              <w:rPr>
                <w:rFonts w:ascii="Arial" w:hAnsi="Arial" w:cs="Arial"/>
                <w:b w:val="0"/>
                <w:color w:val="1F497D" w:themeColor="text2"/>
              </w:rPr>
              <w:t>Takođe, ograničavanjem visine međubankarskih naknada otvara se prostor za nove pružaoce platnih usluga koji bi na tržištu mogli ponuditi niže naknade primaocima plaćanja, od čega bi u krajnjem pozitivne efekte mogli imati i primaoci plaćanja i potrošači.</w:t>
            </w:r>
          </w:p>
          <w:p w:rsidR="001A6E7E" w:rsidRPr="00BC4069" w:rsidRDefault="001A6E7E" w:rsidP="001A6E7E">
            <w:pPr>
              <w:rPr>
                <w:rFonts w:ascii="Arial" w:hAnsi="Arial" w:cs="Arial"/>
                <w:b w:val="0"/>
                <w:color w:val="1F497D" w:themeColor="text2"/>
              </w:rPr>
            </w:pPr>
          </w:p>
          <w:p w:rsidR="001A6E7E" w:rsidRPr="00BC4069" w:rsidRDefault="001A6E7E" w:rsidP="001A6E7E">
            <w:pPr>
              <w:rPr>
                <w:rFonts w:ascii="Arial" w:hAnsi="Arial" w:cs="Arial"/>
                <w:b w:val="0"/>
                <w:color w:val="1F497D" w:themeColor="text2"/>
                <w:lang w:val="en-US"/>
              </w:rPr>
            </w:pPr>
            <w:r w:rsidRPr="00BC4069">
              <w:rPr>
                <w:rFonts w:ascii="Arial" w:hAnsi="Arial" w:cs="Arial"/>
                <w:b w:val="0"/>
                <w:color w:val="1F497D" w:themeColor="text2"/>
                <w:lang w:val="en-US"/>
              </w:rPr>
              <w:t>Dosadašnja upotreba platnih kartica u Crnoj Gori, kao jednog od instrumenata bezgotovinskog plaćanja, bilježi konstantan rast, kako u pogledu broja izdatih platnih kartica, tako i u pogledu broja transakcija izvršenih na osnovu platnih kartica.</w:t>
            </w:r>
          </w:p>
          <w:p w:rsidR="001A6E7E" w:rsidRPr="00BC4069" w:rsidRDefault="001A6E7E" w:rsidP="001A6E7E">
            <w:pPr>
              <w:ind w:left="630"/>
              <w:rPr>
                <w:rFonts w:ascii="Arial" w:hAnsi="Arial" w:cs="Arial"/>
                <w:b w:val="0"/>
                <w:color w:val="1F497D" w:themeColor="text2"/>
                <w:lang w:val="en-US"/>
              </w:rPr>
            </w:pPr>
          </w:p>
          <w:p w:rsidR="001A6E7E" w:rsidRPr="00BC4069" w:rsidRDefault="001A6E7E" w:rsidP="001A6E7E">
            <w:pPr>
              <w:rPr>
                <w:rFonts w:ascii="Arial" w:hAnsi="Arial" w:cs="Arial"/>
                <w:b w:val="0"/>
                <w:color w:val="1F497D" w:themeColor="text2"/>
                <w:lang w:val="en-US"/>
              </w:rPr>
            </w:pPr>
            <w:r w:rsidRPr="00BC4069">
              <w:rPr>
                <w:rFonts w:ascii="Arial" w:hAnsi="Arial" w:cs="Arial"/>
                <w:b w:val="0"/>
                <w:color w:val="1F497D" w:themeColor="text2"/>
                <w:lang w:val="en-US"/>
              </w:rPr>
              <w:t>Ukupan broj izdatih kartica na kraju 2012. godine iznosio je 356.922, od kojih su 307.249 (86%) bile debitne kartice, a 49.673 (14%) kreditne kartice. Njihov broj je u 2017. godini</w:t>
            </w:r>
            <w:r w:rsidR="00B96EC3" w:rsidRPr="00BC4069">
              <w:rPr>
                <w:rFonts w:ascii="Arial" w:hAnsi="Arial" w:cs="Arial"/>
                <w:b w:val="0"/>
                <w:color w:val="1F497D" w:themeColor="text2"/>
                <w:lang w:val="en-US"/>
              </w:rPr>
              <w:t xml:space="preserve"> narastao na 491.530</w:t>
            </w:r>
            <w:r w:rsidRPr="00BC4069">
              <w:rPr>
                <w:rFonts w:ascii="Arial" w:hAnsi="Arial" w:cs="Arial"/>
                <w:b w:val="0"/>
                <w:color w:val="1F497D" w:themeColor="text2"/>
                <w:lang w:val="en-US"/>
              </w:rPr>
              <w:t>, od kojih su 452.861 (93%) debitne kartice, a 38.669 (7%) kreditne kartice. Primjetan je pad izdatih kreditnih kartica, kao i njihov udio u ukupnom broju platnih kartica. Broj ukupno izdatih platnih kartica u 2017.  godini je veći za 38% u odnosu na 2012. godinu, a 7% u odnosu na 2016. godinu.</w:t>
            </w:r>
          </w:p>
          <w:p w:rsidR="001A6E7E" w:rsidRPr="00BC4069" w:rsidRDefault="001A6E7E" w:rsidP="001A6E7E">
            <w:pPr>
              <w:ind w:left="630"/>
              <w:rPr>
                <w:rFonts w:ascii="Arial" w:hAnsi="Arial" w:cs="Arial"/>
                <w:b w:val="0"/>
                <w:color w:val="1F497D" w:themeColor="text2"/>
                <w:lang w:val="en-US"/>
              </w:rPr>
            </w:pPr>
          </w:p>
          <w:tbl>
            <w:tblPr>
              <w:tblW w:w="9327" w:type="dxa"/>
              <w:tblInd w:w="123" w:type="dxa"/>
              <w:tblLook w:val="04A0"/>
            </w:tblPr>
            <w:tblGrid>
              <w:gridCol w:w="2203"/>
              <w:gridCol w:w="877"/>
              <w:gridCol w:w="878"/>
              <w:gridCol w:w="878"/>
              <w:gridCol w:w="878"/>
              <w:gridCol w:w="878"/>
              <w:gridCol w:w="878"/>
              <w:gridCol w:w="889"/>
              <w:gridCol w:w="878"/>
            </w:tblGrid>
            <w:tr w:rsidR="001A6E7E" w:rsidRPr="00BC4069" w:rsidTr="00375C87">
              <w:trPr>
                <w:trHeight w:val="288"/>
              </w:trPr>
              <w:tc>
                <w:tcPr>
                  <w:tcW w:w="9327" w:type="dxa"/>
                  <w:gridSpan w:val="9"/>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Tabela 2 – Broj izdatih platnih kartica</w:t>
                  </w:r>
                </w:p>
              </w:tc>
            </w:tr>
            <w:tr w:rsidR="001A6E7E" w:rsidRPr="00BC4069" w:rsidTr="00375C87">
              <w:trPr>
                <w:trHeight w:val="288"/>
              </w:trPr>
              <w:tc>
                <w:tcPr>
                  <w:tcW w:w="23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 </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2012</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2013</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2014</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2015</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2016</w:t>
                  </w:r>
                </w:p>
              </w:tc>
              <w:tc>
                <w:tcPr>
                  <w:tcW w:w="839"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2017</w:t>
                  </w:r>
                </w:p>
              </w:tc>
              <w:tc>
                <w:tcPr>
                  <w:tcW w:w="952"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2017/12</w:t>
                  </w:r>
                </w:p>
              </w:tc>
              <w:tc>
                <w:tcPr>
                  <w:tcW w:w="92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2017/16</w:t>
                  </w:r>
                </w:p>
              </w:tc>
            </w:tr>
            <w:tr w:rsidR="001A6E7E" w:rsidRPr="00BC4069" w:rsidTr="00375C87">
              <w:trPr>
                <w:trHeight w:val="288"/>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 Broj izdatih kartica (ukupno)</w:t>
                  </w:r>
                </w:p>
              </w:tc>
              <w:tc>
                <w:tcPr>
                  <w:tcW w:w="864"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356.922</w:t>
                  </w:r>
                </w:p>
              </w:tc>
              <w:tc>
                <w:tcPr>
                  <w:tcW w:w="841"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396.861</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404.305</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428.899</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461.299</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491.530</w:t>
                  </w:r>
                </w:p>
              </w:tc>
              <w:tc>
                <w:tcPr>
                  <w:tcW w:w="952"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138</w:t>
                  </w:r>
                </w:p>
              </w:tc>
              <w:tc>
                <w:tcPr>
                  <w:tcW w:w="925"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107</w:t>
                  </w:r>
                </w:p>
              </w:tc>
            </w:tr>
            <w:tr w:rsidR="001A6E7E" w:rsidRPr="00BC4069" w:rsidTr="00375C87">
              <w:trPr>
                <w:trHeight w:val="288"/>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1.1 .debitnih</w:t>
                  </w:r>
                </w:p>
              </w:tc>
              <w:tc>
                <w:tcPr>
                  <w:tcW w:w="864"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307.249</w:t>
                  </w:r>
                </w:p>
              </w:tc>
              <w:tc>
                <w:tcPr>
                  <w:tcW w:w="841"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347.572</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355.441</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388.657</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421.666</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452.861</w:t>
                  </w:r>
                </w:p>
              </w:tc>
              <w:tc>
                <w:tcPr>
                  <w:tcW w:w="952"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147</w:t>
                  </w:r>
                </w:p>
              </w:tc>
              <w:tc>
                <w:tcPr>
                  <w:tcW w:w="925"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107</w:t>
                  </w:r>
                </w:p>
              </w:tc>
            </w:tr>
            <w:tr w:rsidR="001A6E7E" w:rsidRPr="00BC4069" w:rsidTr="00375C87">
              <w:trPr>
                <w:trHeight w:val="288"/>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1.2. kreditnih</w:t>
                  </w:r>
                </w:p>
              </w:tc>
              <w:tc>
                <w:tcPr>
                  <w:tcW w:w="864"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49.673</w:t>
                  </w:r>
                </w:p>
              </w:tc>
              <w:tc>
                <w:tcPr>
                  <w:tcW w:w="841"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49.289</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48.864</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40.242</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39.633</w:t>
                  </w:r>
                </w:p>
              </w:tc>
              <w:tc>
                <w:tcPr>
                  <w:tcW w:w="83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38.669</w:t>
                  </w:r>
                </w:p>
              </w:tc>
              <w:tc>
                <w:tcPr>
                  <w:tcW w:w="952"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78</w:t>
                  </w:r>
                </w:p>
              </w:tc>
              <w:tc>
                <w:tcPr>
                  <w:tcW w:w="925"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98</w:t>
                  </w:r>
                </w:p>
              </w:tc>
            </w:tr>
          </w:tbl>
          <w:p w:rsidR="001A6E7E" w:rsidRPr="00BC4069" w:rsidRDefault="001A6E7E" w:rsidP="001A6E7E">
            <w:pPr>
              <w:spacing w:after="200" w:line="276" w:lineRule="auto"/>
              <w:jc w:val="left"/>
              <w:rPr>
                <w:rFonts w:ascii="Arial" w:eastAsia="Calibri" w:hAnsi="Arial" w:cs="Arial"/>
                <w:b w:val="0"/>
                <w:bCs w:val="0"/>
                <w:color w:val="1F497D" w:themeColor="text2"/>
                <w:lang w:val="en-US" w:eastAsia="en-US"/>
              </w:rPr>
            </w:pPr>
          </w:p>
          <w:p w:rsidR="001A6E7E" w:rsidRPr="00BC4069" w:rsidRDefault="001A6E7E" w:rsidP="001A6E7E">
            <w:pPr>
              <w:spacing w:after="200" w:line="276" w:lineRule="auto"/>
              <w:jc w:val="left"/>
              <w:rPr>
                <w:rFonts w:ascii="Arial" w:eastAsia="Calibri" w:hAnsi="Arial" w:cs="Arial"/>
                <w:b w:val="0"/>
                <w:bCs w:val="0"/>
                <w:color w:val="1F497D" w:themeColor="text2"/>
                <w:lang w:val="en-US" w:eastAsia="en-US"/>
              </w:rPr>
            </w:pPr>
            <w:r w:rsidRPr="00BC4069">
              <w:rPr>
                <w:rFonts w:ascii="Arial" w:eastAsia="Calibri" w:hAnsi="Arial" w:cs="Arial"/>
                <w:b w:val="0"/>
                <w:noProof/>
                <w:color w:val="1F497D" w:themeColor="text2"/>
                <w:lang w:val="en-US" w:eastAsia="en-US"/>
              </w:rPr>
              <w:t xml:space="preserve">      </w:t>
            </w:r>
            <w:r w:rsidRPr="00BC4069">
              <w:rPr>
                <w:rFonts w:ascii="Arial" w:eastAsia="Calibri" w:hAnsi="Arial" w:cs="Arial"/>
                <w:noProof/>
                <w:color w:val="1F497D" w:themeColor="text2"/>
                <w:lang w:val="en-US" w:eastAsia="en-US"/>
              </w:rPr>
              <w:drawing>
                <wp:inline distT="0" distB="0" distL="0" distR="0">
                  <wp:extent cx="5305425" cy="2066925"/>
                  <wp:effectExtent l="19050" t="0" r="9525" b="0"/>
                  <wp:docPr id="1"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8" cstate="print"/>
                          <a:srcRect/>
                          <a:stretch>
                            <a:fillRect/>
                          </a:stretch>
                        </pic:blipFill>
                        <pic:spPr bwMode="auto">
                          <a:xfrm>
                            <a:off x="0" y="0"/>
                            <a:ext cx="5305425" cy="2066925"/>
                          </a:xfrm>
                          <a:prstGeom prst="rect">
                            <a:avLst/>
                          </a:prstGeom>
                          <a:noFill/>
                          <a:ln w="9525">
                            <a:noFill/>
                            <a:miter lim="800000"/>
                            <a:headEnd/>
                            <a:tailEnd/>
                          </a:ln>
                        </pic:spPr>
                      </pic:pic>
                    </a:graphicData>
                  </a:graphic>
                </wp:inline>
              </w:drawing>
            </w:r>
          </w:p>
          <w:p w:rsidR="001A6E7E" w:rsidRPr="00BC4069" w:rsidRDefault="001A6E7E" w:rsidP="001A6E7E">
            <w:pPr>
              <w:spacing w:before="240" w:after="200" w:line="276" w:lineRule="auto"/>
              <w:rPr>
                <w:rFonts w:ascii="Arial" w:eastAsia="Calibri" w:hAnsi="Arial" w:cs="Arial"/>
                <w:b w:val="0"/>
                <w:bCs w:val="0"/>
                <w:color w:val="1F497D" w:themeColor="text2"/>
                <w:lang w:val="en-US" w:eastAsia="en-US"/>
              </w:rPr>
            </w:pPr>
            <w:r w:rsidRPr="00BC4069">
              <w:rPr>
                <w:rFonts w:ascii="Arial" w:eastAsia="Calibri" w:hAnsi="Arial" w:cs="Arial"/>
                <w:b w:val="0"/>
                <w:bCs w:val="0"/>
                <w:color w:val="1F497D" w:themeColor="text2"/>
                <w:lang w:val="en-US" w:eastAsia="en-US"/>
              </w:rPr>
              <w:t>Ukupan broj platnih transakcija izvršenih preko debitnih i kreditnih kartica takođe ima tendenciju  rasta. Ukupan broj izvršenih transakcija preko debitnih i kreditnih transakcija na kraju 2012. godine iznosio je</w:t>
            </w:r>
            <w:r w:rsidR="00B96EC3" w:rsidRPr="00BC4069">
              <w:rPr>
                <w:rFonts w:ascii="Arial" w:eastAsia="Calibri" w:hAnsi="Arial" w:cs="Arial"/>
                <w:b w:val="0"/>
                <w:bCs w:val="0"/>
                <w:color w:val="1F497D" w:themeColor="text2"/>
                <w:lang w:val="en-US" w:eastAsia="en-US"/>
              </w:rPr>
              <w:t xml:space="preserve"> 6.294.052, od toga 5.206.112 (</w:t>
            </w:r>
            <w:r w:rsidRPr="00BC4069">
              <w:rPr>
                <w:rFonts w:ascii="Arial" w:eastAsia="Calibri" w:hAnsi="Arial" w:cs="Arial"/>
                <w:b w:val="0"/>
                <w:bCs w:val="0"/>
                <w:color w:val="1F497D" w:themeColor="text2"/>
                <w:lang w:val="en-US" w:eastAsia="en-US"/>
              </w:rPr>
              <w:t>83 %) bilo je preko</w:t>
            </w:r>
            <w:r w:rsidR="00B96EC3" w:rsidRPr="00BC4069">
              <w:rPr>
                <w:rFonts w:ascii="Arial" w:eastAsia="Calibri" w:hAnsi="Arial" w:cs="Arial"/>
                <w:b w:val="0"/>
                <w:bCs w:val="0"/>
                <w:color w:val="1F497D" w:themeColor="text2"/>
                <w:lang w:val="en-US" w:eastAsia="en-US"/>
              </w:rPr>
              <w:t xml:space="preserve"> debitnih kartica a 1.087.940 (</w:t>
            </w:r>
            <w:r w:rsidRPr="00BC4069">
              <w:rPr>
                <w:rFonts w:ascii="Arial" w:eastAsia="Calibri" w:hAnsi="Arial" w:cs="Arial"/>
                <w:b w:val="0"/>
                <w:bCs w:val="0"/>
                <w:color w:val="1F497D" w:themeColor="text2"/>
                <w:lang w:val="en-US" w:eastAsia="en-US"/>
              </w:rPr>
              <w:t>17 %) preko kreditnih kartica. Broj transakcija u 2017. godini iznosio je 1</w:t>
            </w:r>
            <w:r w:rsidR="00B96EC3" w:rsidRPr="00BC4069">
              <w:rPr>
                <w:rFonts w:ascii="Arial" w:eastAsia="Calibri" w:hAnsi="Arial" w:cs="Arial"/>
                <w:b w:val="0"/>
                <w:bCs w:val="0"/>
                <w:color w:val="1F497D" w:themeColor="text2"/>
                <w:lang w:val="en-US" w:eastAsia="en-US"/>
              </w:rPr>
              <w:t>6.252.273, od čega 15.044.592 (</w:t>
            </w:r>
            <w:r w:rsidRPr="00BC4069">
              <w:rPr>
                <w:rFonts w:ascii="Arial" w:eastAsia="Calibri" w:hAnsi="Arial" w:cs="Arial"/>
                <w:b w:val="0"/>
                <w:bCs w:val="0"/>
                <w:color w:val="1F497D" w:themeColor="text2"/>
                <w:lang w:val="en-US" w:eastAsia="en-US"/>
              </w:rPr>
              <w:t>93 %) preko debitne kartice a 1.207.681 (7%) preko kreditne kartice. Ukupan broj izvršenih transakcija preko kreditnih i debitnih kartica u 2017. godini porastao je za 158 % u odnosu na 2012., a za 26 % u odnosu na 2016. godinu. U 2017. godini, u odnosu na 2012. godinu, transakcije preko debitnih kartica porasle su za 189%, a preko kreditnih kartica za 11%. U 2017. godini u odnosu na 2016. godinu ukupan broj izvršenih transakcija porastao je 26% od čega 28% preko debitnih kartica a 13% preko kreditnih kartica.</w:t>
            </w:r>
          </w:p>
          <w:tbl>
            <w:tblPr>
              <w:tblW w:w="9177" w:type="dxa"/>
              <w:tblInd w:w="178" w:type="dxa"/>
              <w:tblLook w:val="04A0"/>
            </w:tblPr>
            <w:tblGrid>
              <w:gridCol w:w="1345"/>
              <w:gridCol w:w="980"/>
              <w:gridCol w:w="980"/>
              <w:gridCol w:w="980"/>
              <w:gridCol w:w="1075"/>
              <w:gridCol w:w="1075"/>
              <w:gridCol w:w="1075"/>
              <w:gridCol w:w="836"/>
              <w:gridCol w:w="836"/>
            </w:tblGrid>
            <w:tr w:rsidR="001A6E7E" w:rsidRPr="00BC4069" w:rsidTr="00375C87">
              <w:trPr>
                <w:trHeight w:val="288"/>
              </w:trPr>
              <w:tc>
                <w:tcPr>
                  <w:tcW w:w="9177" w:type="dxa"/>
                  <w:gridSpan w:val="9"/>
                  <w:tcBorders>
                    <w:top w:val="nil"/>
                    <w:left w:val="nil"/>
                    <w:bottom w:val="single" w:sz="4" w:space="0" w:color="auto"/>
                  </w:tcBorders>
                  <w:shd w:val="clear" w:color="auto" w:fill="auto"/>
                  <w:noWrap/>
                  <w:vAlign w:val="bottom"/>
                  <w:hideMark/>
                </w:tcPr>
                <w:p w:rsidR="001A6E7E" w:rsidRPr="00BC4069" w:rsidRDefault="001A6E7E" w:rsidP="00375C87">
                  <w:pPr>
                    <w:jc w:val="left"/>
                    <w:rPr>
                      <w:rFonts w:ascii="Arial" w:hAnsi="Arial" w:cs="Arial"/>
                      <w:color w:val="1F497D" w:themeColor="text2"/>
                      <w:sz w:val="20"/>
                      <w:lang w:val="en-US" w:eastAsia="en-US"/>
                    </w:rPr>
                  </w:pPr>
                  <w:r w:rsidRPr="00BC4069">
                    <w:rPr>
                      <w:rFonts w:ascii="Arial" w:hAnsi="Arial" w:cs="Arial"/>
                      <w:bCs w:val="0"/>
                      <w:color w:val="1F497D" w:themeColor="text2"/>
                      <w:sz w:val="20"/>
                      <w:lang w:val="en-US" w:eastAsia="en-US"/>
                    </w:rPr>
                    <w:t>Tabela 3 -</w:t>
                  </w:r>
                  <w:r w:rsidRPr="00BC4069">
                    <w:rPr>
                      <w:rFonts w:ascii="Arial" w:hAnsi="Arial" w:cs="Arial"/>
                      <w:color w:val="1F497D" w:themeColor="text2"/>
                      <w:sz w:val="20"/>
                      <w:lang w:val="en-US" w:eastAsia="en-US"/>
                    </w:rPr>
                    <w:t>Broj izvršenih transakcija preko debitnih i kreditnih kartica</w:t>
                  </w:r>
                </w:p>
              </w:tc>
            </w:tr>
            <w:tr w:rsidR="001A6E7E" w:rsidRPr="00BC4069" w:rsidTr="00375C87">
              <w:trPr>
                <w:trHeight w:val="288"/>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 </w:t>
                  </w:r>
                </w:p>
              </w:tc>
              <w:tc>
                <w:tcPr>
                  <w:tcW w:w="90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2012</w:t>
                  </w:r>
                </w:p>
              </w:tc>
              <w:tc>
                <w:tcPr>
                  <w:tcW w:w="947"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2013</w:t>
                  </w:r>
                </w:p>
              </w:tc>
              <w:tc>
                <w:tcPr>
                  <w:tcW w:w="928"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2014</w:t>
                  </w:r>
                </w:p>
              </w:tc>
              <w:tc>
                <w:tcPr>
                  <w:tcW w:w="1033"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2015</w:t>
                  </w:r>
                </w:p>
              </w:tc>
              <w:tc>
                <w:tcPr>
                  <w:tcW w:w="1047"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2016</w:t>
                  </w:r>
                </w:p>
              </w:tc>
              <w:tc>
                <w:tcPr>
                  <w:tcW w:w="112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D37E39">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2017</w:t>
                  </w:r>
                </w:p>
              </w:tc>
              <w:tc>
                <w:tcPr>
                  <w:tcW w:w="8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2017/12</w:t>
                  </w:r>
                </w:p>
              </w:tc>
              <w:tc>
                <w:tcPr>
                  <w:tcW w:w="8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2017/16</w:t>
                  </w:r>
                </w:p>
              </w:tc>
            </w:tr>
            <w:tr w:rsidR="001A6E7E" w:rsidRPr="00BC4069" w:rsidTr="00375C87">
              <w:trPr>
                <w:trHeight w:val="288"/>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1.Broj izvrš.transak. (ukupno)</w:t>
                  </w:r>
                </w:p>
              </w:tc>
              <w:tc>
                <w:tcPr>
                  <w:tcW w:w="90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6.294.052</w:t>
                  </w:r>
                </w:p>
              </w:tc>
              <w:tc>
                <w:tcPr>
                  <w:tcW w:w="947"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7.409.582</w:t>
                  </w:r>
                </w:p>
              </w:tc>
              <w:tc>
                <w:tcPr>
                  <w:tcW w:w="928"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9.168.087</w:t>
                  </w:r>
                </w:p>
              </w:tc>
              <w:tc>
                <w:tcPr>
                  <w:tcW w:w="1033"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10.970.151</w:t>
                  </w:r>
                </w:p>
              </w:tc>
              <w:tc>
                <w:tcPr>
                  <w:tcW w:w="1047"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12.856.435</w:t>
                  </w:r>
                </w:p>
              </w:tc>
              <w:tc>
                <w:tcPr>
                  <w:tcW w:w="112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16.252.273</w:t>
                  </w:r>
                </w:p>
              </w:tc>
              <w:tc>
                <w:tcPr>
                  <w:tcW w:w="8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258</w:t>
                  </w:r>
                </w:p>
              </w:tc>
              <w:tc>
                <w:tcPr>
                  <w:tcW w:w="8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126</w:t>
                  </w:r>
                </w:p>
              </w:tc>
            </w:tr>
            <w:tr w:rsidR="001A6E7E" w:rsidRPr="00BC4069" w:rsidTr="00375C87">
              <w:trPr>
                <w:trHeight w:val="288"/>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1A6E7E">
                  <w:pPr>
                    <w:numPr>
                      <w:ilvl w:val="1"/>
                      <w:numId w:val="15"/>
                    </w:num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preko debitnih kartica</w:t>
                  </w:r>
                </w:p>
              </w:tc>
              <w:tc>
                <w:tcPr>
                  <w:tcW w:w="90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5.206.112</w:t>
                  </w:r>
                </w:p>
              </w:tc>
              <w:tc>
                <w:tcPr>
                  <w:tcW w:w="947"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6.302.209</w:t>
                  </w:r>
                </w:p>
              </w:tc>
              <w:tc>
                <w:tcPr>
                  <w:tcW w:w="928"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8.056.526</w:t>
                  </w:r>
                </w:p>
              </w:tc>
              <w:tc>
                <w:tcPr>
                  <w:tcW w:w="1033"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9.930.720</w:t>
                  </w:r>
                </w:p>
              </w:tc>
              <w:tc>
                <w:tcPr>
                  <w:tcW w:w="1047"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11.790.149</w:t>
                  </w:r>
                </w:p>
              </w:tc>
              <w:tc>
                <w:tcPr>
                  <w:tcW w:w="112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15.044.592</w:t>
                  </w:r>
                </w:p>
              </w:tc>
              <w:tc>
                <w:tcPr>
                  <w:tcW w:w="8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289</w:t>
                  </w:r>
                </w:p>
              </w:tc>
              <w:tc>
                <w:tcPr>
                  <w:tcW w:w="8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128</w:t>
                  </w:r>
                </w:p>
              </w:tc>
            </w:tr>
            <w:tr w:rsidR="001A6E7E" w:rsidRPr="00BC4069" w:rsidTr="00375C87">
              <w:trPr>
                <w:trHeight w:val="288"/>
              </w:trPr>
              <w:tc>
                <w:tcPr>
                  <w:tcW w:w="1532" w:type="dxa"/>
                  <w:tcBorders>
                    <w:top w:val="nil"/>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1A6E7E">
                  <w:pPr>
                    <w:numPr>
                      <w:ilvl w:val="1"/>
                      <w:numId w:val="15"/>
                    </w:num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preko kreditnih kartica</w:t>
                  </w:r>
                </w:p>
              </w:tc>
              <w:tc>
                <w:tcPr>
                  <w:tcW w:w="90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1.087.940</w:t>
                  </w:r>
                </w:p>
              </w:tc>
              <w:tc>
                <w:tcPr>
                  <w:tcW w:w="947"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1.107.373</w:t>
                  </w:r>
                </w:p>
              </w:tc>
              <w:tc>
                <w:tcPr>
                  <w:tcW w:w="928"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1.111.561</w:t>
                  </w:r>
                </w:p>
              </w:tc>
              <w:tc>
                <w:tcPr>
                  <w:tcW w:w="1033"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1.039.431</w:t>
                  </w:r>
                </w:p>
              </w:tc>
              <w:tc>
                <w:tcPr>
                  <w:tcW w:w="1047"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1.066.286</w:t>
                  </w:r>
                </w:p>
              </w:tc>
              <w:tc>
                <w:tcPr>
                  <w:tcW w:w="112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1.207.681</w:t>
                  </w:r>
                </w:p>
              </w:tc>
              <w:tc>
                <w:tcPr>
                  <w:tcW w:w="8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111</w:t>
                  </w:r>
                </w:p>
              </w:tc>
              <w:tc>
                <w:tcPr>
                  <w:tcW w:w="8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113</w:t>
                  </w:r>
                </w:p>
              </w:tc>
            </w:tr>
          </w:tbl>
          <w:p w:rsidR="001A6E7E" w:rsidRPr="00BC4069" w:rsidRDefault="001A6E7E" w:rsidP="001A6E7E">
            <w:pPr>
              <w:spacing w:after="200" w:line="276" w:lineRule="auto"/>
              <w:jc w:val="left"/>
              <w:rPr>
                <w:rFonts w:ascii="Arial" w:eastAsia="Calibri" w:hAnsi="Arial" w:cs="Arial"/>
                <w:b w:val="0"/>
                <w:bCs w:val="0"/>
                <w:color w:val="1F497D" w:themeColor="text2"/>
                <w:lang w:val="en-US" w:eastAsia="en-US"/>
              </w:rPr>
            </w:pPr>
          </w:p>
          <w:p w:rsidR="001A6E7E" w:rsidRPr="00BC4069" w:rsidRDefault="001A6E7E" w:rsidP="001A6E7E">
            <w:pPr>
              <w:spacing w:after="200" w:line="276" w:lineRule="auto"/>
              <w:jc w:val="left"/>
              <w:rPr>
                <w:rFonts w:ascii="Arial" w:eastAsia="Calibri" w:hAnsi="Arial" w:cs="Arial"/>
                <w:b w:val="0"/>
                <w:bCs w:val="0"/>
                <w:color w:val="1F497D" w:themeColor="text2"/>
                <w:lang w:val="en-US" w:eastAsia="en-US"/>
              </w:rPr>
            </w:pPr>
            <w:r w:rsidRPr="00BC4069">
              <w:rPr>
                <w:rFonts w:ascii="Arial" w:eastAsia="Calibri" w:hAnsi="Arial" w:cs="Arial"/>
                <w:b w:val="0"/>
                <w:noProof/>
                <w:color w:val="1F497D" w:themeColor="text2"/>
                <w:lang w:val="en-US" w:eastAsia="en-US"/>
              </w:rPr>
              <w:t xml:space="preserve">          </w:t>
            </w:r>
            <w:r w:rsidRPr="00BC4069">
              <w:rPr>
                <w:rFonts w:ascii="Arial" w:eastAsia="Calibri" w:hAnsi="Arial" w:cs="Arial"/>
                <w:noProof/>
                <w:color w:val="1F497D" w:themeColor="text2"/>
                <w:lang w:val="en-US" w:eastAsia="en-US"/>
              </w:rPr>
              <w:drawing>
                <wp:inline distT="0" distB="0" distL="0" distR="0">
                  <wp:extent cx="5324475" cy="1771650"/>
                  <wp:effectExtent l="19050" t="0" r="9525" b="0"/>
                  <wp:docPr id="2" name="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9" cstate="print"/>
                          <a:srcRect/>
                          <a:stretch>
                            <a:fillRect/>
                          </a:stretch>
                        </pic:blipFill>
                        <pic:spPr bwMode="auto">
                          <a:xfrm>
                            <a:off x="0" y="0"/>
                            <a:ext cx="5324475" cy="1771650"/>
                          </a:xfrm>
                          <a:prstGeom prst="rect">
                            <a:avLst/>
                          </a:prstGeom>
                          <a:noFill/>
                          <a:ln w="9525">
                            <a:noFill/>
                            <a:miter lim="800000"/>
                            <a:headEnd/>
                            <a:tailEnd/>
                          </a:ln>
                        </pic:spPr>
                      </pic:pic>
                    </a:graphicData>
                  </a:graphic>
                </wp:inline>
              </w:drawing>
            </w:r>
            <w:r w:rsidRPr="00BC4069">
              <w:rPr>
                <w:rFonts w:ascii="Arial" w:eastAsia="Calibri" w:hAnsi="Arial" w:cs="Arial"/>
                <w:b w:val="0"/>
                <w:bCs w:val="0"/>
                <w:color w:val="1F497D" w:themeColor="text2"/>
                <w:lang w:val="en-US" w:eastAsia="en-US"/>
              </w:rPr>
              <w:t xml:space="preserve">  </w:t>
            </w:r>
          </w:p>
          <w:p w:rsidR="001A6E7E" w:rsidRPr="00BC4069" w:rsidRDefault="001A6E7E" w:rsidP="001A6E7E">
            <w:pPr>
              <w:spacing w:after="200" w:line="276" w:lineRule="auto"/>
              <w:rPr>
                <w:rFonts w:ascii="Arial" w:eastAsia="Calibri" w:hAnsi="Arial" w:cs="Arial"/>
                <w:b w:val="0"/>
                <w:bCs w:val="0"/>
                <w:color w:val="1F497D" w:themeColor="text2"/>
                <w:lang w:val="en-US" w:eastAsia="en-US"/>
              </w:rPr>
            </w:pPr>
            <w:r w:rsidRPr="00BC4069">
              <w:rPr>
                <w:rFonts w:ascii="Arial" w:eastAsia="Calibri" w:hAnsi="Arial" w:cs="Arial"/>
                <w:b w:val="0"/>
                <w:bCs w:val="0"/>
                <w:color w:val="1F497D" w:themeColor="text2"/>
                <w:lang w:val="en-US" w:eastAsia="en-US"/>
              </w:rPr>
              <w:t>U 2017. godini ukupan promet preko debitnih i kreditnih kartica iznosio je 653.247.095 eura, što je 71% više u odnosu na 2012. godinu, a 19% u odnosu na prethodnu godinu. Vrijednost transakcija preko debitnih kartica u 2017. godini iznosila je 578.287.155 eura, što je za 93% više u odnosu na 2012. godinu, a 20% više u odnosu na 2016. godinu. Vrijednost transakcija preko kreditnih kartica bilježi pad od 10% od 2012. godine do 2017. godine, u kojoj je iznosila 74.959.940 eura, a u odnosu na 2016 godinu bilježi se porast  za 14% .</w:t>
            </w:r>
          </w:p>
          <w:tbl>
            <w:tblPr>
              <w:tblW w:w="8910" w:type="dxa"/>
              <w:tblInd w:w="115" w:type="dxa"/>
              <w:tblLook w:val="04A0"/>
            </w:tblPr>
            <w:tblGrid>
              <w:gridCol w:w="1232"/>
              <w:gridCol w:w="1133"/>
              <w:gridCol w:w="1134"/>
              <w:gridCol w:w="1134"/>
              <w:gridCol w:w="1134"/>
              <w:gridCol w:w="1134"/>
              <w:gridCol w:w="1134"/>
              <w:gridCol w:w="583"/>
              <w:gridCol w:w="627"/>
            </w:tblGrid>
            <w:tr w:rsidR="001A6E7E" w:rsidRPr="00BC4069" w:rsidTr="00375C87">
              <w:trPr>
                <w:trHeight w:val="288"/>
              </w:trPr>
              <w:tc>
                <w:tcPr>
                  <w:tcW w:w="8910" w:type="dxa"/>
                  <w:gridSpan w:val="9"/>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 xml:space="preserve">Tabela 3 – </w:t>
                  </w:r>
                  <w:r w:rsidRPr="00BC4069">
                    <w:rPr>
                      <w:rFonts w:ascii="Arial" w:hAnsi="Arial" w:cs="Arial"/>
                      <w:color w:val="1F497D" w:themeColor="text2"/>
                      <w:sz w:val="20"/>
                      <w:lang w:val="en-US" w:eastAsia="en-US"/>
                    </w:rPr>
                    <w:t>Vrijednost izvršenih transakcija preko debitnih i kreditnih kartica</w:t>
                  </w:r>
                </w:p>
              </w:tc>
            </w:tr>
            <w:tr w:rsidR="001A6E7E" w:rsidRPr="00BC4069" w:rsidTr="00375C87">
              <w:trPr>
                <w:trHeight w:val="288"/>
              </w:trPr>
              <w:tc>
                <w:tcPr>
                  <w:tcW w:w="11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2012</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2013</w:t>
                  </w:r>
                </w:p>
              </w:tc>
              <w:tc>
                <w:tcPr>
                  <w:tcW w:w="1131"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2014</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2015</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2016</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2017</w:t>
                  </w:r>
                </w:p>
              </w:tc>
              <w:tc>
                <w:tcPr>
                  <w:tcW w:w="658"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u w:val="single"/>
                      <w:lang w:val="en-US" w:eastAsia="en-US"/>
                    </w:rPr>
                    <w:t>2017</w:t>
                  </w:r>
                </w:p>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2012</w:t>
                  </w:r>
                </w:p>
              </w:tc>
              <w:tc>
                <w:tcPr>
                  <w:tcW w:w="71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u w:val="single"/>
                      <w:lang w:val="en-US" w:eastAsia="en-US"/>
                    </w:rPr>
                  </w:pPr>
                  <w:r w:rsidRPr="00BC4069">
                    <w:rPr>
                      <w:rFonts w:ascii="Arial" w:hAnsi="Arial" w:cs="Arial"/>
                      <w:color w:val="1F497D" w:themeColor="text2"/>
                      <w:sz w:val="20"/>
                      <w:u w:val="single"/>
                      <w:lang w:val="en-US" w:eastAsia="en-US"/>
                    </w:rPr>
                    <w:t>2017</w:t>
                  </w:r>
                </w:p>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2016</w:t>
                  </w:r>
                </w:p>
              </w:tc>
            </w:tr>
            <w:tr w:rsidR="001A6E7E" w:rsidRPr="00BC4069" w:rsidTr="00375C87">
              <w:trPr>
                <w:trHeight w:val="288"/>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1.Vr.transakc. (ukupno)</w:t>
                  </w:r>
                </w:p>
              </w:tc>
              <w:tc>
                <w:tcPr>
                  <w:tcW w:w="1114"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382.393.967</w:t>
                  </w:r>
                </w:p>
              </w:tc>
              <w:tc>
                <w:tcPr>
                  <w:tcW w:w="10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422.784.554</w:t>
                  </w:r>
                </w:p>
              </w:tc>
              <w:tc>
                <w:tcPr>
                  <w:tcW w:w="1131"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470.557.118</w:t>
                  </w:r>
                </w:p>
              </w:tc>
              <w:tc>
                <w:tcPr>
                  <w:tcW w:w="109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534.506.299</w:t>
                  </w:r>
                </w:p>
              </w:tc>
              <w:tc>
                <w:tcPr>
                  <w:tcW w:w="10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547.085.134</w:t>
                  </w:r>
                </w:p>
              </w:tc>
              <w:tc>
                <w:tcPr>
                  <w:tcW w:w="10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653.247.095</w:t>
                  </w:r>
                </w:p>
              </w:tc>
              <w:tc>
                <w:tcPr>
                  <w:tcW w:w="658"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171</w:t>
                  </w:r>
                </w:p>
              </w:tc>
              <w:tc>
                <w:tcPr>
                  <w:tcW w:w="715"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119</w:t>
                  </w:r>
                </w:p>
              </w:tc>
            </w:tr>
            <w:tr w:rsidR="001A6E7E" w:rsidRPr="00BC4069" w:rsidTr="00375C87">
              <w:trPr>
                <w:trHeight w:val="288"/>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1.1.preko debitnih kartica</w:t>
                  </w:r>
                </w:p>
              </w:tc>
              <w:tc>
                <w:tcPr>
                  <w:tcW w:w="1114"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299.438.428</w:t>
                  </w:r>
                </w:p>
              </w:tc>
              <w:tc>
                <w:tcPr>
                  <w:tcW w:w="10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343.585.994</w:t>
                  </w:r>
                </w:p>
              </w:tc>
              <w:tc>
                <w:tcPr>
                  <w:tcW w:w="1131"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395.942.903</w:t>
                  </w:r>
                </w:p>
              </w:tc>
              <w:tc>
                <w:tcPr>
                  <w:tcW w:w="109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466.014.421</w:t>
                  </w:r>
                </w:p>
              </w:tc>
              <w:tc>
                <w:tcPr>
                  <w:tcW w:w="10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481.277.305</w:t>
                  </w:r>
                </w:p>
              </w:tc>
              <w:tc>
                <w:tcPr>
                  <w:tcW w:w="10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578.287.155</w:t>
                  </w:r>
                </w:p>
              </w:tc>
              <w:tc>
                <w:tcPr>
                  <w:tcW w:w="658"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193</w:t>
                  </w:r>
                </w:p>
              </w:tc>
              <w:tc>
                <w:tcPr>
                  <w:tcW w:w="715"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120</w:t>
                  </w:r>
                </w:p>
              </w:tc>
            </w:tr>
            <w:tr w:rsidR="001A6E7E" w:rsidRPr="00BC4069" w:rsidTr="00375C87">
              <w:trPr>
                <w:trHeight w:val="288"/>
              </w:trPr>
              <w:tc>
                <w:tcPr>
                  <w:tcW w:w="1115" w:type="dxa"/>
                  <w:tcBorders>
                    <w:top w:val="nil"/>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1.2.preko kreditnih kartica</w:t>
                  </w:r>
                </w:p>
              </w:tc>
              <w:tc>
                <w:tcPr>
                  <w:tcW w:w="1114"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82.955.540</w:t>
                  </w:r>
                </w:p>
              </w:tc>
              <w:tc>
                <w:tcPr>
                  <w:tcW w:w="10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79.198.559</w:t>
                  </w:r>
                </w:p>
              </w:tc>
              <w:tc>
                <w:tcPr>
                  <w:tcW w:w="1131"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74.614.215</w:t>
                  </w:r>
                </w:p>
              </w:tc>
              <w:tc>
                <w:tcPr>
                  <w:tcW w:w="1099"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68.491.878</w:t>
                  </w:r>
                </w:p>
              </w:tc>
              <w:tc>
                <w:tcPr>
                  <w:tcW w:w="10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65.807.829</w:t>
                  </w:r>
                </w:p>
              </w:tc>
              <w:tc>
                <w:tcPr>
                  <w:tcW w:w="1026"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74.959.940</w:t>
                  </w:r>
                </w:p>
              </w:tc>
              <w:tc>
                <w:tcPr>
                  <w:tcW w:w="658"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90</w:t>
                  </w:r>
                </w:p>
              </w:tc>
              <w:tc>
                <w:tcPr>
                  <w:tcW w:w="715" w:type="dxa"/>
                  <w:tcBorders>
                    <w:top w:val="nil"/>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114</w:t>
                  </w:r>
                </w:p>
              </w:tc>
            </w:tr>
          </w:tbl>
          <w:p w:rsidR="001A6E7E" w:rsidRPr="00BC4069" w:rsidRDefault="001A6E7E" w:rsidP="001A6E7E">
            <w:pPr>
              <w:spacing w:after="200" w:line="276" w:lineRule="auto"/>
              <w:jc w:val="left"/>
              <w:rPr>
                <w:rFonts w:ascii="Arial" w:eastAsia="Calibri" w:hAnsi="Arial" w:cs="Arial"/>
                <w:b w:val="0"/>
                <w:bCs w:val="0"/>
                <w:color w:val="1F497D" w:themeColor="text2"/>
                <w:lang w:val="en-US" w:eastAsia="en-US"/>
              </w:rPr>
            </w:pPr>
          </w:p>
          <w:p w:rsidR="001A6E7E" w:rsidRPr="00BC4069" w:rsidRDefault="001A6E7E" w:rsidP="001A6E7E">
            <w:pPr>
              <w:spacing w:after="200" w:line="276" w:lineRule="auto"/>
              <w:jc w:val="left"/>
              <w:rPr>
                <w:rFonts w:ascii="Arial" w:eastAsia="Calibri" w:hAnsi="Arial" w:cs="Arial"/>
                <w:b w:val="0"/>
                <w:bCs w:val="0"/>
                <w:color w:val="1F497D" w:themeColor="text2"/>
                <w:lang w:val="en-US" w:eastAsia="en-US"/>
              </w:rPr>
            </w:pPr>
            <w:r w:rsidRPr="00BC4069">
              <w:rPr>
                <w:rFonts w:ascii="Arial" w:eastAsia="Calibri" w:hAnsi="Arial" w:cs="Arial"/>
                <w:noProof/>
                <w:color w:val="1F497D" w:themeColor="text2"/>
                <w:lang w:val="en-US" w:eastAsia="en-US"/>
              </w:rPr>
              <w:drawing>
                <wp:inline distT="0" distB="0" distL="0" distR="0">
                  <wp:extent cx="5572125" cy="2457450"/>
                  <wp:effectExtent l="19050" t="0" r="9525" b="0"/>
                  <wp:docPr id="3" name="Chart 3" descr="Title: Vrijednost izvrsenih transakci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descr="Title: Vrijednost izvrsenih transakcija"/>
                          <pic:cNvPicPr>
                            <a:picLocks noChangeArrowheads="1"/>
                          </pic:cNvPicPr>
                        </pic:nvPicPr>
                        <pic:blipFill>
                          <a:blip r:embed="rId10" cstate="print"/>
                          <a:srcRect/>
                          <a:stretch>
                            <a:fillRect/>
                          </a:stretch>
                        </pic:blipFill>
                        <pic:spPr bwMode="auto">
                          <a:xfrm>
                            <a:off x="0" y="0"/>
                            <a:ext cx="5572125" cy="2457450"/>
                          </a:xfrm>
                          <a:prstGeom prst="rect">
                            <a:avLst/>
                          </a:prstGeom>
                          <a:noFill/>
                          <a:ln w="9525">
                            <a:noFill/>
                            <a:miter lim="800000"/>
                            <a:headEnd/>
                            <a:tailEnd/>
                          </a:ln>
                        </pic:spPr>
                      </pic:pic>
                    </a:graphicData>
                  </a:graphic>
                </wp:inline>
              </w:drawing>
            </w:r>
          </w:p>
          <w:p w:rsidR="001A6E7E" w:rsidRPr="00BC4069" w:rsidRDefault="001A6E7E" w:rsidP="001A6E7E">
            <w:pPr>
              <w:spacing w:after="200" w:line="276" w:lineRule="auto"/>
              <w:rPr>
                <w:rFonts w:ascii="Arial" w:eastAsia="Calibri" w:hAnsi="Arial" w:cs="Arial"/>
                <w:b w:val="0"/>
                <w:bCs w:val="0"/>
                <w:color w:val="1F497D" w:themeColor="text2"/>
                <w:lang w:val="en-US" w:eastAsia="en-US"/>
              </w:rPr>
            </w:pPr>
            <w:r w:rsidRPr="00BC4069">
              <w:rPr>
                <w:rFonts w:ascii="Arial" w:eastAsia="Calibri" w:hAnsi="Arial" w:cs="Arial"/>
                <w:b w:val="0"/>
                <w:bCs w:val="0"/>
                <w:color w:val="1F497D" w:themeColor="text2"/>
                <w:lang w:val="en-US" w:eastAsia="en-US"/>
              </w:rPr>
              <w:t>Broj POS terminala na kraju 2017. godine iznosio je 12.215, što je 13% više u odnosu na 2012. godinu, a 5% manje u odnosu na predhodnu. Broj korisnika E-bankinga na kraju 2017. godine iznosio je 79.535, što je 128% više u odnosu na 2012. godinu, a 13% više u odnosu na prethodnu.</w:t>
            </w:r>
          </w:p>
          <w:tbl>
            <w:tblPr>
              <w:tblW w:w="9267" w:type="dxa"/>
              <w:tblInd w:w="93" w:type="dxa"/>
              <w:tblLook w:val="04A0"/>
            </w:tblPr>
            <w:tblGrid>
              <w:gridCol w:w="1850"/>
              <w:gridCol w:w="1076"/>
              <w:gridCol w:w="813"/>
              <w:gridCol w:w="813"/>
              <w:gridCol w:w="813"/>
              <w:gridCol w:w="813"/>
              <w:gridCol w:w="813"/>
              <w:gridCol w:w="1138"/>
              <w:gridCol w:w="1138"/>
            </w:tblGrid>
            <w:tr w:rsidR="001A6E7E" w:rsidRPr="00BC4069" w:rsidTr="00B96EC3">
              <w:trPr>
                <w:trHeight w:val="288"/>
              </w:trPr>
              <w:tc>
                <w:tcPr>
                  <w:tcW w:w="9267" w:type="dxa"/>
                  <w:gridSpan w:val="9"/>
                  <w:tcBorders>
                    <w:top w:val="nil"/>
                    <w:left w:val="nil"/>
                    <w:bottom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color w:val="1F497D" w:themeColor="text2"/>
                      <w:sz w:val="20"/>
                      <w:lang w:val="en-US" w:eastAsia="en-US"/>
                    </w:rPr>
                    <w:t xml:space="preserve">   </w:t>
                  </w:r>
                  <w:r w:rsidRPr="00BC4069">
                    <w:rPr>
                      <w:rFonts w:ascii="Arial" w:hAnsi="Arial" w:cs="Arial"/>
                      <w:bCs w:val="0"/>
                      <w:color w:val="1F497D" w:themeColor="text2"/>
                      <w:sz w:val="20"/>
                      <w:lang w:val="en-US" w:eastAsia="en-US"/>
                    </w:rPr>
                    <w:t xml:space="preserve">Tabela 4 – Broj </w:t>
                  </w:r>
                  <w:r w:rsidRPr="00BC4069">
                    <w:rPr>
                      <w:rFonts w:ascii="Arial" w:hAnsi="Arial" w:cs="Arial"/>
                      <w:color w:val="1F497D" w:themeColor="text2"/>
                      <w:sz w:val="20"/>
                      <w:lang w:val="en-US" w:eastAsia="en-US"/>
                    </w:rPr>
                    <w:t>POS terminala i korisnika e-bankinga</w:t>
                  </w:r>
                </w:p>
              </w:tc>
            </w:tr>
            <w:tr w:rsidR="001A6E7E" w:rsidRPr="00BC4069" w:rsidTr="00B96EC3">
              <w:trPr>
                <w:trHeight w:val="288"/>
              </w:trPr>
              <w:tc>
                <w:tcPr>
                  <w:tcW w:w="18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2012</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2013</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2014</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2015</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2016</w:t>
                  </w:r>
                </w:p>
              </w:tc>
              <w:tc>
                <w:tcPr>
                  <w:tcW w:w="8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2017</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lef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2017/2012</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2017/2016</w:t>
                  </w:r>
                </w:p>
              </w:tc>
            </w:tr>
            <w:tr w:rsidR="001A6E7E" w:rsidRPr="00BC4069" w:rsidTr="00B96EC3">
              <w:trPr>
                <w:trHeight w:val="288"/>
              </w:trPr>
              <w:tc>
                <w:tcPr>
                  <w:tcW w:w="1892" w:type="dxa"/>
                  <w:tcBorders>
                    <w:top w:val="single" w:sz="4" w:space="0" w:color="auto"/>
                    <w:left w:val="single" w:sz="4" w:space="0" w:color="auto"/>
                    <w:bottom w:val="single" w:sz="4" w:space="0" w:color="auto"/>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Broj POS terminala</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10.779</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11.111</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12.784</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11.394</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12.829</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12.215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113</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95</w:t>
                  </w:r>
                </w:p>
              </w:tc>
            </w:tr>
            <w:tr w:rsidR="001A6E7E" w:rsidRPr="00BC4069" w:rsidTr="00B96EC3">
              <w:trPr>
                <w:trHeight w:val="288"/>
              </w:trPr>
              <w:tc>
                <w:tcPr>
                  <w:tcW w:w="1892" w:type="dxa"/>
                  <w:tcBorders>
                    <w:top w:val="single" w:sz="4" w:space="0" w:color="auto"/>
                    <w:left w:val="single" w:sz="4" w:space="0" w:color="auto"/>
                    <w:bottom w:val="single" w:sz="4" w:space="0" w:color="auto"/>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r w:rsidRPr="00BC4069">
                    <w:rPr>
                      <w:rFonts w:ascii="Arial" w:hAnsi="Arial" w:cs="Arial"/>
                      <w:bCs w:val="0"/>
                      <w:color w:val="1F497D" w:themeColor="text2"/>
                      <w:sz w:val="20"/>
                      <w:lang w:val="en-US" w:eastAsia="en-US"/>
                    </w:rPr>
                    <w:t>Broj korisnika E-bankinga</w:t>
                  </w:r>
                </w:p>
              </w:tc>
              <w:tc>
                <w:tcPr>
                  <w:tcW w:w="10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34.811</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48.215</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62.991</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77.197</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70.585</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right"/>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79.535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228</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1A6E7E" w:rsidRPr="00BC4069" w:rsidRDefault="001A6E7E" w:rsidP="00375C87">
                  <w:pPr>
                    <w:jc w:val="center"/>
                    <w:rPr>
                      <w:rFonts w:ascii="Arial" w:hAnsi="Arial" w:cs="Arial"/>
                      <w:color w:val="1F497D" w:themeColor="text2"/>
                      <w:sz w:val="20"/>
                      <w:lang w:val="en-US" w:eastAsia="en-US"/>
                    </w:rPr>
                  </w:pPr>
                  <w:r w:rsidRPr="00BC4069">
                    <w:rPr>
                      <w:rFonts w:ascii="Arial" w:hAnsi="Arial" w:cs="Arial"/>
                      <w:color w:val="1F497D" w:themeColor="text2"/>
                      <w:sz w:val="20"/>
                      <w:lang w:val="en-US" w:eastAsia="en-US"/>
                    </w:rPr>
                    <w:t>113</w:t>
                  </w:r>
                </w:p>
              </w:tc>
            </w:tr>
            <w:tr w:rsidR="001A6E7E" w:rsidRPr="00BC4069" w:rsidTr="00B96EC3">
              <w:trPr>
                <w:trHeight w:val="288"/>
              </w:trPr>
              <w:tc>
                <w:tcPr>
                  <w:tcW w:w="1892" w:type="dxa"/>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p>
              </w:tc>
              <w:tc>
                <w:tcPr>
                  <w:tcW w:w="1098" w:type="dxa"/>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p>
              </w:tc>
              <w:tc>
                <w:tcPr>
                  <w:tcW w:w="805" w:type="dxa"/>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p>
              </w:tc>
              <w:tc>
                <w:tcPr>
                  <w:tcW w:w="805" w:type="dxa"/>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p>
              </w:tc>
              <w:tc>
                <w:tcPr>
                  <w:tcW w:w="805" w:type="dxa"/>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p>
              </w:tc>
              <w:tc>
                <w:tcPr>
                  <w:tcW w:w="805" w:type="dxa"/>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p>
              </w:tc>
              <w:tc>
                <w:tcPr>
                  <w:tcW w:w="805" w:type="dxa"/>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p>
              </w:tc>
              <w:tc>
                <w:tcPr>
                  <w:tcW w:w="1126" w:type="dxa"/>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p>
              </w:tc>
              <w:tc>
                <w:tcPr>
                  <w:tcW w:w="1126" w:type="dxa"/>
                  <w:tcBorders>
                    <w:top w:val="nil"/>
                    <w:left w:val="nil"/>
                    <w:bottom w:val="nil"/>
                    <w:right w:val="nil"/>
                  </w:tcBorders>
                  <w:shd w:val="clear" w:color="auto" w:fill="auto"/>
                  <w:noWrap/>
                  <w:vAlign w:val="bottom"/>
                  <w:hideMark/>
                </w:tcPr>
                <w:p w:rsidR="001A6E7E" w:rsidRPr="00BC4069" w:rsidRDefault="001A6E7E" w:rsidP="00375C87">
                  <w:pPr>
                    <w:jc w:val="left"/>
                    <w:rPr>
                      <w:rFonts w:ascii="Arial" w:hAnsi="Arial" w:cs="Arial"/>
                      <w:bCs w:val="0"/>
                      <w:color w:val="1F497D" w:themeColor="text2"/>
                      <w:sz w:val="20"/>
                      <w:lang w:val="en-US" w:eastAsia="en-US"/>
                    </w:rPr>
                  </w:pPr>
                </w:p>
              </w:tc>
            </w:tr>
          </w:tbl>
          <w:p w:rsidR="001A6E7E" w:rsidRPr="00BC4069" w:rsidRDefault="001A6E7E" w:rsidP="001A6E7E">
            <w:pPr>
              <w:spacing w:after="200" w:line="276" w:lineRule="auto"/>
              <w:jc w:val="left"/>
              <w:rPr>
                <w:rFonts w:ascii="Arial" w:eastAsia="Calibri" w:hAnsi="Arial" w:cs="Arial"/>
                <w:b w:val="0"/>
                <w:bCs w:val="0"/>
                <w:color w:val="1F497D" w:themeColor="text2"/>
                <w:lang w:val="en-US" w:eastAsia="en-US"/>
              </w:rPr>
            </w:pPr>
          </w:p>
          <w:p w:rsidR="001A6E7E" w:rsidRPr="00BC4069" w:rsidRDefault="001A6E7E" w:rsidP="001A6E7E">
            <w:pPr>
              <w:spacing w:after="200" w:line="276" w:lineRule="auto"/>
              <w:jc w:val="left"/>
              <w:rPr>
                <w:rFonts w:ascii="Arial" w:eastAsia="Calibri" w:hAnsi="Arial" w:cs="Arial"/>
                <w:b w:val="0"/>
                <w:bCs w:val="0"/>
                <w:color w:val="1F497D" w:themeColor="text2"/>
                <w:lang w:val="en-US" w:eastAsia="en-US"/>
              </w:rPr>
            </w:pPr>
            <w:r w:rsidRPr="00BC4069">
              <w:rPr>
                <w:rFonts w:ascii="Arial" w:hAnsi="Arial" w:cs="Arial"/>
                <w:b w:val="0"/>
                <w:color w:val="1F497D" w:themeColor="text2"/>
              </w:rPr>
              <w:t xml:space="preserve">            </w:t>
            </w:r>
            <w:r w:rsidRPr="00BC4069">
              <w:rPr>
                <w:rFonts w:ascii="Arial" w:eastAsia="Calibri" w:hAnsi="Arial" w:cs="Arial"/>
                <w:noProof/>
                <w:color w:val="1F497D" w:themeColor="text2"/>
                <w:lang w:val="en-US" w:eastAsia="en-US"/>
              </w:rPr>
              <w:drawing>
                <wp:inline distT="0" distB="0" distL="0" distR="0">
                  <wp:extent cx="4724400" cy="1628775"/>
                  <wp:effectExtent l="0" t="0" r="0" b="0"/>
                  <wp:docPr id="4"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6E7E" w:rsidRPr="00BC4069" w:rsidRDefault="001A6E7E" w:rsidP="001A6E7E">
            <w:pPr>
              <w:rPr>
                <w:rFonts w:ascii="Arial" w:hAnsi="Arial" w:cs="Arial"/>
                <w:b w:val="0"/>
                <w:color w:val="1F497D" w:themeColor="text2"/>
              </w:rPr>
            </w:pPr>
          </w:p>
          <w:p w:rsidR="001A6E7E" w:rsidRPr="00BC4069" w:rsidRDefault="001A6E7E" w:rsidP="001A6E7E">
            <w:pPr>
              <w:rPr>
                <w:rFonts w:ascii="Arial" w:hAnsi="Arial" w:cs="Arial"/>
                <w:b w:val="0"/>
                <w:color w:val="1F497D" w:themeColor="text2"/>
              </w:rPr>
            </w:pPr>
            <w:r w:rsidRPr="00BC4069">
              <w:rPr>
                <w:rFonts w:ascii="Arial" w:hAnsi="Arial" w:cs="Arial"/>
                <w:b w:val="0"/>
                <w:color w:val="1F497D" w:themeColor="text2"/>
              </w:rPr>
              <w:t>Tokom pripreme zakona, Centralna banke je, u avgustu 2018. godine, sprovela analizu visine međubankarskih naknada, koja je pokazala veliku razliku u visini ovih naknada kod pojedinih banaka - od 0,3% do 2,6%. Postojeća razlika u međubankarskim naknadama i njihova visina imaju negativan uticaj kako na potrošača, tako i na primaoce plaćanja i sprječava inovacije.</w:t>
            </w:r>
          </w:p>
          <w:p w:rsidR="001A6E7E" w:rsidRPr="00BC4069" w:rsidRDefault="001A6E7E" w:rsidP="001A6E7E">
            <w:pPr>
              <w:ind w:left="630"/>
              <w:rPr>
                <w:rFonts w:ascii="Arial" w:hAnsi="Arial" w:cs="Arial"/>
                <w:b w:val="0"/>
                <w:color w:val="1F497D" w:themeColor="text2"/>
              </w:rPr>
            </w:pPr>
          </w:p>
          <w:p w:rsidR="001A6E7E" w:rsidRPr="00BC4069" w:rsidRDefault="001A6E7E" w:rsidP="001A6E7E">
            <w:pPr>
              <w:rPr>
                <w:rFonts w:ascii="Arial" w:hAnsi="Arial" w:cs="Arial"/>
                <w:b w:val="0"/>
                <w:color w:val="1F497D" w:themeColor="text2"/>
              </w:rPr>
            </w:pPr>
            <w:r w:rsidRPr="00BC4069">
              <w:rPr>
                <w:rFonts w:ascii="Arial" w:hAnsi="Arial" w:cs="Arial"/>
                <w:noProof/>
                <w:color w:val="1F497D" w:themeColor="text2"/>
                <w:lang w:val="en-US" w:eastAsia="en-US"/>
              </w:rPr>
              <w:drawing>
                <wp:anchor distT="0" distB="0" distL="114300" distR="114300" simplePos="0" relativeHeight="251660288" behindDoc="1" locked="0" layoutInCell="1" allowOverlap="1">
                  <wp:simplePos x="0" y="0"/>
                  <wp:positionH relativeFrom="column">
                    <wp:posOffset>-4445</wp:posOffset>
                  </wp:positionH>
                  <wp:positionV relativeFrom="paragraph">
                    <wp:posOffset>194945</wp:posOffset>
                  </wp:positionV>
                  <wp:extent cx="5969635" cy="1090295"/>
                  <wp:effectExtent l="1905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969635" cy="1090295"/>
                          </a:xfrm>
                          <a:prstGeom prst="rect">
                            <a:avLst/>
                          </a:prstGeom>
                          <a:noFill/>
                          <a:ln w="9525">
                            <a:noFill/>
                            <a:miter lim="800000"/>
                            <a:headEnd/>
                            <a:tailEnd/>
                          </a:ln>
                        </pic:spPr>
                      </pic:pic>
                    </a:graphicData>
                  </a:graphic>
                </wp:anchor>
              </w:drawing>
            </w:r>
            <w:r w:rsidRPr="00BC4069">
              <w:rPr>
                <w:rFonts w:ascii="Arial" w:hAnsi="Arial" w:cs="Arial"/>
                <w:b w:val="0"/>
                <w:color w:val="1F497D" w:themeColor="text2"/>
              </w:rPr>
              <w:t>Tabela 1 – Visina provizije-naknade</w:t>
            </w:r>
          </w:p>
          <w:p w:rsidR="001A6E7E" w:rsidRPr="00BC4069" w:rsidRDefault="001A6E7E" w:rsidP="001A6E7E">
            <w:pPr>
              <w:rPr>
                <w:rFonts w:ascii="Arial" w:hAnsi="Arial" w:cs="Arial"/>
                <w:b w:val="0"/>
                <w:color w:val="1F497D" w:themeColor="text2"/>
              </w:rPr>
            </w:pPr>
          </w:p>
          <w:p w:rsid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Iz tabele se može utvrditi da se visina trgovačke naknade (naknada koju primalac plaćanja plaća banci prihvatiocu, u vezi sa platnom transakcijom, na osnovu platne kartice) kreće se u intervalu od 0,9% do 3.00%.</w:t>
            </w:r>
          </w:p>
          <w:p w:rsidR="00AB78BE" w:rsidRPr="00BC4069" w:rsidRDefault="00AB78BE"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Najmanja vrijednost trgovačke naknade kreće se od 0,9% do 1,5%, prosječna vrijednost od 1,84% do 2,35%, dok je najveća vrijednost ujednačena kod svih banaka i iznosi 3%.</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Visina međubankarske naknade (naknada uključuje neto naknadu ili drugu dogovorenu naknadu, koja se neposredno ili posredno plaća za platnu transakciju na osnovu platne kartice između banke izdavaoca i banke prihvatioca) kreće se od 0,3% do 2,6%. Međubankarska provizija se kreće od 0,3% do 0,8% za najnižu vrijednost, od 1,10% do 1.64% za prosječnu vrijednost i od 1.90% do 2,60% za najveću vrijednost.</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Visina naknade kartične platne šeme, odnosno naknada koju kartična organizacija (npr. Master Card, Visa) naplaćuju banci prihvatiocu za korišćenje njihove mreže za realiz</w:t>
            </w:r>
            <w:r w:rsidR="008275CE">
              <w:rPr>
                <w:rFonts w:ascii="Arial" w:hAnsi="Arial" w:cs="Arial"/>
                <w:b w:val="0"/>
                <w:color w:val="1F497D" w:themeColor="text2"/>
                <w:lang w:val="en-US"/>
              </w:rPr>
              <w:t xml:space="preserve">aciju transakcije, kreće se od </w:t>
            </w:r>
            <w:r w:rsidRPr="00BC4069">
              <w:rPr>
                <w:rFonts w:ascii="Arial" w:hAnsi="Arial" w:cs="Arial"/>
                <w:b w:val="0"/>
                <w:color w:val="1F497D" w:themeColor="text2"/>
                <w:lang w:val="en-US"/>
              </w:rPr>
              <w:t>0,008% do 1%. Najniži troškovi trgovačke kartične platne šeme kreću se od 0,008% do 0,10%, od 0,32% do 0,60% za prosječnu vrijednost, a od 0,5 do 1% za najveću.</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Troškovi procesora imaju najveći ras</w:t>
            </w:r>
            <w:r w:rsidR="007D44F5">
              <w:rPr>
                <w:rFonts w:ascii="Arial" w:hAnsi="Arial" w:cs="Arial"/>
                <w:b w:val="0"/>
                <w:color w:val="1F497D" w:themeColor="text2"/>
                <w:lang w:val="en-US"/>
              </w:rPr>
              <w:t xml:space="preserve">pon i kreću se od 0,025 eura do </w:t>
            </w:r>
            <w:r w:rsidRPr="00BC4069">
              <w:rPr>
                <w:rFonts w:ascii="Arial" w:hAnsi="Arial" w:cs="Arial"/>
                <w:b w:val="0"/>
                <w:color w:val="1F497D" w:themeColor="text2"/>
                <w:lang w:val="en-US"/>
              </w:rPr>
              <w:t xml:space="preserve">3 eura. </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Ako se ima u vidu da su osnovni ciljevi donošenja ovog zakona da se korisnicima platnih usluga obezbijede sigurna, nesmetana i inovativna elektronska plaćanja uklanjanjem prepreka za djelotvorno funkcionisanje tržišta platnih kartica, kao i da se, kada su potrošači u pitanju, riješi problem visokih i različitih međubankarskih naknada na osnovu platnih kartica, razvoj bezgotovinskih plaćanja i smanjenje sive ekonomije, onda se može očekivati da će usvajanje i primjena ovog zakona dati pozitivan doprinos svim akterima, odnosno društvu u cjelini.</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Pored gore navedenog i smanjenja troškova prihvatanja plaćanja platnim karticama koje primaoci plaćanja imaju prema bankama, predložena rješenja, imaće pozitivan uticaj i na to što će primaoci plaćanja imati povoljniji položaj prilikom zaključivanja ugovora sa prihvatiocem plaćanja. Takođe, primaoci plaćanja mogu da odluče da ne prihvataju sve kartice ili druge platne instrumente određene kartične šeme, jer je propisano da će moći da prihvataju one platne kartice koje podrazumijevaju niže troškove.</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Očekuje se da će predložena rješenja doprinijeti da se zaštite i stimulišu “mali i srednji” primaoci plaćanja, koji u dosadašnjim uslovima nijesu bili u situaciji da imaju dobru pregovaračku moć, i na taj način će uticati na razvoj bezgotovinskih plaćanja u zemlji.</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Primjena ovog zakona neće izazvati troškove građanima i privredi (naročito malim i srednjim preduzećima), jer se očekuje  da će rješenja u ovom zakonu imati pozitivan uticaj na građane i primaoce plaćanja, kroz smanjenje troškova. Naime, ovaj zakon ograničava visinu međubankarske naknade na iznos koji je niži od iznosa koji je trenutno aktuelan na tržištu. Imajući u vidu da značajan dio trgovačke naknade čini međubankarska naknada, za očekivati je da će se i umanjiti troškovi prihvatanja platnih kartica koje primaoci plaćanja imaju prema bankama, definisani kroz trgovačku naknadu. Primaoci plaćanja mogu da odluče da ne prihvataju sve kartice ili druge platne instrumente određene kartične šeme, jer je odredbama zakona propisano da će moći da prihvataju one platne kartice koje podrazumijevaju niže troškove.</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Primjenom ovog zakona u dijelu ograničenja visine međubankarske naknade otvara se prostor za nove pružaoce platnih usluga, koji bi na tržistu mogli ponuditi niže naknade primaocima plaćanja, od čega bi u krajnjem pozitivne efekte mogli imati kako primaoci plaćanja tako i potrošaci.</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 xml:space="preserve">Imajući u vidu efekte snižavanja međubankarskih naknada na prihode pružalaca platnih usluga, razumno je očekivati da pružalac platnih usluga sagleda svoje poslovne modele u dijelu poslovanja sa platnim karticama, kao i svoje prihode i rashode po osnovu tog segmenta poslovanja, jer će taj segment biti izložen uticaju rješenja iz ovog zakona. Prilikom pripreme zakona, strogo se vodilo računa o tome da se pružaocima platnih usluga da dovoljno vremena kako bi svoje poslovne modele prilagodili ovom zakonu. S tim u vezi predviđeno je da zakon počne da se primjenjuje dvije godine od njegovog stupanja na snagu (procjenjuje se da primjena zakona može početi tek 2022. godine), kao i da pružalac platnih usluga može za prvih šest mjeseci od dana početka primjene ovog zakona nuditi međubankarsku naknadu za transakcije debitnom karticom u iznosu od 0,4%, a za transakcije kreditnom karticom u iznosu od 0,6%. </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U postupku prireme ovog zakona otvoreno je i pitanje da li će i kolike troškove izazavati primjena ovog kod banaka, kao pružalaca platnih usluga koje su najveći izdavaoci i prihvatioci platnih kartica u Crnoj Gori. S tim u vezi, sa bankama je obavljeno više konsusltativnih sastanaka, na kojima su banke prvenstveno tražile odlaganje početka primjene ovog zakona, kako bi u primjerenom roku svoje poslovanje prilagodile ovom zakonu na način da umanje ili potpuno eliminišu eventualne negativne uticaje primjene ovog zakona na njihovo poslovanje. Tom prilikom su banke tražile da se primjena ovog zakona odloži do 01.01.2020. godine, ali se ovim zakonom predlaže i duži rok – do 2022. godine. Imajući u vidu dugi rok do početka primjene ovog zakona, u ovom trenutku nije bilo moguće tačno utvrditi eventualne troškove koje bi mogla izazvati primjena ovog zakona kod banaka, posebno imajući u vidu da se, saglasno kontnom okviru za banke, prihodi od platnih kartica vode zbirno i ne mogu se pojedinačno izdvojiti prihodi po osnovu međubankarskih naknada, kao i da u ovom trenutku nije moguće predvidjeti obim platnih transakcija platnim karticama 2022. godine kada se predviđa početak primjene ovog zakona.</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Ipak, za očekivati je da će srednjeročni i dugoročni efekti predloženih rješenja biti takvi da će se pojačati konkurencija banaka na strani prihvatanja platnih kartica i da će na taj način doći do povećanja broja POS terminala i broja platnih transakcija tim karticama, čime će se nadoknaditi eventualni manji prihodi banaka po osnovu međubankarskih naknada u početnom periodu primjene ovog zakona ili će se njihovi ukupni prihodi od poslovanja platnim karticama čak i povećati usljed efekta ekonomije obima.</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Donošenje ovog zakona i sama primjena njegovih odredbi koje se odnose na ograničavanje visine međubankarskih naknada, podstiče tržišnu konkurenciju, na način što otvara mogućnost da se na tržište uključe novi pružaoci platnih usluga, koji bi primaocima plaćanja ponudili niže naknade, od čega korist mogu imati kako primaoci plaćanja, tako i potrošači.</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Zaposleni u Centralnoj banci koji rade poslove kontrole poslovanja kreditnih institucija, platnih institucija i institucija elektronskog novca na način i u postupku koji je propisan zakonom kojim se uređuje poslovanje kreditnih institucija i zakonom kojim se uređuje platni promet, radiće i kontrolu nad primjenom ovog zakona, kao i kontrolu poslovanja kartičnih platnih šema, izvršilaca obrade (procesora) i drugih pružalaca tehničkih usluga, pa po ovoj stavci neće doći do materijalnih opterećenja Centralne banke.</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rPr>
                <w:rFonts w:ascii="Arial" w:hAnsi="Arial" w:cs="Arial"/>
                <w:b w:val="0"/>
                <w:color w:val="1F497D" w:themeColor="text2"/>
                <w:lang w:val="en-US"/>
              </w:rPr>
            </w:pPr>
            <w:r w:rsidRPr="00BC4069">
              <w:rPr>
                <w:rFonts w:ascii="Arial" w:hAnsi="Arial" w:cs="Arial"/>
                <w:b w:val="0"/>
                <w:color w:val="1F497D" w:themeColor="text2"/>
                <w:lang w:val="en-US"/>
              </w:rPr>
              <w:t>Nadzor nad primjenom odredbi ovog zakona i inspekcijski nadzor koji se odnose na trgovce kao primaoce plaćanja vršiće nadležni organi određeni zakonom kojim se uređuje zaštita potrošača.</w:t>
            </w:r>
          </w:p>
          <w:p w:rsidR="00BC4069" w:rsidRPr="00BC4069" w:rsidRDefault="00BC4069" w:rsidP="00BC4069">
            <w:pPr>
              <w:rPr>
                <w:rFonts w:ascii="Arial" w:hAnsi="Arial" w:cs="Arial"/>
                <w:b w:val="0"/>
                <w:color w:val="1F497D" w:themeColor="text2"/>
                <w:lang w:val="en-US"/>
              </w:rPr>
            </w:pPr>
          </w:p>
          <w:p w:rsidR="00BC4069" w:rsidRPr="00BC4069" w:rsidRDefault="00BC4069" w:rsidP="00BC4069">
            <w:pPr>
              <w:autoSpaceDE w:val="0"/>
              <w:autoSpaceDN w:val="0"/>
              <w:adjustRightInd w:val="0"/>
              <w:rPr>
                <w:rFonts w:ascii="Arial" w:hAnsi="Arial" w:cs="Arial"/>
                <w:b w:val="0"/>
                <w:color w:val="1F497D" w:themeColor="text2"/>
                <w:lang w:val="en-US"/>
              </w:rPr>
            </w:pPr>
            <w:r w:rsidRPr="00BC4069">
              <w:rPr>
                <w:rFonts w:ascii="Arial" w:hAnsi="Arial" w:cs="Arial"/>
                <w:b w:val="0"/>
                <w:color w:val="1F497D" w:themeColor="text2"/>
                <w:lang w:val="en-US"/>
              </w:rPr>
              <w:t>U odnosu na pripremu podzakonskih akata Centralna banka neće imati posebnih izdataka, jer će se propisi donijeti u okviru organizacionih jedinica koje se inače bave ovim poslovima.</w:t>
            </w:r>
          </w:p>
          <w:p w:rsidR="00AA117E" w:rsidRPr="00BC4069" w:rsidRDefault="005D3B82" w:rsidP="00BC4069">
            <w:pPr>
              <w:autoSpaceDE w:val="0"/>
              <w:autoSpaceDN w:val="0"/>
              <w:adjustRightInd w:val="0"/>
              <w:rPr>
                <w:rFonts w:ascii="Arial" w:hAnsi="Arial" w:cs="Arial"/>
                <w:b w:val="0"/>
                <w:color w:val="1F497D" w:themeColor="text2"/>
                <w:sz w:val="20"/>
                <w:szCs w:val="20"/>
              </w:rPr>
            </w:pPr>
            <w:r w:rsidRPr="00BC4069">
              <w:rPr>
                <w:rFonts w:ascii="Arial" w:hAnsi="Arial" w:cs="Arial"/>
                <w:b w:val="0"/>
                <w:color w:val="1F497D" w:themeColor="text2"/>
                <w:sz w:val="20"/>
                <w:szCs w:val="20"/>
              </w:rPr>
              <w:t xml:space="preserve">   </w:t>
            </w:r>
          </w:p>
        </w:tc>
      </w:tr>
      <w:tr w:rsidR="00702CFF" w:rsidRPr="00BC4069" w:rsidTr="000511F0">
        <w:trPr>
          <w:cnfStyle w:val="000000100000"/>
        </w:trPr>
        <w:tc>
          <w:tcPr>
            <w:cnfStyle w:val="001000000000"/>
            <w:tcW w:w="9576" w:type="dxa"/>
            <w:gridSpan w:val="2"/>
          </w:tcPr>
          <w:p w:rsidR="00673F68" w:rsidRPr="00BC4069" w:rsidRDefault="00673F68" w:rsidP="00673F68">
            <w:pPr>
              <w:autoSpaceDE w:val="0"/>
              <w:autoSpaceDN w:val="0"/>
              <w:adjustRightInd w:val="0"/>
              <w:rPr>
                <w:rFonts w:ascii="Arial" w:hAnsi="Arial" w:cs="Arial"/>
                <w:color w:val="1F497D" w:themeColor="text2"/>
                <w:sz w:val="20"/>
                <w:szCs w:val="20"/>
              </w:rPr>
            </w:pPr>
            <w:r w:rsidRPr="00BC4069">
              <w:rPr>
                <w:rFonts w:ascii="Arial" w:hAnsi="Arial" w:cs="Arial"/>
                <w:color w:val="1F497D" w:themeColor="text2"/>
                <w:sz w:val="20"/>
                <w:szCs w:val="20"/>
              </w:rPr>
              <w:t>5</w:t>
            </w:r>
            <w:r w:rsidR="001D0BF0" w:rsidRPr="00BC4069">
              <w:rPr>
                <w:rFonts w:ascii="Arial" w:hAnsi="Arial" w:cs="Arial"/>
                <w:color w:val="1F497D" w:themeColor="text2"/>
                <w:sz w:val="20"/>
                <w:szCs w:val="20"/>
              </w:rPr>
              <w:t>.</w:t>
            </w:r>
            <w:r w:rsidR="00702CFF" w:rsidRPr="00BC4069">
              <w:rPr>
                <w:rFonts w:ascii="Arial" w:hAnsi="Arial" w:cs="Arial"/>
                <w:color w:val="1F497D" w:themeColor="text2"/>
                <w:sz w:val="20"/>
                <w:szCs w:val="20"/>
              </w:rPr>
              <w:t xml:space="preserve"> </w:t>
            </w:r>
            <w:r w:rsidRPr="00BC4069">
              <w:rPr>
                <w:rFonts w:ascii="Arial" w:hAnsi="Arial" w:cs="Arial"/>
                <w:color w:val="1F497D" w:themeColor="text2"/>
                <w:sz w:val="20"/>
                <w:szCs w:val="20"/>
              </w:rPr>
              <w:t>Procjena fiskalnog uticaja</w:t>
            </w:r>
          </w:p>
          <w:p w:rsidR="00A07773" w:rsidRPr="00BC4069" w:rsidRDefault="00D06D2A" w:rsidP="00A07773">
            <w:pPr>
              <w:pStyle w:val="ListParagraph"/>
              <w:numPr>
                <w:ilvl w:val="0"/>
                <w:numId w:val="13"/>
              </w:numPr>
              <w:autoSpaceDE w:val="0"/>
              <w:autoSpaceDN w:val="0"/>
              <w:adjustRightInd w:val="0"/>
              <w:contextualSpacing/>
              <w:jc w:val="left"/>
              <w:rPr>
                <w:rFonts w:ascii="Arial" w:hAnsi="Arial" w:cs="Arial"/>
                <w:color w:val="1F497D" w:themeColor="text2"/>
                <w:sz w:val="20"/>
                <w:szCs w:val="20"/>
              </w:rPr>
            </w:pPr>
            <w:r w:rsidRPr="00BC4069">
              <w:rPr>
                <w:rFonts w:ascii="Arial" w:hAnsi="Arial" w:cs="Arial"/>
                <w:color w:val="1F497D" w:themeColor="text2"/>
                <w:sz w:val="20"/>
                <w:szCs w:val="20"/>
              </w:rPr>
              <w:t>D</w:t>
            </w:r>
            <w:r w:rsidR="00A07773" w:rsidRPr="00BC4069">
              <w:rPr>
                <w:rFonts w:ascii="Arial" w:hAnsi="Arial" w:cs="Arial"/>
                <w:color w:val="1F497D" w:themeColor="text2"/>
                <w:sz w:val="20"/>
                <w:szCs w:val="20"/>
              </w:rPr>
              <w:t>a li je potrebno obezbjeđenje finansijskih sredstava</w:t>
            </w:r>
            <w:r w:rsidR="00972845" w:rsidRPr="00BC4069">
              <w:rPr>
                <w:rFonts w:ascii="Arial" w:hAnsi="Arial" w:cs="Arial"/>
                <w:color w:val="1F497D" w:themeColor="text2"/>
                <w:sz w:val="20"/>
                <w:szCs w:val="20"/>
              </w:rPr>
              <w:t xml:space="preserve"> iz budžeta Crne Gore</w:t>
            </w:r>
            <w:r w:rsidR="00A07773" w:rsidRPr="00BC4069">
              <w:rPr>
                <w:rFonts w:ascii="Arial" w:hAnsi="Arial" w:cs="Arial"/>
                <w:color w:val="1F497D" w:themeColor="text2"/>
                <w:sz w:val="20"/>
                <w:szCs w:val="20"/>
              </w:rPr>
              <w:t xml:space="preserve"> za impleme</w:t>
            </w:r>
            <w:r w:rsidR="0000426F" w:rsidRPr="00BC4069">
              <w:rPr>
                <w:rFonts w:ascii="Arial" w:hAnsi="Arial" w:cs="Arial"/>
                <w:color w:val="1F497D" w:themeColor="text2"/>
                <w:sz w:val="20"/>
                <w:szCs w:val="20"/>
              </w:rPr>
              <w:t>ntaciju propisa i u kom iznosu?</w:t>
            </w:r>
          </w:p>
          <w:p w:rsidR="00A07773" w:rsidRPr="00BC4069" w:rsidRDefault="00D06D2A" w:rsidP="00A07773">
            <w:pPr>
              <w:pStyle w:val="ListParagraph"/>
              <w:numPr>
                <w:ilvl w:val="0"/>
                <w:numId w:val="13"/>
              </w:numPr>
              <w:rPr>
                <w:rFonts w:ascii="Arial" w:hAnsi="Arial" w:cs="Arial"/>
                <w:b w:val="0"/>
                <w:color w:val="1F497D" w:themeColor="text2"/>
                <w:sz w:val="20"/>
                <w:szCs w:val="20"/>
              </w:rPr>
            </w:pPr>
            <w:r w:rsidRPr="00BC4069">
              <w:rPr>
                <w:rFonts w:ascii="Arial" w:hAnsi="Arial" w:cs="Arial"/>
                <w:color w:val="1F497D" w:themeColor="text2"/>
                <w:sz w:val="20"/>
                <w:szCs w:val="20"/>
              </w:rPr>
              <w:t>D</w:t>
            </w:r>
            <w:r w:rsidR="00A07773" w:rsidRPr="00BC4069">
              <w:rPr>
                <w:rFonts w:ascii="Arial" w:hAnsi="Arial" w:cs="Arial"/>
                <w:color w:val="1F497D" w:themeColor="text2"/>
                <w:sz w:val="20"/>
                <w:szCs w:val="20"/>
              </w:rPr>
              <w:t xml:space="preserve">a li je obezbjeđenje finansijskih sredstava jednokratno, ili tokom određenog vremenskog perioda? </w:t>
            </w:r>
            <w:r w:rsidR="00673F68" w:rsidRPr="00BC4069">
              <w:rPr>
                <w:rFonts w:ascii="Arial" w:hAnsi="Arial" w:cs="Arial"/>
                <w:color w:val="1F497D" w:themeColor="text2"/>
                <w:sz w:val="20"/>
                <w:szCs w:val="20"/>
              </w:rPr>
              <w:t xml:space="preserve"> Obrazložiti</w:t>
            </w:r>
            <w:r w:rsidR="0000426F" w:rsidRPr="00BC4069">
              <w:rPr>
                <w:rFonts w:ascii="Arial" w:hAnsi="Arial" w:cs="Arial"/>
                <w:color w:val="1F497D" w:themeColor="text2"/>
                <w:sz w:val="20"/>
                <w:szCs w:val="20"/>
              </w:rPr>
              <w:t>.</w:t>
            </w:r>
          </w:p>
          <w:p w:rsidR="00A07773" w:rsidRPr="00BC4069" w:rsidRDefault="00D06D2A" w:rsidP="00A07773">
            <w:pPr>
              <w:pStyle w:val="ListParagraph"/>
              <w:numPr>
                <w:ilvl w:val="0"/>
                <w:numId w:val="13"/>
              </w:numPr>
              <w:rPr>
                <w:rFonts w:ascii="Arial" w:hAnsi="Arial" w:cs="Arial"/>
                <w:color w:val="1F497D" w:themeColor="text2"/>
                <w:sz w:val="20"/>
                <w:szCs w:val="20"/>
              </w:rPr>
            </w:pPr>
            <w:r w:rsidRPr="00BC4069">
              <w:rPr>
                <w:rFonts w:ascii="Arial" w:hAnsi="Arial" w:cs="Arial"/>
                <w:color w:val="1F497D" w:themeColor="text2"/>
                <w:sz w:val="20"/>
                <w:szCs w:val="20"/>
              </w:rPr>
              <w:t>D</w:t>
            </w:r>
            <w:r w:rsidR="00A07773" w:rsidRPr="00BC4069">
              <w:rPr>
                <w:rFonts w:ascii="Arial" w:hAnsi="Arial" w:cs="Arial"/>
                <w:color w:val="1F497D" w:themeColor="text2"/>
                <w:sz w:val="20"/>
                <w:szCs w:val="20"/>
              </w:rPr>
              <w:t>a li implementacijom propisa proizilaze međ</w:t>
            </w:r>
            <w:r w:rsidR="00A07773" w:rsidRPr="00BC4069">
              <w:rPr>
                <w:rFonts w:ascii="Arial" w:hAnsi="Arial" w:cs="Arial"/>
                <w:color w:val="1F497D" w:themeColor="text2"/>
                <w:sz w:val="20"/>
                <w:szCs w:val="20"/>
                <w:lang w:val="en-US"/>
              </w:rPr>
              <w:t>unarodne finansijske obaveze</w:t>
            </w:r>
            <w:r w:rsidR="0000426F" w:rsidRPr="00BC4069">
              <w:rPr>
                <w:rFonts w:ascii="Arial" w:hAnsi="Arial" w:cs="Arial"/>
                <w:color w:val="1F497D" w:themeColor="text2"/>
                <w:sz w:val="20"/>
                <w:szCs w:val="20"/>
              </w:rPr>
              <w:t>? Obrazložiti.</w:t>
            </w:r>
          </w:p>
          <w:p w:rsidR="00A07773" w:rsidRPr="00BC4069" w:rsidRDefault="00D06D2A" w:rsidP="00A07773">
            <w:pPr>
              <w:pStyle w:val="ListParagraph"/>
              <w:numPr>
                <w:ilvl w:val="0"/>
                <w:numId w:val="13"/>
              </w:numPr>
              <w:rPr>
                <w:rFonts w:ascii="Arial" w:hAnsi="Arial" w:cs="Arial"/>
                <w:color w:val="1F497D" w:themeColor="text2"/>
                <w:sz w:val="20"/>
                <w:szCs w:val="20"/>
              </w:rPr>
            </w:pPr>
            <w:r w:rsidRPr="00BC4069">
              <w:rPr>
                <w:rFonts w:ascii="Arial" w:hAnsi="Arial" w:cs="Arial"/>
                <w:color w:val="1F497D" w:themeColor="text2"/>
                <w:sz w:val="20"/>
                <w:szCs w:val="20"/>
              </w:rPr>
              <w:t>D</w:t>
            </w:r>
            <w:r w:rsidR="00A07773" w:rsidRPr="00BC4069">
              <w:rPr>
                <w:rFonts w:ascii="Arial" w:hAnsi="Arial" w:cs="Arial"/>
                <w:color w:val="1F497D" w:themeColor="text2"/>
                <w:sz w:val="20"/>
                <w:szCs w:val="20"/>
              </w:rPr>
              <w:t>a li su neophodna finansijska sredstva obezbijeđena u budžetu za tekuću fiskal</w:t>
            </w:r>
            <w:r w:rsidR="00A07773" w:rsidRPr="00BC4069">
              <w:rPr>
                <w:rFonts w:ascii="Arial" w:hAnsi="Arial" w:cs="Arial"/>
                <w:color w:val="1F497D" w:themeColor="text2"/>
                <w:sz w:val="20"/>
                <w:szCs w:val="20"/>
                <w:lang w:val="en-US"/>
              </w:rPr>
              <w:t xml:space="preserve">nu godinu, odnosno da li su </w:t>
            </w:r>
            <w:r w:rsidR="00A07773" w:rsidRPr="00BC4069">
              <w:rPr>
                <w:rFonts w:ascii="Arial" w:hAnsi="Arial" w:cs="Arial"/>
                <w:color w:val="1F497D" w:themeColor="text2"/>
                <w:sz w:val="20"/>
                <w:szCs w:val="20"/>
              </w:rPr>
              <w:t>planirana u bud</w:t>
            </w:r>
            <w:r w:rsidR="0000426F" w:rsidRPr="00BC4069">
              <w:rPr>
                <w:rFonts w:ascii="Arial" w:hAnsi="Arial" w:cs="Arial"/>
                <w:color w:val="1F497D" w:themeColor="text2"/>
                <w:sz w:val="20"/>
                <w:szCs w:val="20"/>
              </w:rPr>
              <w:t>žetu za narednu fiskanu godinu?</w:t>
            </w:r>
          </w:p>
          <w:p w:rsidR="00A07773" w:rsidRPr="00BC4069" w:rsidRDefault="00D06D2A" w:rsidP="00A07773">
            <w:pPr>
              <w:pStyle w:val="ListParagraph"/>
              <w:numPr>
                <w:ilvl w:val="0"/>
                <w:numId w:val="13"/>
              </w:numPr>
              <w:rPr>
                <w:rFonts w:ascii="Arial" w:hAnsi="Arial" w:cs="Arial"/>
                <w:color w:val="1F497D" w:themeColor="text2"/>
                <w:sz w:val="20"/>
                <w:szCs w:val="20"/>
              </w:rPr>
            </w:pPr>
            <w:r w:rsidRPr="00BC4069">
              <w:rPr>
                <w:rFonts w:ascii="Arial" w:hAnsi="Arial" w:cs="Arial"/>
                <w:color w:val="1F497D" w:themeColor="text2"/>
                <w:sz w:val="20"/>
                <w:szCs w:val="20"/>
              </w:rPr>
              <w:t>D</w:t>
            </w:r>
            <w:r w:rsidR="00A07773" w:rsidRPr="00BC4069">
              <w:rPr>
                <w:rFonts w:ascii="Arial" w:hAnsi="Arial" w:cs="Arial"/>
                <w:color w:val="1F497D" w:themeColor="text2"/>
                <w:sz w:val="20"/>
                <w:szCs w:val="20"/>
              </w:rPr>
              <w:t>a li je usvajanjem propisa predviđeno donošenje podzakonskih akata iz kojih će proisteći finansijske obaveze?</w:t>
            </w:r>
          </w:p>
          <w:p w:rsidR="00A07773" w:rsidRPr="00BC4069" w:rsidRDefault="00D06D2A" w:rsidP="00A07773">
            <w:pPr>
              <w:pStyle w:val="ListParagraph"/>
              <w:numPr>
                <w:ilvl w:val="0"/>
                <w:numId w:val="13"/>
              </w:numPr>
              <w:rPr>
                <w:rFonts w:ascii="Arial" w:hAnsi="Arial" w:cs="Arial"/>
                <w:color w:val="1F497D" w:themeColor="text2"/>
                <w:sz w:val="20"/>
                <w:szCs w:val="20"/>
              </w:rPr>
            </w:pPr>
            <w:r w:rsidRPr="00BC4069">
              <w:rPr>
                <w:rFonts w:ascii="Arial" w:hAnsi="Arial" w:cs="Arial"/>
                <w:color w:val="1F497D" w:themeColor="text2"/>
                <w:sz w:val="20"/>
                <w:szCs w:val="20"/>
              </w:rPr>
              <w:t>D</w:t>
            </w:r>
            <w:r w:rsidR="00A07773" w:rsidRPr="00BC4069">
              <w:rPr>
                <w:rFonts w:ascii="Arial" w:hAnsi="Arial" w:cs="Arial"/>
                <w:color w:val="1F497D" w:themeColor="text2"/>
                <w:sz w:val="20"/>
                <w:szCs w:val="20"/>
              </w:rPr>
              <w:t>a li će se implementacijom propisa ostvariti prihod za budžet Crne Gore?</w:t>
            </w:r>
          </w:p>
          <w:p w:rsidR="00A07773" w:rsidRPr="00BC4069" w:rsidRDefault="00D06D2A" w:rsidP="00A07773">
            <w:pPr>
              <w:pStyle w:val="ListParagraph"/>
              <w:numPr>
                <w:ilvl w:val="0"/>
                <w:numId w:val="13"/>
              </w:numPr>
              <w:rPr>
                <w:rFonts w:ascii="Arial" w:hAnsi="Arial" w:cs="Arial"/>
                <w:color w:val="1F497D" w:themeColor="text2"/>
                <w:sz w:val="20"/>
                <w:szCs w:val="20"/>
              </w:rPr>
            </w:pPr>
            <w:r w:rsidRPr="00BC4069">
              <w:rPr>
                <w:rFonts w:ascii="Arial" w:hAnsi="Arial" w:cs="Arial"/>
                <w:color w:val="1F497D" w:themeColor="text2"/>
                <w:sz w:val="20"/>
                <w:szCs w:val="20"/>
              </w:rPr>
              <w:t>D</w:t>
            </w:r>
            <w:r w:rsidR="00A07773" w:rsidRPr="00BC4069">
              <w:rPr>
                <w:rFonts w:ascii="Arial" w:hAnsi="Arial" w:cs="Arial"/>
                <w:color w:val="1F497D" w:themeColor="text2"/>
                <w:sz w:val="20"/>
                <w:szCs w:val="20"/>
              </w:rPr>
              <w:t>brazložiti metodologiju koja je korišćenja prilikom obračun</w:t>
            </w:r>
            <w:r w:rsidR="0000426F" w:rsidRPr="00BC4069">
              <w:rPr>
                <w:rFonts w:ascii="Arial" w:hAnsi="Arial" w:cs="Arial"/>
                <w:color w:val="1F497D" w:themeColor="text2"/>
                <w:sz w:val="20"/>
                <w:szCs w:val="20"/>
              </w:rPr>
              <w:t>a finansijskih izdataka/prihoda.</w:t>
            </w:r>
          </w:p>
          <w:p w:rsidR="00A07773" w:rsidRPr="00BC4069" w:rsidRDefault="00D06D2A" w:rsidP="00A07773">
            <w:pPr>
              <w:pStyle w:val="ListParagraph"/>
              <w:numPr>
                <w:ilvl w:val="0"/>
                <w:numId w:val="13"/>
              </w:numPr>
              <w:rPr>
                <w:rFonts w:ascii="Arial" w:hAnsi="Arial" w:cs="Arial"/>
                <w:b w:val="0"/>
                <w:color w:val="1F497D" w:themeColor="text2"/>
                <w:sz w:val="20"/>
                <w:szCs w:val="20"/>
              </w:rPr>
            </w:pPr>
            <w:r w:rsidRPr="00BC4069">
              <w:rPr>
                <w:rFonts w:ascii="Arial" w:hAnsi="Arial" w:cs="Arial"/>
                <w:color w:val="1F497D" w:themeColor="text2"/>
                <w:sz w:val="20"/>
                <w:szCs w:val="20"/>
              </w:rPr>
              <w:t>D</w:t>
            </w:r>
            <w:r w:rsidR="00A07773" w:rsidRPr="00BC4069">
              <w:rPr>
                <w:rFonts w:ascii="Arial" w:hAnsi="Arial" w:cs="Arial"/>
                <w:color w:val="1F497D" w:themeColor="text2"/>
                <w:sz w:val="20"/>
                <w:szCs w:val="20"/>
              </w:rPr>
              <w:t>a li su postojali problemi u preciz</w:t>
            </w:r>
            <w:r w:rsidR="00A07773" w:rsidRPr="00BC4069">
              <w:rPr>
                <w:rFonts w:ascii="Arial" w:hAnsi="Arial" w:cs="Arial"/>
                <w:color w:val="1F497D" w:themeColor="text2"/>
                <w:sz w:val="20"/>
                <w:szCs w:val="20"/>
                <w:lang w:val="en-US"/>
              </w:rPr>
              <w:t xml:space="preserve">nom </w:t>
            </w:r>
            <w:r w:rsidR="00A07773" w:rsidRPr="00BC4069">
              <w:rPr>
                <w:rFonts w:ascii="Arial" w:hAnsi="Arial" w:cs="Arial"/>
                <w:color w:val="1F497D" w:themeColor="text2"/>
                <w:sz w:val="20"/>
                <w:szCs w:val="20"/>
              </w:rPr>
              <w:t>obračunu finansijskih izdataka/prihoda? Obrazlo</w:t>
            </w:r>
            <w:r w:rsidR="00A07773" w:rsidRPr="00BC4069">
              <w:rPr>
                <w:rFonts w:ascii="Arial" w:hAnsi="Arial" w:cs="Arial"/>
                <w:color w:val="1F497D" w:themeColor="text2"/>
                <w:sz w:val="20"/>
                <w:szCs w:val="20"/>
                <w:lang w:val="en-US"/>
              </w:rPr>
              <w:t>žiti</w:t>
            </w:r>
            <w:r w:rsidR="0000426F" w:rsidRPr="00BC4069">
              <w:rPr>
                <w:rFonts w:ascii="Arial" w:hAnsi="Arial" w:cs="Arial"/>
                <w:color w:val="1F497D" w:themeColor="text2"/>
                <w:sz w:val="20"/>
                <w:szCs w:val="20"/>
                <w:lang w:val="en-US"/>
              </w:rPr>
              <w:t>.</w:t>
            </w:r>
          </w:p>
          <w:p w:rsidR="00A07773" w:rsidRPr="00BC4069" w:rsidRDefault="00D06D2A" w:rsidP="00A07773">
            <w:pPr>
              <w:pStyle w:val="ListParagraph"/>
              <w:numPr>
                <w:ilvl w:val="0"/>
                <w:numId w:val="13"/>
              </w:numPr>
              <w:rPr>
                <w:rFonts w:ascii="Arial" w:hAnsi="Arial" w:cs="Arial"/>
                <w:b w:val="0"/>
                <w:color w:val="1F497D" w:themeColor="text2"/>
                <w:sz w:val="20"/>
                <w:szCs w:val="20"/>
              </w:rPr>
            </w:pPr>
            <w:r w:rsidRPr="00BC4069">
              <w:rPr>
                <w:rFonts w:ascii="Arial" w:hAnsi="Arial" w:cs="Arial"/>
                <w:color w:val="1F497D" w:themeColor="text2"/>
                <w:sz w:val="20"/>
                <w:szCs w:val="20"/>
                <w:lang w:val="en-US"/>
              </w:rPr>
              <w:t>D</w:t>
            </w:r>
            <w:r w:rsidR="00A07773" w:rsidRPr="00BC4069">
              <w:rPr>
                <w:rFonts w:ascii="Arial" w:hAnsi="Arial" w:cs="Arial"/>
                <w:color w:val="1F497D" w:themeColor="text2"/>
                <w:sz w:val="20"/>
                <w:szCs w:val="20"/>
                <w:lang w:val="en-US"/>
              </w:rPr>
              <w:t xml:space="preserve">a li su postojale sugestije Ministarstva finansija </w:t>
            </w:r>
            <w:r w:rsidR="00A265F9" w:rsidRPr="00BC4069">
              <w:rPr>
                <w:rFonts w:ascii="Arial" w:hAnsi="Arial" w:cs="Arial"/>
                <w:color w:val="1F497D" w:themeColor="text2"/>
                <w:sz w:val="20"/>
                <w:szCs w:val="20"/>
                <w:lang w:val="en-US"/>
              </w:rPr>
              <w:t>na nac</w:t>
            </w:r>
            <w:r w:rsidR="00736E8D" w:rsidRPr="00BC4069">
              <w:rPr>
                <w:rFonts w:ascii="Arial" w:hAnsi="Arial" w:cs="Arial"/>
                <w:color w:val="1F497D" w:themeColor="text2"/>
                <w:sz w:val="20"/>
                <w:szCs w:val="20"/>
                <w:lang w:val="en-US"/>
              </w:rPr>
              <w:t>r</w:t>
            </w:r>
            <w:r w:rsidR="00A265F9" w:rsidRPr="00BC4069">
              <w:rPr>
                <w:rFonts w:ascii="Arial" w:hAnsi="Arial" w:cs="Arial"/>
                <w:color w:val="1F497D" w:themeColor="text2"/>
                <w:sz w:val="20"/>
                <w:szCs w:val="20"/>
                <w:lang w:val="en-US"/>
              </w:rPr>
              <w:t>t/</w:t>
            </w:r>
            <w:r w:rsidR="00A07773" w:rsidRPr="00BC4069">
              <w:rPr>
                <w:rFonts w:ascii="Arial" w:hAnsi="Arial" w:cs="Arial"/>
                <w:color w:val="1F497D" w:themeColor="text2"/>
                <w:sz w:val="20"/>
                <w:szCs w:val="20"/>
                <w:lang w:val="en-US"/>
              </w:rPr>
              <w:t>predlog propisa?</w:t>
            </w:r>
          </w:p>
          <w:p w:rsidR="00A07773" w:rsidRPr="00BC4069" w:rsidRDefault="00D06D2A" w:rsidP="0000426F">
            <w:pPr>
              <w:pStyle w:val="ListParagraph"/>
              <w:numPr>
                <w:ilvl w:val="0"/>
                <w:numId w:val="13"/>
              </w:numPr>
              <w:rPr>
                <w:rFonts w:ascii="Arial" w:hAnsi="Arial" w:cs="Arial"/>
                <w:b w:val="0"/>
                <w:color w:val="1F497D" w:themeColor="text2"/>
                <w:sz w:val="20"/>
                <w:szCs w:val="20"/>
              </w:rPr>
            </w:pPr>
            <w:r w:rsidRPr="00BC4069">
              <w:rPr>
                <w:rFonts w:ascii="Arial" w:hAnsi="Arial" w:cs="Arial"/>
                <w:color w:val="1F497D" w:themeColor="text2"/>
                <w:sz w:val="20"/>
                <w:szCs w:val="20"/>
                <w:lang w:val="en-US"/>
              </w:rPr>
              <w:t>D</w:t>
            </w:r>
            <w:r w:rsidR="00A07773" w:rsidRPr="00BC4069">
              <w:rPr>
                <w:rFonts w:ascii="Arial" w:hAnsi="Arial" w:cs="Arial"/>
                <w:color w:val="1F497D" w:themeColor="text2"/>
                <w:sz w:val="20"/>
                <w:szCs w:val="20"/>
                <w:lang w:val="en-US"/>
              </w:rPr>
              <w:t xml:space="preserve">a li su dobijene primjedbe </w:t>
            </w:r>
            <w:r w:rsidR="0000426F" w:rsidRPr="00BC4069">
              <w:rPr>
                <w:rFonts w:ascii="Arial" w:hAnsi="Arial" w:cs="Arial"/>
                <w:color w:val="1F497D" w:themeColor="text2"/>
                <w:sz w:val="20"/>
                <w:szCs w:val="20"/>
                <w:lang w:val="en-US"/>
              </w:rPr>
              <w:t>uključene</w:t>
            </w:r>
            <w:r w:rsidR="00A07773" w:rsidRPr="00BC4069">
              <w:rPr>
                <w:rFonts w:ascii="Arial" w:hAnsi="Arial" w:cs="Arial"/>
                <w:color w:val="1F497D" w:themeColor="text2"/>
                <w:sz w:val="20"/>
                <w:szCs w:val="20"/>
                <w:lang w:val="en-US"/>
              </w:rPr>
              <w:t xml:space="preserve"> u tekst propisa? Obra</w:t>
            </w:r>
            <w:r w:rsidR="00A07773" w:rsidRPr="00BC4069">
              <w:rPr>
                <w:rFonts w:ascii="Arial" w:hAnsi="Arial" w:cs="Arial"/>
                <w:color w:val="1F497D" w:themeColor="text2"/>
                <w:sz w:val="20"/>
                <w:szCs w:val="20"/>
              </w:rPr>
              <w:t>zložiti.</w:t>
            </w:r>
          </w:p>
        </w:tc>
      </w:tr>
      <w:tr w:rsidR="00702CFF" w:rsidRPr="00BC4069" w:rsidTr="000511F0">
        <w:trPr>
          <w:cnfStyle w:val="000000010000"/>
        </w:trPr>
        <w:tc>
          <w:tcPr>
            <w:cnfStyle w:val="001000000000"/>
            <w:tcW w:w="9576" w:type="dxa"/>
            <w:gridSpan w:val="2"/>
          </w:tcPr>
          <w:p w:rsidR="00702CFF" w:rsidRPr="00BC4069" w:rsidRDefault="00702CFF" w:rsidP="00282840">
            <w:pPr>
              <w:autoSpaceDE w:val="0"/>
              <w:autoSpaceDN w:val="0"/>
              <w:adjustRightInd w:val="0"/>
              <w:rPr>
                <w:rFonts w:ascii="Arial" w:hAnsi="Arial" w:cs="Arial"/>
                <w:color w:val="1F497D" w:themeColor="text2"/>
                <w:sz w:val="20"/>
                <w:szCs w:val="20"/>
              </w:rPr>
            </w:pPr>
          </w:p>
          <w:p w:rsidR="001A6E7E" w:rsidRPr="00BC4069" w:rsidRDefault="001A6E7E" w:rsidP="005D3B82">
            <w:pPr>
              <w:rPr>
                <w:rFonts w:ascii="Arial" w:hAnsi="Arial" w:cs="Arial"/>
                <w:color w:val="1F497D" w:themeColor="text2"/>
                <w:sz w:val="20"/>
                <w:szCs w:val="20"/>
              </w:rPr>
            </w:pPr>
            <w:r w:rsidRPr="00BC4069">
              <w:rPr>
                <w:rFonts w:ascii="Arial" w:hAnsi="Arial" w:cs="Arial"/>
                <w:b w:val="0"/>
                <w:color w:val="1F497D" w:themeColor="text2"/>
                <w:szCs w:val="20"/>
              </w:rPr>
              <w:t>Za sprovođenje predloženog zakona nijesu potrebna finansijska sredstva iz budžeta Crne Gore, niti će se njegovom implementacijom ostvariti prihodi za budžet Crne Gore. </w:t>
            </w:r>
          </w:p>
          <w:p w:rsidR="001A6E7E" w:rsidRPr="00BC4069" w:rsidRDefault="001A6E7E" w:rsidP="00282840">
            <w:pPr>
              <w:autoSpaceDE w:val="0"/>
              <w:autoSpaceDN w:val="0"/>
              <w:adjustRightInd w:val="0"/>
              <w:rPr>
                <w:rFonts w:ascii="Arial" w:hAnsi="Arial" w:cs="Arial"/>
                <w:color w:val="1F497D" w:themeColor="text2"/>
                <w:sz w:val="20"/>
                <w:szCs w:val="20"/>
              </w:rPr>
            </w:pPr>
          </w:p>
        </w:tc>
      </w:tr>
      <w:tr w:rsidR="00282840" w:rsidRPr="00BC4069" w:rsidTr="000511F0">
        <w:trPr>
          <w:cnfStyle w:val="000000100000"/>
        </w:trPr>
        <w:tc>
          <w:tcPr>
            <w:cnfStyle w:val="001000000000"/>
            <w:tcW w:w="9576" w:type="dxa"/>
            <w:gridSpan w:val="2"/>
          </w:tcPr>
          <w:p w:rsidR="00282840" w:rsidRPr="00BC4069" w:rsidRDefault="00673F68" w:rsidP="00282840">
            <w:pPr>
              <w:autoSpaceDE w:val="0"/>
              <w:autoSpaceDN w:val="0"/>
              <w:adjustRightInd w:val="0"/>
              <w:rPr>
                <w:rFonts w:ascii="Arial" w:hAnsi="Arial" w:cs="Arial"/>
                <w:b w:val="0"/>
                <w:color w:val="1F497D" w:themeColor="text2"/>
                <w:sz w:val="20"/>
                <w:szCs w:val="20"/>
              </w:rPr>
            </w:pPr>
            <w:r w:rsidRPr="00BC4069">
              <w:rPr>
                <w:rFonts w:ascii="Arial" w:hAnsi="Arial" w:cs="Arial"/>
                <w:color w:val="1F497D" w:themeColor="text2"/>
                <w:sz w:val="20"/>
                <w:szCs w:val="20"/>
              </w:rPr>
              <w:t>6</w:t>
            </w:r>
            <w:r w:rsidR="001D0BF0" w:rsidRPr="00BC4069">
              <w:rPr>
                <w:rFonts w:ascii="Arial" w:hAnsi="Arial" w:cs="Arial"/>
                <w:color w:val="1F497D" w:themeColor="text2"/>
                <w:sz w:val="20"/>
                <w:szCs w:val="20"/>
              </w:rPr>
              <w:t xml:space="preserve">. </w:t>
            </w:r>
            <w:r w:rsidR="00282840" w:rsidRPr="00BC4069">
              <w:rPr>
                <w:rFonts w:ascii="Arial" w:hAnsi="Arial" w:cs="Arial"/>
                <w:b w:val="0"/>
                <w:color w:val="1F497D" w:themeColor="text2"/>
                <w:sz w:val="20"/>
                <w:szCs w:val="20"/>
              </w:rPr>
              <w:t>K</w:t>
            </w:r>
            <w:r w:rsidR="00282840" w:rsidRPr="00BC4069">
              <w:rPr>
                <w:rFonts w:ascii="Arial" w:hAnsi="Arial" w:cs="Arial"/>
                <w:color w:val="1F497D" w:themeColor="text2"/>
                <w:sz w:val="20"/>
                <w:szCs w:val="20"/>
              </w:rPr>
              <w:t>onsultacije zainteresovanih strana</w:t>
            </w:r>
          </w:p>
          <w:p w:rsidR="00A07773" w:rsidRPr="00BC4069" w:rsidRDefault="00A07773" w:rsidP="00A07773">
            <w:pPr>
              <w:pStyle w:val="ListParagraph"/>
              <w:numPr>
                <w:ilvl w:val="0"/>
                <w:numId w:val="13"/>
              </w:numPr>
              <w:autoSpaceDE w:val="0"/>
              <w:autoSpaceDN w:val="0"/>
              <w:adjustRightInd w:val="0"/>
              <w:contextualSpacing/>
              <w:rPr>
                <w:rFonts w:ascii="Arial" w:hAnsi="Arial" w:cs="Arial"/>
                <w:color w:val="1F497D" w:themeColor="text2"/>
                <w:sz w:val="20"/>
                <w:szCs w:val="20"/>
              </w:rPr>
            </w:pPr>
            <w:r w:rsidRPr="00BC4069">
              <w:rPr>
                <w:rFonts w:ascii="Arial" w:hAnsi="Arial" w:cs="Arial"/>
                <w:color w:val="1F497D" w:themeColor="text2"/>
                <w:sz w:val="20"/>
                <w:szCs w:val="20"/>
              </w:rPr>
              <w:t xml:space="preserve">Naznačiti da li je korišćena eksterna </w:t>
            </w:r>
            <w:r w:rsidR="0000426F" w:rsidRPr="00BC4069">
              <w:rPr>
                <w:rFonts w:ascii="Arial" w:hAnsi="Arial" w:cs="Arial"/>
                <w:color w:val="1F497D" w:themeColor="text2"/>
                <w:sz w:val="20"/>
                <w:szCs w:val="20"/>
              </w:rPr>
              <w:t>ekspertska podrška</w:t>
            </w:r>
            <w:r w:rsidRPr="00BC4069">
              <w:rPr>
                <w:rFonts w:ascii="Arial" w:hAnsi="Arial" w:cs="Arial"/>
                <w:color w:val="1F497D" w:themeColor="text2"/>
                <w:sz w:val="20"/>
                <w:szCs w:val="20"/>
              </w:rPr>
              <w:t xml:space="preserve"> i ako da, kako</w:t>
            </w:r>
            <w:r w:rsidR="0000426F" w:rsidRPr="00BC4069">
              <w:rPr>
                <w:rFonts w:ascii="Arial" w:hAnsi="Arial" w:cs="Arial"/>
                <w:color w:val="1F497D" w:themeColor="text2"/>
                <w:sz w:val="20"/>
                <w:szCs w:val="20"/>
              </w:rPr>
              <w:t>.</w:t>
            </w:r>
          </w:p>
          <w:p w:rsidR="00A07773" w:rsidRPr="00BC4069" w:rsidRDefault="001D0BF0" w:rsidP="00A07773">
            <w:pPr>
              <w:pStyle w:val="ListParagraph"/>
              <w:numPr>
                <w:ilvl w:val="0"/>
                <w:numId w:val="13"/>
              </w:numPr>
              <w:autoSpaceDE w:val="0"/>
              <w:autoSpaceDN w:val="0"/>
              <w:adjustRightInd w:val="0"/>
              <w:contextualSpacing/>
              <w:rPr>
                <w:rFonts w:ascii="Arial" w:hAnsi="Arial" w:cs="Arial"/>
                <w:color w:val="1F497D" w:themeColor="text2"/>
                <w:sz w:val="20"/>
                <w:szCs w:val="20"/>
              </w:rPr>
            </w:pPr>
            <w:r w:rsidRPr="00BC4069">
              <w:rPr>
                <w:rFonts w:ascii="Arial" w:hAnsi="Arial" w:cs="Arial"/>
                <w:color w:val="1F497D" w:themeColor="text2"/>
                <w:sz w:val="20"/>
                <w:szCs w:val="20"/>
              </w:rPr>
              <w:t>N</w:t>
            </w:r>
            <w:r w:rsidR="00A07773" w:rsidRPr="00BC4069">
              <w:rPr>
                <w:rFonts w:ascii="Arial" w:hAnsi="Arial" w:cs="Arial"/>
                <w:color w:val="1F497D" w:themeColor="text2"/>
                <w:sz w:val="20"/>
                <w:szCs w:val="20"/>
              </w:rPr>
              <w:t>aznačiti koje su grupe zainteresovanih strana konsultovane, u kojoj fazi RIA procesa i kako (javne ili ciljane konsultacije)</w:t>
            </w:r>
            <w:r w:rsidR="0000426F" w:rsidRPr="00BC4069">
              <w:rPr>
                <w:rFonts w:ascii="Arial" w:hAnsi="Arial" w:cs="Arial"/>
                <w:color w:val="1F497D" w:themeColor="text2"/>
                <w:sz w:val="20"/>
                <w:szCs w:val="20"/>
              </w:rPr>
              <w:t>.</w:t>
            </w:r>
          </w:p>
          <w:p w:rsidR="00A07773" w:rsidRPr="00BC4069" w:rsidRDefault="001D0BF0" w:rsidP="00A07773">
            <w:pPr>
              <w:pStyle w:val="ListParagraph"/>
              <w:numPr>
                <w:ilvl w:val="0"/>
                <w:numId w:val="13"/>
              </w:numPr>
              <w:autoSpaceDE w:val="0"/>
              <w:autoSpaceDN w:val="0"/>
              <w:adjustRightInd w:val="0"/>
              <w:contextualSpacing/>
              <w:rPr>
                <w:rFonts w:ascii="Arial" w:hAnsi="Arial" w:cs="Arial"/>
                <w:b w:val="0"/>
                <w:color w:val="1F497D" w:themeColor="text2"/>
                <w:sz w:val="20"/>
                <w:szCs w:val="20"/>
              </w:rPr>
            </w:pPr>
            <w:r w:rsidRPr="00BC4069">
              <w:rPr>
                <w:rFonts w:ascii="Arial" w:hAnsi="Arial" w:cs="Arial"/>
                <w:color w:val="1F497D" w:themeColor="text2"/>
                <w:sz w:val="20"/>
                <w:szCs w:val="20"/>
              </w:rPr>
              <w:t>N</w:t>
            </w:r>
            <w:r w:rsidR="00A07773" w:rsidRPr="00BC4069">
              <w:rPr>
                <w:rFonts w:ascii="Arial" w:hAnsi="Arial" w:cs="Arial"/>
                <w:color w:val="1F497D" w:themeColor="text2"/>
                <w:sz w:val="20"/>
                <w:szCs w:val="20"/>
              </w:rPr>
              <w:t>aznačiti glavne rezultate</w:t>
            </w:r>
            <w:r w:rsidR="00D4308A" w:rsidRPr="00BC4069">
              <w:rPr>
                <w:rFonts w:ascii="Arial" w:hAnsi="Arial" w:cs="Arial"/>
                <w:color w:val="1F497D" w:themeColor="text2"/>
                <w:sz w:val="20"/>
                <w:szCs w:val="20"/>
              </w:rPr>
              <w:t xml:space="preserve"> konsultacija</w:t>
            </w:r>
            <w:r w:rsidR="00A07773" w:rsidRPr="00BC4069">
              <w:rPr>
                <w:rFonts w:ascii="Arial" w:hAnsi="Arial" w:cs="Arial"/>
                <w:color w:val="1F497D" w:themeColor="text2"/>
                <w:sz w:val="20"/>
                <w:szCs w:val="20"/>
              </w:rPr>
              <w:t xml:space="preserve">, i </w:t>
            </w:r>
            <w:r w:rsidR="00D4308A" w:rsidRPr="00BC4069">
              <w:rPr>
                <w:rFonts w:ascii="Arial" w:hAnsi="Arial" w:cs="Arial"/>
                <w:color w:val="1F497D" w:themeColor="text2"/>
                <w:sz w:val="20"/>
                <w:szCs w:val="20"/>
              </w:rPr>
              <w:t>koji su predlozi i sugestije zainteresovanih strana prihv</w:t>
            </w:r>
            <w:r w:rsidR="0000426F" w:rsidRPr="00BC4069">
              <w:rPr>
                <w:rFonts w:ascii="Arial" w:hAnsi="Arial" w:cs="Arial"/>
                <w:color w:val="1F497D" w:themeColor="text2"/>
                <w:sz w:val="20"/>
                <w:szCs w:val="20"/>
              </w:rPr>
              <w:t>aćeni odnosno nijesu prihvaćeni.</w:t>
            </w:r>
            <w:r w:rsidR="00D4308A" w:rsidRPr="00BC4069">
              <w:rPr>
                <w:rFonts w:ascii="Arial" w:hAnsi="Arial" w:cs="Arial"/>
                <w:color w:val="1F497D" w:themeColor="text2"/>
                <w:sz w:val="20"/>
                <w:szCs w:val="20"/>
              </w:rPr>
              <w:t xml:space="preserve"> Obrazložiti</w:t>
            </w:r>
            <w:r w:rsidR="0000426F" w:rsidRPr="00BC4069">
              <w:rPr>
                <w:rFonts w:ascii="Arial" w:hAnsi="Arial" w:cs="Arial"/>
                <w:color w:val="1F497D" w:themeColor="text2"/>
                <w:sz w:val="20"/>
                <w:szCs w:val="20"/>
              </w:rPr>
              <w:t>.</w:t>
            </w:r>
          </w:p>
        </w:tc>
      </w:tr>
      <w:tr w:rsidR="00282840" w:rsidRPr="00BC4069" w:rsidTr="000511F0">
        <w:trPr>
          <w:cnfStyle w:val="000000010000"/>
        </w:trPr>
        <w:tc>
          <w:tcPr>
            <w:cnfStyle w:val="001000000000"/>
            <w:tcW w:w="9576" w:type="dxa"/>
            <w:gridSpan w:val="2"/>
          </w:tcPr>
          <w:p w:rsidR="00282840" w:rsidRPr="00BC4069" w:rsidRDefault="00282840" w:rsidP="00282840">
            <w:pPr>
              <w:autoSpaceDE w:val="0"/>
              <w:autoSpaceDN w:val="0"/>
              <w:adjustRightInd w:val="0"/>
              <w:rPr>
                <w:rFonts w:ascii="Arial" w:hAnsi="Arial" w:cs="Arial"/>
                <w:b w:val="0"/>
                <w:color w:val="1F497D" w:themeColor="text2"/>
                <w:sz w:val="20"/>
                <w:szCs w:val="20"/>
              </w:rPr>
            </w:pPr>
          </w:p>
          <w:p w:rsidR="001A6E7E" w:rsidRPr="00BC4069" w:rsidRDefault="001A6E7E" w:rsidP="001A6E7E">
            <w:pPr>
              <w:pStyle w:val="msolistparagraph0"/>
              <w:ind w:left="0"/>
              <w:jc w:val="both"/>
              <w:rPr>
                <w:rFonts w:ascii="Arial" w:hAnsi="Arial" w:cs="Arial"/>
                <w:b w:val="0"/>
                <w:color w:val="1F497D" w:themeColor="text2"/>
                <w:szCs w:val="20"/>
              </w:rPr>
            </w:pPr>
            <w:r w:rsidRPr="00BC4069">
              <w:rPr>
                <w:rFonts w:ascii="Arial" w:hAnsi="Arial" w:cs="Arial"/>
                <w:b w:val="0"/>
                <w:color w:val="1F497D" w:themeColor="text2"/>
                <w:szCs w:val="20"/>
              </w:rPr>
              <w:t>U pripremi ovog zakona ostvarena je saradnja sa ekspertima Hrvatske narodne banke u okviru njihove posjete Centralnoj banci Crne Gore, a ekspertska pomoć je pružena i preko TAIEX programa, kroz radionice organizovane u Sarajevu i Tirani za zemlje Zapadnog Balkana, u cilju promocije regulative EU o platnom prometu.</w:t>
            </w:r>
          </w:p>
          <w:p w:rsidR="001A6E7E" w:rsidRPr="00BC4069" w:rsidRDefault="001A6E7E" w:rsidP="001A6E7E">
            <w:pPr>
              <w:pStyle w:val="msolistparagraph0"/>
              <w:ind w:left="0"/>
              <w:jc w:val="both"/>
              <w:rPr>
                <w:rFonts w:ascii="Arial" w:hAnsi="Arial" w:cs="Arial"/>
                <w:b w:val="0"/>
                <w:color w:val="1F497D" w:themeColor="text2"/>
                <w:szCs w:val="20"/>
              </w:rPr>
            </w:pPr>
            <w:r w:rsidRPr="00BC4069">
              <w:rPr>
                <w:rFonts w:ascii="Arial" w:hAnsi="Arial" w:cs="Arial"/>
                <w:b w:val="0"/>
                <w:color w:val="1F497D" w:themeColor="text2"/>
                <w:szCs w:val="20"/>
              </w:rPr>
              <w:t xml:space="preserve"> </w:t>
            </w:r>
          </w:p>
          <w:p w:rsidR="001A6E7E" w:rsidRPr="00BC4069" w:rsidRDefault="001A6E7E" w:rsidP="001A6E7E">
            <w:pPr>
              <w:rPr>
                <w:rFonts w:ascii="Arial" w:hAnsi="Arial" w:cs="Arial"/>
                <w:b w:val="0"/>
                <w:color w:val="1F497D" w:themeColor="text2"/>
                <w:szCs w:val="20"/>
              </w:rPr>
            </w:pPr>
            <w:r w:rsidRPr="00BC4069">
              <w:rPr>
                <w:rFonts w:ascii="Arial" w:hAnsi="Arial" w:cs="Arial"/>
                <w:b w:val="0"/>
                <w:color w:val="1F497D" w:themeColor="text2"/>
                <w:szCs w:val="20"/>
              </w:rPr>
              <w:t>U toku izrade zakona obavljene su konsultacije sa Udruženjem banaka Crne Gore i sa predstavnicima kompanije „Mastercard“, a nakon izrade Nacrta zakona sve zainteresovane strane su bile pozvane da u okviru javne rasprave u periodu od 10. decembra 2018. godine do 20. januara 2019. godine dostave primjedbe, predloge i sugestije. U toku trajanja javne rasprave primjedbe, predloge i sugestije su dostavili Udruženja banaka, 4 poslovne banke, kompanije „Mastercard“ i “Viza“.</w:t>
            </w:r>
          </w:p>
          <w:p w:rsidR="001A6E7E" w:rsidRPr="00BC4069" w:rsidRDefault="001A6E7E" w:rsidP="001A6E7E">
            <w:pPr>
              <w:rPr>
                <w:rFonts w:ascii="Arial" w:hAnsi="Arial" w:cs="Arial"/>
                <w:b w:val="0"/>
                <w:color w:val="1F497D" w:themeColor="text2"/>
                <w:szCs w:val="20"/>
              </w:rPr>
            </w:pPr>
          </w:p>
          <w:p w:rsidR="001A6E7E" w:rsidRPr="00BC4069" w:rsidRDefault="001A6E7E" w:rsidP="00B96EC3">
            <w:pPr>
              <w:rPr>
                <w:rFonts w:ascii="Arial" w:hAnsi="Arial" w:cs="Arial"/>
                <w:b w:val="0"/>
                <w:color w:val="1F497D" w:themeColor="text2"/>
                <w:sz w:val="20"/>
                <w:szCs w:val="20"/>
              </w:rPr>
            </w:pPr>
            <w:r w:rsidRPr="00BC4069">
              <w:rPr>
                <w:rFonts w:ascii="Arial" w:hAnsi="Arial" w:cs="Arial"/>
                <w:b w:val="0"/>
                <w:color w:val="1F497D" w:themeColor="text2"/>
                <w:szCs w:val="20"/>
              </w:rPr>
              <w:t>Odgovori na dostavljene primjedbe, predloge i sugestije dati su u Izvještaju o sprovedenoj javnoj raspravi o ovom zakonu.</w:t>
            </w:r>
          </w:p>
          <w:p w:rsidR="00AA117E" w:rsidRPr="00BC4069" w:rsidRDefault="00AA117E" w:rsidP="001A6E7E">
            <w:pPr>
              <w:autoSpaceDE w:val="0"/>
              <w:autoSpaceDN w:val="0"/>
              <w:adjustRightInd w:val="0"/>
              <w:rPr>
                <w:rFonts w:ascii="Arial" w:hAnsi="Arial" w:cs="Arial"/>
                <w:b w:val="0"/>
                <w:color w:val="1F497D" w:themeColor="text2"/>
                <w:sz w:val="20"/>
                <w:szCs w:val="20"/>
              </w:rPr>
            </w:pPr>
          </w:p>
        </w:tc>
      </w:tr>
      <w:tr w:rsidR="00282840" w:rsidRPr="00BC4069" w:rsidTr="000511F0">
        <w:trPr>
          <w:cnfStyle w:val="000000100000"/>
        </w:trPr>
        <w:tc>
          <w:tcPr>
            <w:cnfStyle w:val="001000000000"/>
            <w:tcW w:w="9576" w:type="dxa"/>
            <w:gridSpan w:val="2"/>
          </w:tcPr>
          <w:p w:rsidR="00282840" w:rsidRPr="00BC4069" w:rsidRDefault="00673F68" w:rsidP="00282840">
            <w:pPr>
              <w:autoSpaceDE w:val="0"/>
              <w:autoSpaceDN w:val="0"/>
              <w:adjustRightInd w:val="0"/>
              <w:rPr>
                <w:rFonts w:ascii="Arial" w:hAnsi="Arial" w:cs="Arial"/>
                <w:b w:val="0"/>
                <w:color w:val="1F497D" w:themeColor="text2"/>
                <w:sz w:val="20"/>
                <w:szCs w:val="20"/>
              </w:rPr>
            </w:pPr>
            <w:r w:rsidRPr="00BC4069">
              <w:rPr>
                <w:rFonts w:ascii="Arial" w:hAnsi="Arial" w:cs="Arial"/>
                <w:color w:val="1F497D" w:themeColor="text2"/>
                <w:sz w:val="20"/>
                <w:szCs w:val="20"/>
              </w:rPr>
              <w:t>7</w:t>
            </w:r>
            <w:r w:rsidR="00282840" w:rsidRPr="00BC4069">
              <w:rPr>
                <w:rFonts w:ascii="Arial" w:hAnsi="Arial" w:cs="Arial"/>
                <w:color w:val="1F497D" w:themeColor="text2"/>
                <w:sz w:val="20"/>
                <w:szCs w:val="20"/>
              </w:rPr>
              <w:t>: Monitoring i evaluacija</w:t>
            </w:r>
          </w:p>
          <w:p w:rsidR="0000426F" w:rsidRPr="00BC4069" w:rsidRDefault="00D06D2A" w:rsidP="0000426F">
            <w:pPr>
              <w:pStyle w:val="ListParagraph"/>
              <w:numPr>
                <w:ilvl w:val="0"/>
                <w:numId w:val="13"/>
              </w:numPr>
              <w:autoSpaceDE w:val="0"/>
              <w:autoSpaceDN w:val="0"/>
              <w:adjustRightInd w:val="0"/>
              <w:contextualSpacing/>
              <w:jc w:val="left"/>
              <w:rPr>
                <w:rFonts w:ascii="Arial" w:hAnsi="Arial" w:cs="Arial"/>
                <w:color w:val="1F497D" w:themeColor="text2"/>
                <w:sz w:val="20"/>
                <w:szCs w:val="20"/>
              </w:rPr>
            </w:pPr>
            <w:r w:rsidRPr="00BC4069">
              <w:rPr>
                <w:rFonts w:ascii="Arial" w:hAnsi="Arial" w:cs="Arial"/>
                <w:color w:val="1F497D" w:themeColor="text2"/>
                <w:sz w:val="20"/>
                <w:szCs w:val="20"/>
              </w:rPr>
              <w:t>K</w:t>
            </w:r>
            <w:r w:rsidR="00A07773" w:rsidRPr="00BC4069">
              <w:rPr>
                <w:rFonts w:ascii="Arial" w:hAnsi="Arial" w:cs="Arial"/>
                <w:color w:val="1F497D" w:themeColor="text2"/>
                <w:sz w:val="20"/>
                <w:szCs w:val="20"/>
              </w:rPr>
              <w:t xml:space="preserve">oje su potencijalne prepreke za implementaciju propisa? </w:t>
            </w:r>
          </w:p>
          <w:p w:rsidR="00A07773" w:rsidRPr="00BC4069" w:rsidRDefault="00D06D2A" w:rsidP="0000426F">
            <w:pPr>
              <w:pStyle w:val="ListParagraph"/>
              <w:numPr>
                <w:ilvl w:val="0"/>
                <w:numId w:val="13"/>
              </w:numPr>
              <w:autoSpaceDE w:val="0"/>
              <w:autoSpaceDN w:val="0"/>
              <w:adjustRightInd w:val="0"/>
              <w:contextualSpacing/>
              <w:jc w:val="left"/>
              <w:rPr>
                <w:rFonts w:ascii="Arial" w:hAnsi="Arial" w:cs="Arial"/>
                <w:color w:val="1F497D" w:themeColor="text2"/>
                <w:sz w:val="20"/>
                <w:szCs w:val="20"/>
              </w:rPr>
            </w:pPr>
            <w:r w:rsidRPr="00BC4069">
              <w:rPr>
                <w:rFonts w:ascii="Arial" w:hAnsi="Arial" w:cs="Arial"/>
                <w:color w:val="1F497D" w:themeColor="text2"/>
                <w:sz w:val="20"/>
                <w:szCs w:val="20"/>
              </w:rPr>
              <w:t>K</w:t>
            </w:r>
            <w:r w:rsidR="00A07773" w:rsidRPr="00BC4069">
              <w:rPr>
                <w:rFonts w:ascii="Arial" w:hAnsi="Arial" w:cs="Arial"/>
                <w:color w:val="1F497D" w:themeColor="text2"/>
                <w:sz w:val="20"/>
                <w:szCs w:val="20"/>
              </w:rPr>
              <w:t>oje će mjere biti preduzete tokom primjene propisa da bi se ispunili ciljevi</w:t>
            </w:r>
            <w:r w:rsidRPr="00BC4069">
              <w:rPr>
                <w:rFonts w:ascii="Arial" w:hAnsi="Arial" w:cs="Arial"/>
                <w:color w:val="1F497D" w:themeColor="text2"/>
                <w:sz w:val="20"/>
                <w:szCs w:val="20"/>
              </w:rPr>
              <w:t>?</w:t>
            </w:r>
          </w:p>
          <w:p w:rsidR="00A07773" w:rsidRPr="00BC4069" w:rsidRDefault="00D06D2A" w:rsidP="00A07773">
            <w:pPr>
              <w:pStyle w:val="ListParagraph"/>
              <w:numPr>
                <w:ilvl w:val="0"/>
                <w:numId w:val="13"/>
              </w:numPr>
              <w:autoSpaceDE w:val="0"/>
              <w:autoSpaceDN w:val="0"/>
              <w:adjustRightInd w:val="0"/>
              <w:contextualSpacing/>
              <w:jc w:val="left"/>
              <w:rPr>
                <w:rFonts w:ascii="Arial" w:hAnsi="Arial" w:cs="Arial"/>
                <w:color w:val="1F497D" w:themeColor="text2"/>
                <w:sz w:val="20"/>
                <w:szCs w:val="20"/>
              </w:rPr>
            </w:pPr>
            <w:r w:rsidRPr="00BC4069">
              <w:rPr>
                <w:rFonts w:ascii="Arial" w:hAnsi="Arial" w:cs="Arial"/>
                <w:color w:val="1F497D" w:themeColor="text2"/>
                <w:sz w:val="20"/>
                <w:szCs w:val="20"/>
              </w:rPr>
              <w:t>K</w:t>
            </w:r>
            <w:r w:rsidR="00A07773" w:rsidRPr="00BC4069">
              <w:rPr>
                <w:rFonts w:ascii="Arial" w:hAnsi="Arial" w:cs="Arial"/>
                <w:color w:val="1F497D" w:themeColor="text2"/>
                <w:sz w:val="20"/>
                <w:szCs w:val="20"/>
              </w:rPr>
              <w:t>oji su glavni indikatori prema kojima će se mjeriti ispunjenje ciljeva?</w:t>
            </w:r>
          </w:p>
          <w:p w:rsidR="00A07773" w:rsidRPr="00BC4069" w:rsidRDefault="00D06D2A" w:rsidP="00A07773">
            <w:pPr>
              <w:pStyle w:val="ListParagraph"/>
              <w:numPr>
                <w:ilvl w:val="0"/>
                <w:numId w:val="13"/>
              </w:numPr>
              <w:autoSpaceDE w:val="0"/>
              <w:autoSpaceDN w:val="0"/>
              <w:adjustRightInd w:val="0"/>
              <w:contextualSpacing/>
              <w:jc w:val="left"/>
              <w:rPr>
                <w:rFonts w:ascii="Arial" w:hAnsi="Arial" w:cs="Arial"/>
                <w:b w:val="0"/>
                <w:color w:val="1F497D" w:themeColor="text2"/>
                <w:sz w:val="20"/>
                <w:szCs w:val="20"/>
              </w:rPr>
            </w:pPr>
            <w:r w:rsidRPr="00BC4069">
              <w:rPr>
                <w:rFonts w:ascii="Arial" w:hAnsi="Arial" w:cs="Arial"/>
                <w:color w:val="1F497D" w:themeColor="text2"/>
                <w:sz w:val="20"/>
                <w:szCs w:val="20"/>
              </w:rPr>
              <w:t>K</w:t>
            </w:r>
            <w:r w:rsidR="00A07773" w:rsidRPr="00BC4069">
              <w:rPr>
                <w:rFonts w:ascii="Arial" w:hAnsi="Arial" w:cs="Arial"/>
                <w:color w:val="1F497D" w:themeColor="text2"/>
                <w:sz w:val="20"/>
                <w:szCs w:val="20"/>
              </w:rPr>
              <w:t>o će biti zadužen za sprovođenje monitoringa i evaluacije primjene propisa?</w:t>
            </w:r>
          </w:p>
        </w:tc>
      </w:tr>
      <w:tr w:rsidR="00282840" w:rsidRPr="00BC4069" w:rsidTr="000511F0">
        <w:trPr>
          <w:cnfStyle w:val="000000010000"/>
        </w:trPr>
        <w:tc>
          <w:tcPr>
            <w:cnfStyle w:val="001000000000"/>
            <w:tcW w:w="9576" w:type="dxa"/>
            <w:gridSpan w:val="2"/>
          </w:tcPr>
          <w:p w:rsidR="00833765" w:rsidRPr="00BC4069" w:rsidRDefault="00833765" w:rsidP="00282840">
            <w:pPr>
              <w:autoSpaceDE w:val="0"/>
              <w:autoSpaceDN w:val="0"/>
              <w:adjustRightInd w:val="0"/>
              <w:rPr>
                <w:rFonts w:ascii="Arial" w:hAnsi="Arial" w:cs="Arial"/>
                <w:b w:val="0"/>
                <w:color w:val="1F497D" w:themeColor="text2"/>
                <w:szCs w:val="20"/>
              </w:rPr>
            </w:pPr>
          </w:p>
          <w:p w:rsidR="001A6E7E" w:rsidRPr="00BC4069" w:rsidRDefault="001A6E7E" w:rsidP="001A6E7E">
            <w:pPr>
              <w:rPr>
                <w:rFonts w:ascii="Arial" w:hAnsi="Arial" w:cs="Arial"/>
                <w:b w:val="0"/>
                <w:color w:val="1F497D" w:themeColor="text2"/>
                <w:szCs w:val="20"/>
              </w:rPr>
            </w:pPr>
            <w:r w:rsidRPr="00BC4069">
              <w:rPr>
                <w:rFonts w:ascii="Arial" w:hAnsi="Arial" w:cs="Arial"/>
                <w:b w:val="0"/>
                <w:color w:val="1F497D" w:themeColor="text2"/>
                <w:szCs w:val="20"/>
                <w:lang w:val="it-IT"/>
              </w:rPr>
              <w:t xml:space="preserve">U postupku implementacije ovog zakona, biće neophodno sprovesti aktivnosti kontrole pružalaca platnih usluga, koje će vršiti Centralna banka, kao i aktivnosti kontrole trgovaca kao primaoca plaćanja koje će vršiti </w:t>
            </w:r>
            <w:r w:rsidRPr="00BC4069">
              <w:rPr>
                <w:rFonts w:ascii="Arial" w:hAnsi="Arial" w:cs="Arial"/>
                <w:b w:val="0"/>
                <w:color w:val="1F497D" w:themeColor="text2"/>
                <w:szCs w:val="20"/>
              </w:rPr>
              <w:t>nadležni organi određeni zakonom kojim se uređuje zaštita potrošača.</w:t>
            </w:r>
          </w:p>
          <w:p w:rsidR="001A6E7E" w:rsidRPr="00BC4069" w:rsidRDefault="001A6E7E" w:rsidP="001A6E7E">
            <w:pPr>
              <w:pStyle w:val="ListParagraph"/>
              <w:ind w:left="0"/>
              <w:contextualSpacing/>
              <w:rPr>
                <w:rFonts w:ascii="Arial" w:hAnsi="Arial" w:cs="Arial"/>
                <w:b w:val="0"/>
                <w:color w:val="1F497D" w:themeColor="text2"/>
                <w:szCs w:val="20"/>
                <w:lang w:val="it-IT"/>
              </w:rPr>
            </w:pPr>
          </w:p>
          <w:p w:rsidR="001A6E7E" w:rsidRPr="00BC4069" w:rsidRDefault="001A6E7E" w:rsidP="001A6E7E">
            <w:pPr>
              <w:pStyle w:val="ListParagraph"/>
              <w:ind w:left="0"/>
              <w:contextualSpacing/>
              <w:rPr>
                <w:rFonts w:ascii="Arial" w:hAnsi="Arial" w:cs="Arial"/>
                <w:b w:val="0"/>
                <w:color w:val="1F497D" w:themeColor="text2"/>
                <w:szCs w:val="20"/>
              </w:rPr>
            </w:pPr>
            <w:r w:rsidRPr="00BC4069">
              <w:rPr>
                <w:rFonts w:ascii="Arial" w:hAnsi="Arial" w:cs="Arial"/>
                <w:b w:val="0"/>
                <w:color w:val="1F497D" w:themeColor="text2"/>
                <w:szCs w:val="20"/>
                <w:lang w:val="it-IT"/>
              </w:rPr>
              <w:t>Posebne prepreke u implementaciji ovog propisa se ne očekuju, jer je predloženo da primjena propisa otpočne nakon isteka roka od dvije godine od dana njegovog stupanja na</w:t>
            </w:r>
            <w:r w:rsidR="00B96EC3" w:rsidRPr="00BC4069">
              <w:rPr>
                <w:rFonts w:ascii="Arial" w:hAnsi="Arial" w:cs="Arial"/>
                <w:b w:val="0"/>
                <w:color w:val="1F497D" w:themeColor="text2"/>
                <w:szCs w:val="20"/>
                <w:lang w:val="it-IT"/>
              </w:rPr>
              <w:t xml:space="preserve"> snagu, što se ocjenjuje kao </w:t>
            </w:r>
            <w:r w:rsidRPr="00BC4069">
              <w:rPr>
                <w:rFonts w:ascii="Arial" w:hAnsi="Arial" w:cs="Arial"/>
                <w:b w:val="0"/>
                <w:color w:val="1F497D" w:themeColor="text2"/>
                <w:szCs w:val="20"/>
                <w:lang w:val="it-IT"/>
              </w:rPr>
              <w:t>dovoljan period da se svi subjekti, u čija se prava i obaveze “zadire” ovim zakonom, prilagode i spremno dočekaju njegovu primjenu.</w:t>
            </w:r>
          </w:p>
          <w:p w:rsidR="001A6E7E" w:rsidRPr="00BC4069" w:rsidRDefault="001A6E7E" w:rsidP="001A6E7E">
            <w:pPr>
              <w:pStyle w:val="ListParagraph"/>
              <w:autoSpaceDE w:val="0"/>
              <w:autoSpaceDN w:val="0"/>
              <w:adjustRightInd w:val="0"/>
              <w:ind w:left="0"/>
              <w:rPr>
                <w:rFonts w:ascii="Arial" w:hAnsi="Arial" w:cs="Arial"/>
                <w:b w:val="0"/>
                <w:color w:val="1F497D" w:themeColor="text2"/>
                <w:szCs w:val="20"/>
              </w:rPr>
            </w:pPr>
          </w:p>
          <w:p w:rsidR="001A6E7E" w:rsidRPr="00BC4069" w:rsidRDefault="001A6E7E" w:rsidP="001A6E7E">
            <w:pPr>
              <w:pStyle w:val="ListParagraph"/>
              <w:autoSpaceDE w:val="0"/>
              <w:autoSpaceDN w:val="0"/>
              <w:adjustRightInd w:val="0"/>
              <w:ind w:left="0"/>
              <w:contextualSpacing/>
              <w:rPr>
                <w:rFonts w:ascii="Arial" w:hAnsi="Arial" w:cs="Arial"/>
                <w:b w:val="0"/>
                <w:bCs w:val="0"/>
                <w:color w:val="1F497D" w:themeColor="text2"/>
                <w:szCs w:val="20"/>
                <w:lang w:val="it-IT"/>
              </w:rPr>
            </w:pPr>
            <w:r w:rsidRPr="00BC4069">
              <w:rPr>
                <w:rFonts w:ascii="Arial" w:hAnsi="Arial" w:cs="Arial"/>
                <w:b w:val="0"/>
                <w:color w:val="1F497D" w:themeColor="text2"/>
                <w:szCs w:val="20"/>
                <w:lang w:val="it-IT"/>
              </w:rPr>
              <w:t>Da bi se ispunili ciljevi, biće preduzeto niz mjera i aktivnosti, a posebno:</w:t>
            </w:r>
          </w:p>
          <w:p w:rsidR="001A6E7E" w:rsidRPr="00BC4069" w:rsidRDefault="001A6E7E" w:rsidP="001A6E7E">
            <w:pPr>
              <w:pStyle w:val="ListParagraph"/>
              <w:autoSpaceDE w:val="0"/>
              <w:autoSpaceDN w:val="0"/>
              <w:adjustRightInd w:val="0"/>
              <w:ind w:left="0"/>
              <w:rPr>
                <w:rFonts w:ascii="Arial" w:hAnsi="Arial" w:cs="Arial"/>
                <w:b w:val="0"/>
                <w:bCs w:val="0"/>
                <w:color w:val="1F497D" w:themeColor="text2"/>
                <w:szCs w:val="20"/>
                <w:lang w:val="it-IT"/>
              </w:rPr>
            </w:pPr>
            <w:r w:rsidRPr="00BC4069">
              <w:rPr>
                <w:rFonts w:ascii="Arial" w:hAnsi="Arial" w:cs="Arial"/>
                <w:b w:val="0"/>
                <w:color w:val="1F497D" w:themeColor="text2"/>
                <w:szCs w:val="20"/>
                <w:lang w:val="it-IT"/>
              </w:rPr>
              <w:t xml:space="preserve"> </w:t>
            </w:r>
          </w:p>
          <w:p w:rsidR="001A6E7E" w:rsidRPr="00BC4069" w:rsidRDefault="001A6E7E" w:rsidP="001A6E7E">
            <w:pPr>
              <w:pStyle w:val="ListParagraph"/>
              <w:numPr>
                <w:ilvl w:val="1"/>
                <w:numId w:val="16"/>
              </w:numPr>
              <w:autoSpaceDE w:val="0"/>
              <w:autoSpaceDN w:val="0"/>
              <w:adjustRightInd w:val="0"/>
              <w:ind w:left="1087"/>
              <w:contextualSpacing/>
              <w:rPr>
                <w:rFonts w:ascii="Arial" w:hAnsi="Arial" w:cs="Arial"/>
                <w:b w:val="0"/>
                <w:bCs w:val="0"/>
                <w:color w:val="1F497D" w:themeColor="text2"/>
                <w:szCs w:val="20"/>
                <w:lang w:val="it-IT"/>
              </w:rPr>
            </w:pPr>
            <w:r w:rsidRPr="00BC4069">
              <w:rPr>
                <w:rFonts w:ascii="Arial" w:hAnsi="Arial" w:cs="Arial"/>
                <w:b w:val="0"/>
                <w:color w:val="1F497D" w:themeColor="text2"/>
                <w:szCs w:val="20"/>
                <w:lang w:val="it-IT"/>
              </w:rPr>
              <w:t xml:space="preserve">dodatne regulatorne aktivnosti, radi donošenja neophodnih podzakonskih akata za implementaciju novog zakona; </w:t>
            </w:r>
          </w:p>
          <w:p w:rsidR="001A6E7E" w:rsidRPr="00BC4069" w:rsidRDefault="001A6E7E" w:rsidP="001A6E7E">
            <w:pPr>
              <w:pStyle w:val="ListParagraph"/>
              <w:numPr>
                <w:ilvl w:val="1"/>
                <w:numId w:val="16"/>
              </w:numPr>
              <w:autoSpaceDE w:val="0"/>
              <w:autoSpaceDN w:val="0"/>
              <w:adjustRightInd w:val="0"/>
              <w:ind w:left="1087"/>
              <w:contextualSpacing/>
              <w:rPr>
                <w:rFonts w:ascii="Arial" w:hAnsi="Arial" w:cs="Arial"/>
                <w:b w:val="0"/>
                <w:bCs w:val="0"/>
                <w:color w:val="1F497D" w:themeColor="text2"/>
                <w:szCs w:val="20"/>
                <w:lang w:val="it-IT"/>
              </w:rPr>
            </w:pPr>
            <w:r w:rsidRPr="00BC4069">
              <w:rPr>
                <w:rFonts w:ascii="Arial" w:hAnsi="Arial" w:cs="Arial"/>
                <w:b w:val="0"/>
                <w:color w:val="1F497D" w:themeColor="text2"/>
                <w:szCs w:val="20"/>
                <w:lang w:val="it-IT"/>
              </w:rPr>
              <w:t xml:space="preserve">Centralna banka će obezbijediti neophodnu edukaciju zaposlenih koji će raditi na poslovima nadzora.  </w:t>
            </w:r>
          </w:p>
          <w:p w:rsidR="001A6E7E" w:rsidRPr="00BC4069" w:rsidRDefault="001A6E7E" w:rsidP="001A6E7E">
            <w:pPr>
              <w:ind w:left="630"/>
              <w:rPr>
                <w:rFonts w:ascii="Arial" w:hAnsi="Arial" w:cs="Arial"/>
                <w:b w:val="0"/>
                <w:color w:val="1F497D" w:themeColor="text2"/>
                <w:szCs w:val="20"/>
                <w:lang w:val="it-IT"/>
              </w:rPr>
            </w:pPr>
          </w:p>
          <w:p w:rsidR="001A6E7E" w:rsidRPr="00BC4069" w:rsidRDefault="001A6E7E" w:rsidP="001A6E7E">
            <w:pPr>
              <w:rPr>
                <w:rFonts w:ascii="Arial" w:hAnsi="Arial" w:cs="Arial"/>
                <w:b w:val="0"/>
                <w:color w:val="1F497D" w:themeColor="text2"/>
                <w:szCs w:val="20"/>
                <w:lang w:val="it-IT"/>
              </w:rPr>
            </w:pPr>
            <w:r w:rsidRPr="00BC4069">
              <w:rPr>
                <w:rFonts w:ascii="Arial" w:hAnsi="Arial" w:cs="Arial"/>
                <w:b w:val="0"/>
                <w:color w:val="1F497D" w:themeColor="text2"/>
                <w:szCs w:val="20"/>
                <w:lang w:val="it-IT"/>
              </w:rPr>
              <w:t>Ispunjenje ciljeva mjeriće se na osnovu većeg broja indikatora, a posebno:</w:t>
            </w:r>
          </w:p>
          <w:p w:rsidR="001A6E7E" w:rsidRPr="00BC4069" w:rsidRDefault="001A6E7E" w:rsidP="001A6E7E">
            <w:pPr>
              <w:numPr>
                <w:ilvl w:val="0"/>
                <w:numId w:val="18"/>
              </w:numPr>
              <w:rPr>
                <w:rFonts w:ascii="Arial" w:hAnsi="Arial" w:cs="Arial"/>
                <w:b w:val="0"/>
                <w:color w:val="1F497D" w:themeColor="text2"/>
                <w:szCs w:val="20"/>
                <w:lang w:val="it-IT"/>
              </w:rPr>
            </w:pPr>
            <w:r w:rsidRPr="00BC4069">
              <w:rPr>
                <w:rFonts w:ascii="Arial" w:hAnsi="Arial" w:cs="Arial"/>
                <w:b w:val="0"/>
                <w:color w:val="1F497D" w:themeColor="text2"/>
                <w:szCs w:val="20"/>
              </w:rPr>
              <w:t>kroz praćenje primjene ograničenja visine međubankarske naknade za transakcije debitnom i kreditnom karticom na osnovu podataka koje će pružaoci platnih usluga biti obavezni da dostavljaju Centralnoj banci;</w:t>
            </w:r>
          </w:p>
          <w:p w:rsidR="001A6E7E" w:rsidRPr="00BC4069" w:rsidRDefault="001A6E7E" w:rsidP="001A6E7E">
            <w:pPr>
              <w:numPr>
                <w:ilvl w:val="0"/>
                <w:numId w:val="18"/>
              </w:numPr>
              <w:rPr>
                <w:rFonts w:ascii="Arial" w:hAnsi="Arial" w:cs="Arial"/>
                <w:b w:val="0"/>
                <w:color w:val="1F497D" w:themeColor="text2"/>
                <w:szCs w:val="20"/>
                <w:lang w:val="it-IT"/>
              </w:rPr>
            </w:pPr>
            <w:r w:rsidRPr="00BC4069">
              <w:rPr>
                <w:rFonts w:ascii="Arial" w:hAnsi="Arial" w:cs="Arial"/>
                <w:b w:val="0"/>
                <w:color w:val="1F497D" w:themeColor="text2"/>
                <w:szCs w:val="20"/>
              </w:rPr>
              <w:t>kroz praćenje stanja konkurencije na tržištu pružanja platnih usluga prihvatanja platnih transakcija na osnovu platnih kartica u Crnoj Gori, i</w:t>
            </w:r>
          </w:p>
          <w:p w:rsidR="001A6E7E" w:rsidRPr="00BC4069" w:rsidRDefault="001A6E7E" w:rsidP="001A6E7E">
            <w:pPr>
              <w:numPr>
                <w:ilvl w:val="0"/>
                <w:numId w:val="18"/>
              </w:numPr>
              <w:rPr>
                <w:rFonts w:ascii="Arial" w:hAnsi="Arial" w:cs="Arial"/>
                <w:b w:val="0"/>
                <w:color w:val="1F497D" w:themeColor="text2"/>
                <w:szCs w:val="20"/>
                <w:lang w:val="it-IT"/>
              </w:rPr>
            </w:pPr>
            <w:r w:rsidRPr="00BC4069">
              <w:rPr>
                <w:rFonts w:ascii="Arial" w:hAnsi="Arial" w:cs="Arial"/>
                <w:b w:val="0"/>
                <w:color w:val="1F497D" w:themeColor="text2"/>
                <w:szCs w:val="20"/>
              </w:rPr>
              <w:t>kroz nezavisne izvještaje o usklađenosti kartičnih platnih šema sa propisanim pravilima poslovanja.</w:t>
            </w:r>
          </w:p>
          <w:p w:rsidR="001A6E7E" w:rsidRPr="00BC4069" w:rsidRDefault="001A6E7E" w:rsidP="001A6E7E">
            <w:pPr>
              <w:ind w:left="630"/>
              <w:rPr>
                <w:rFonts w:ascii="Arial" w:hAnsi="Arial" w:cs="Arial"/>
                <w:b w:val="0"/>
                <w:color w:val="1F497D" w:themeColor="text2"/>
                <w:szCs w:val="20"/>
                <w:lang w:val="it-IT"/>
              </w:rPr>
            </w:pPr>
          </w:p>
          <w:p w:rsidR="001A6E7E" w:rsidRPr="00BC4069" w:rsidRDefault="001A6E7E" w:rsidP="001A6E7E">
            <w:pPr>
              <w:rPr>
                <w:rFonts w:ascii="Arial" w:hAnsi="Arial" w:cs="Arial"/>
                <w:b w:val="0"/>
                <w:color w:val="1F497D" w:themeColor="text2"/>
                <w:szCs w:val="20"/>
                <w:lang w:val="it-IT"/>
              </w:rPr>
            </w:pPr>
            <w:r w:rsidRPr="00BC4069">
              <w:rPr>
                <w:rFonts w:ascii="Arial" w:hAnsi="Arial" w:cs="Arial"/>
                <w:b w:val="0"/>
                <w:color w:val="1F497D" w:themeColor="text2"/>
                <w:szCs w:val="20"/>
                <w:lang w:val="it-IT"/>
              </w:rPr>
              <w:t>Za monitoring primjene ovog zakona biće zadužena Centralna banka u dijelu:</w:t>
            </w:r>
          </w:p>
          <w:p w:rsidR="001A6E7E" w:rsidRPr="00BC4069" w:rsidRDefault="001A6E7E" w:rsidP="001A6E7E">
            <w:pPr>
              <w:numPr>
                <w:ilvl w:val="0"/>
                <w:numId w:val="17"/>
              </w:numPr>
              <w:rPr>
                <w:rFonts w:ascii="Arial" w:hAnsi="Arial" w:cs="Arial"/>
                <w:b w:val="0"/>
                <w:color w:val="1F497D" w:themeColor="text2"/>
                <w:szCs w:val="20"/>
                <w:lang w:val="it-IT"/>
              </w:rPr>
            </w:pPr>
            <w:r w:rsidRPr="00BC4069">
              <w:rPr>
                <w:rFonts w:ascii="Arial" w:hAnsi="Arial" w:cs="Arial"/>
                <w:b w:val="0"/>
                <w:color w:val="1F497D" w:themeColor="text2"/>
                <w:szCs w:val="20"/>
                <w:lang w:val="it-IT"/>
              </w:rPr>
              <w:t>kontrole poslovanja kreditnih institucija, platnih institucija i institucija elektronskog novca u skladu sa ovim zakonom, na način i u postupku koji je propisan zakonom kojim se uređuje poslovanje kreditnih institucija i zakonom kojim se uređuje platni promet.</w:t>
            </w:r>
          </w:p>
          <w:p w:rsidR="001A6E7E" w:rsidRPr="00BC4069" w:rsidRDefault="001A6E7E" w:rsidP="001A6E7E">
            <w:pPr>
              <w:numPr>
                <w:ilvl w:val="0"/>
                <w:numId w:val="17"/>
              </w:numPr>
              <w:rPr>
                <w:rFonts w:ascii="Arial" w:hAnsi="Arial" w:cs="Arial"/>
                <w:b w:val="0"/>
                <w:color w:val="1F497D" w:themeColor="text2"/>
                <w:szCs w:val="20"/>
                <w:lang w:val="it-IT"/>
              </w:rPr>
            </w:pPr>
            <w:r w:rsidRPr="00BC4069">
              <w:rPr>
                <w:rFonts w:ascii="Arial" w:hAnsi="Arial" w:cs="Arial"/>
                <w:b w:val="0"/>
                <w:color w:val="1F497D" w:themeColor="text2"/>
                <w:szCs w:val="20"/>
                <w:lang w:val="it-IT"/>
              </w:rPr>
              <w:t>kontrole poslovanja kartičnih platnih šema, izvršilaca obrade (procesora) i drugih pružalaca tehničkih usluga, kojima se podržava izvršavanje platnih transakcija koje su predmet ovog zakona, odnosno lica koja su odgovorna za poslovanje ovih subjekata.</w:t>
            </w:r>
          </w:p>
          <w:p w:rsidR="001A6E7E" w:rsidRPr="00BC4069" w:rsidRDefault="001A6E7E" w:rsidP="001A6E7E">
            <w:pPr>
              <w:ind w:left="1080"/>
              <w:rPr>
                <w:rFonts w:ascii="Arial" w:hAnsi="Arial" w:cs="Arial"/>
                <w:b w:val="0"/>
                <w:color w:val="1F497D" w:themeColor="text2"/>
                <w:szCs w:val="20"/>
                <w:lang w:val="it-IT"/>
              </w:rPr>
            </w:pPr>
          </w:p>
          <w:p w:rsidR="001A6E7E" w:rsidRPr="00BC4069" w:rsidRDefault="001A6E7E" w:rsidP="001A6E7E">
            <w:pPr>
              <w:rPr>
                <w:rFonts w:ascii="Arial" w:hAnsi="Arial" w:cs="Arial"/>
                <w:b w:val="0"/>
                <w:color w:val="1F497D" w:themeColor="text2"/>
                <w:szCs w:val="20"/>
                <w:lang w:val="it-IT"/>
              </w:rPr>
            </w:pPr>
            <w:r w:rsidRPr="00BC4069">
              <w:rPr>
                <w:rFonts w:ascii="Arial" w:hAnsi="Arial" w:cs="Arial"/>
                <w:b w:val="0"/>
                <w:color w:val="1F497D" w:themeColor="text2"/>
                <w:szCs w:val="20"/>
                <w:lang w:val="it-IT"/>
              </w:rPr>
              <w:t>Nadzor nad primjenom odredbi ovog zakona i inspekcijski nadzor koji se odnose na trgovce kao primaoce plaćanja vršiće nadležni organi određeni zakonom kojim se uređuje zaštita potrošača.</w:t>
            </w:r>
          </w:p>
          <w:p w:rsidR="001A6E7E" w:rsidRPr="00BC4069" w:rsidRDefault="001A6E7E" w:rsidP="001A6E7E">
            <w:pPr>
              <w:rPr>
                <w:rFonts w:ascii="Arial" w:hAnsi="Arial" w:cs="Arial"/>
                <w:b w:val="0"/>
                <w:color w:val="1F497D" w:themeColor="text2"/>
                <w:szCs w:val="20"/>
                <w:lang w:val="it-IT"/>
              </w:rPr>
            </w:pPr>
          </w:p>
          <w:p w:rsidR="001A6E7E" w:rsidRPr="00BC4069" w:rsidRDefault="001A6E7E" w:rsidP="001A6E7E">
            <w:pPr>
              <w:rPr>
                <w:rFonts w:ascii="Arial" w:hAnsi="Arial" w:cs="Arial"/>
                <w:b w:val="0"/>
                <w:color w:val="1F497D" w:themeColor="text2"/>
                <w:szCs w:val="20"/>
                <w:lang w:val="it-IT"/>
              </w:rPr>
            </w:pPr>
            <w:r w:rsidRPr="00BC4069">
              <w:rPr>
                <w:rFonts w:ascii="Arial" w:hAnsi="Arial" w:cs="Arial"/>
                <w:b w:val="0"/>
                <w:color w:val="1F497D" w:themeColor="text2"/>
                <w:szCs w:val="20"/>
                <w:lang w:val="it-IT"/>
              </w:rPr>
              <w:t>Centralna banka će, u okviru svojih godišnjih izvještaja o radu, Skupštinu Crne Gore redovno izvještavati o najznačajnijim indikatorima u oblasti primjene ovog zakona.</w:t>
            </w:r>
          </w:p>
          <w:p w:rsidR="00FB6BD5" w:rsidRPr="00BC4069" w:rsidRDefault="001A6E7E" w:rsidP="00B96EC3">
            <w:pPr>
              <w:autoSpaceDE w:val="0"/>
              <w:autoSpaceDN w:val="0"/>
              <w:adjustRightInd w:val="0"/>
              <w:rPr>
                <w:rFonts w:ascii="Arial" w:hAnsi="Arial" w:cs="Arial"/>
                <w:b w:val="0"/>
                <w:color w:val="1F497D" w:themeColor="text2"/>
                <w:sz w:val="20"/>
                <w:szCs w:val="20"/>
              </w:rPr>
            </w:pPr>
            <w:r w:rsidRPr="00BC4069">
              <w:rPr>
                <w:rFonts w:ascii="Arial" w:hAnsi="Arial" w:cs="Arial"/>
                <w:bCs w:val="0"/>
                <w:color w:val="1F497D" w:themeColor="text2"/>
                <w:sz w:val="20"/>
                <w:szCs w:val="20"/>
                <w:lang w:val="it-IT"/>
              </w:rPr>
              <w:t xml:space="preserve">     </w:t>
            </w:r>
          </w:p>
        </w:tc>
      </w:tr>
    </w:tbl>
    <w:p w:rsidR="00BA7396" w:rsidRPr="00BC4069" w:rsidRDefault="00BA7396" w:rsidP="00BA7396">
      <w:pPr>
        <w:autoSpaceDE w:val="0"/>
        <w:autoSpaceDN w:val="0"/>
        <w:adjustRightInd w:val="0"/>
        <w:rPr>
          <w:rFonts w:ascii="Arial" w:hAnsi="Arial" w:cs="Arial"/>
          <w:b/>
          <w:bCs w:val="0"/>
          <w:color w:val="1F497D" w:themeColor="text2"/>
          <w:sz w:val="20"/>
          <w:szCs w:val="20"/>
        </w:rPr>
      </w:pPr>
    </w:p>
    <w:p w:rsidR="00BA7396" w:rsidRPr="00BC4069" w:rsidRDefault="00BA7396" w:rsidP="00BA7396">
      <w:pPr>
        <w:autoSpaceDE w:val="0"/>
        <w:autoSpaceDN w:val="0"/>
        <w:adjustRightInd w:val="0"/>
        <w:rPr>
          <w:rFonts w:ascii="Arial" w:hAnsi="Arial" w:cs="Arial"/>
          <w:b/>
          <w:bCs w:val="0"/>
          <w:color w:val="1F497D" w:themeColor="text2"/>
          <w:sz w:val="20"/>
          <w:szCs w:val="20"/>
        </w:rPr>
      </w:pPr>
    </w:p>
    <w:p w:rsidR="004A4396" w:rsidRPr="00BC4069" w:rsidRDefault="004A4396" w:rsidP="00BA7396">
      <w:pPr>
        <w:autoSpaceDE w:val="0"/>
        <w:autoSpaceDN w:val="0"/>
        <w:adjustRightInd w:val="0"/>
        <w:rPr>
          <w:rFonts w:ascii="Arial" w:hAnsi="Arial" w:cs="Arial"/>
          <w:b/>
          <w:color w:val="1F497D" w:themeColor="text2"/>
          <w:sz w:val="20"/>
          <w:szCs w:val="20"/>
        </w:rPr>
      </w:pPr>
    </w:p>
    <w:p w:rsidR="004A4396" w:rsidRPr="00BC4069" w:rsidRDefault="004A4396">
      <w:pPr>
        <w:rPr>
          <w:rFonts w:ascii="Arial" w:hAnsi="Arial" w:cs="Arial"/>
          <w:color w:val="1F497D" w:themeColor="text2"/>
        </w:rPr>
      </w:pPr>
    </w:p>
    <w:p w:rsidR="00972845" w:rsidRPr="00BC4069" w:rsidRDefault="00BD4282">
      <w:pPr>
        <w:rPr>
          <w:rFonts w:ascii="Arial" w:hAnsi="Arial" w:cs="Arial"/>
          <w:b/>
          <w:color w:val="1F497D" w:themeColor="text2"/>
        </w:rPr>
      </w:pPr>
      <w:r w:rsidRPr="00BC4069">
        <w:rPr>
          <w:rFonts w:ascii="Arial" w:hAnsi="Arial" w:cs="Arial"/>
          <w:b/>
          <w:color w:val="1F497D" w:themeColor="text2"/>
        </w:rPr>
        <w:t>Datum i mjesto</w:t>
      </w:r>
      <w:r w:rsidR="00972845" w:rsidRPr="00BC4069">
        <w:rPr>
          <w:rFonts w:ascii="Arial" w:hAnsi="Arial" w:cs="Arial"/>
          <w:b/>
          <w:color w:val="1F497D" w:themeColor="text2"/>
        </w:rPr>
        <w:tab/>
      </w:r>
      <w:r w:rsidR="00972845" w:rsidRPr="00BC4069">
        <w:rPr>
          <w:rFonts w:ascii="Arial" w:hAnsi="Arial" w:cs="Arial"/>
          <w:b/>
          <w:color w:val="1F497D" w:themeColor="text2"/>
        </w:rPr>
        <w:tab/>
      </w:r>
      <w:r w:rsidR="00972845" w:rsidRPr="00BC4069">
        <w:rPr>
          <w:rFonts w:ascii="Arial" w:hAnsi="Arial" w:cs="Arial"/>
          <w:b/>
          <w:color w:val="1F497D" w:themeColor="text2"/>
        </w:rPr>
        <w:tab/>
      </w:r>
      <w:r w:rsidR="00972845" w:rsidRPr="00BC4069">
        <w:rPr>
          <w:rFonts w:ascii="Arial" w:hAnsi="Arial" w:cs="Arial"/>
          <w:b/>
          <w:color w:val="1F497D" w:themeColor="text2"/>
        </w:rPr>
        <w:tab/>
      </w:r>
      <w:r w:rsidR="00972845" w:rsidRPr="00BC4069">
        <w:rPr>
          <w:rFonts w:ascii="Arial" w:hAnsi="Arial" w:cs="Arial"/>
          <w:b/>
          <w:color w:val="1F497D" w:themeColor="text2"/>
        </w:rPr>
        <w:tab/>
      </w:r>
      <w:r w:rsidR="00972845" w:rsidRPr="00BC4069">
        <w:rPr>
          <w:rFonts w:ascii="Arial" w:hAnsi="Arial" w:cs="Arial"/>
          <w:b/>
          <w:color w:val="1F497D" w:themeColor="text2"/>
        </w:rPr>
        <w:tab/>
        <w:t xml:space="preserve">Starješina </w:t>
      </w:r>
    </w:p>
    <w:p w:rsidR="00972845" w:rsidRPr="00BC4069" w:rsidRDefault="00972845">
      <w:pPr>
        <w:rPr>
          <w:rFonts w:ascii="Arial" w:hAnsi="Arial" w:cs="Arial"/>
          <w:color w:val="1F497D" w:themeColor="text2"/>
        </w:rPr>
      </w:pPr>
    </w:p>
    <w:p w:rsidR="00972845" w:rsidRPr="00BC4069" w:rsidRDefault="00972845">
      <w:pPr>
        <w:rPr>
          <w:rFonts w:ascii="Arial" w:hAnsi="Arial" w:cs="Arial"/>
          <w:color w:val="1F497D" w:themeColor="text2"/>
        </w:rPr>
      </w:pPr>
      <w:r w:rsidRPr="00BC4069">
        <w:rPr>
          <w:rFonts w:ascii="Arial" w:hAnsi="Arial" w:cs="Arial"/>
          <w:color w:val="1F497D" w:themeColor="text2"/>
        </w:rPr>
        <w:t>___________________</w:t>
      </w:r>
      <w:r w:rsidRPr="00BC4069">
        <w:rPr>
          <w:rFonts w:ascii="Arial" w:hAnsi="Arial" w:cs="Arial"/>
          <w:color w:val="1F497D" w:themeColor="text2"/>
        </w:rPr>
        <w:tab/>
      </w:r>
      <w:r w:rsidRPr="00BC4069">
        <w:rPr>
          <w:rFonts w:ascii="Arial" w:hAnsi="Arial" w:cs="Arial"/>
          <w:color w:val="1F497D" w:themeColor="text2"/>
        </w:rPr>
        <w:tab/>
      </w:r>
      <w:r w:rsidRPr="00BC4069">
        <w:rPr>
          <w:rFonts w:ascii="Arial" w:hAnsi="Arial" w:cs="Arial"/>
          <w:color w:val="1F497D" w:themeColor="text2"/>
        </w:rPr>
        <w:tab/>
      </w:r>
      <w:r w:rsidRPr="00BC4069">
        <w:rPr>
          <w:rFonts w:ascii="Arial" w:hAnsi="Arial" w:cs="Arial"/>
          <w:color w:val="1F497D" w:themeColor="text2"/>
        </w:rPr>
        <w:tab/>
      </w:r>
      <w:r w:rsidRPr="00BC4069">
        <w:rPr>
          <w:rFonts w:ascii="Arial" w:hAnsi="Arial" w:cs="Arial"/>
          <w:color w:val="1F497D" w:themeColor="text2"/>
        </w:rPr>
        <w:tab/>
        <w:t>__________________________</w:t>
      </w:r>
    </w:p>
    <w:p w:rsidR="00972845" w:rsidRPr="00BC4069" w:rsidRDefault="00972845">
      <w:pPr>
        <w:rPr>
          <w:rFonts w:ascii="Arial" w:hAnsi="Arial" w:cs="Arial"/>
          <w:color w:val="1F497D" w:themeColor="text2"/>
        </w:rPr>
      </w:pPr>
      <w:r w:rsidRPr="00BC4069">
        <w:rPr>
          <w:rFonts w:ascii="Arial" w:hAnsi="Arial" w:cs="Arial"/>
          <w:color w:val="1F497D" w:themeColor="text2"/>
        </w:rPr>
        <w:tab/>
      </w:r>
      <w:r w:rsidRPr="00BC4069">
        <w:rPr>
          <w:rFonts w:ascii="Arial" w:hAnsi="Arial" w:cs="Arial"/>
          <w:color w:val="1F497D" w:themeColor="text2"/>
        </w:rPr>
        <w:tab/>
      </w:r>
      <w:r w:rsidRPr="00BC4069">
        <w:rPr>
          <w:rFonts w:ascii="Arial" w:hAnsi="Arial" w:cs="Arial"/>
          <w:color w:val="1F497D" w:themeColor="text2"/>
        </w:rPr>
        <w:tab/>
      </w:r>
      <w:r w:rsidRPr="00BC4069">
        <w:rPr>
          <w:rFonts w:ascii="Arial" w:hAnsi="Arial" w:cs="Arial"/>
          <w:color w:val="1F497D" w:themeColor="text2"/>
        </w:rPr>
        <w:tab/>
      </w:r>
      <w:r w:rsidRPr="00BC4069">
        <w:rPr>
          <w:rFonts w:ascii="Arial" w:hAnsi="Arial" w:cs="Arial"/>
          <w:color w:val="1F497D" w:themeColor="text2"/>
        </w:rPr>
        <w:tab/>
      </w:r>
      <w:r w:rsidRPr="00BC4069">
        <w:rPr>
          <w:rFonts w:ascii="Arial" w:hAnsi="Arial" w:cs="Arial"/>
          <w:color w:val="1F497D" w:themeColor="text2"/>
        </w:rPr>
        <w:tab/>
      </w:r>
      <w:r w:rsidRPr="00BC4069">
        <w:rPr>
          <w:rFonts w:ascii="Arial" w:hAnsi="Arial" w:cs="Arial"/>
          <w:color w:val="1F497D" w:themeColor="text2"/>
        </w:rPr>
        <w:tab/>
      </w:r>
      <w:r w:rsidRPr="00BC4069">
        <w:rPr>
          <w:rFonts w:ascii="Arial" w:hAnsi="Arial" w:cs="Arial"/>
          <w:color w:val="1F497D" w:themeColor="text2"/>
        </w:rPr>
        <w:tab/>
      </w:r>
    </w:p>
    <w:p w:rsidR="00972845" w:rsidRPr="00BC4069" w:rsidRDefault="00972845">
      <w:pPr>
        <w:rPr>
          <w:rFonts w:ascii="Arial" w:hAnsi="Arial" w:cs="Arial"/>
          <w:color w:val="1F497D" w:themeColor="text2"/>
        </w:rPr>
      </w:pPr>
    </w:p>
    <w:sectPr w:rsidR="00972845" w:rsidRPr="00BC4069" w:rsidSect="00392F9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326" w:rsidRDefault="00CA3326" w:rsidP="00BA7396">
      <w:r>
        <w:separator/>
      </w:r>
    </w:p>
  </w:endnote>
  <w:endnote w:type="continuationSeparator" w:id="0">
    <w:p w:rsidR="00CA3326" w:rsidRDefault="00CA3326" w:rsidP="00BA73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326" w:rsidRDefault="00CA3326" w:rsidP="00BA7396">
      <w:r>
        <w:separator/>
      </w:r>
    </w:p>
  </w:footnote>
  <w:footnote w:type="continuationSeparator" w:id="0">
    <w:p w:rsidR="00CA3326" w:rsidRDefault="00CA3326" w:rsidP="00BA73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2DAA"/>
    <w:multiLevelType w:val="hybridMultilevel"/>
    <w:tmpl w:val="14684B00"/>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B57D2"/>
    <w:multiLevelType w:val="hybridMultilevel"/>
    <w:tmpl w:val="C696205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20597"/>
    <w:multiLevelType w:val="hybridMultilevel"/>
    <w:tmpl w:val="321E1914"/>
    <w:lvl w:ilvl="0" w:tplc="3822B8EE">
      <w:numFmt w:val="bullet"/>
      <w:lvlText w:val="-"/>
      <w:lvlJc w:val="left"/>
      <w:pPr>
        <w:ind w:left="720" w:hanging="360"/>
      </w:pPr>
      <w:rPr>
        <w:rFonts w:ascii="Arial" w:eastAsia="Times New Roman" w:hAnsi="Aria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013A0"/>
    <w:multiLevelType w:val="hybridMultilevel"/>
    <w:tmpl w:val="2DAEBCC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AD3405"/>
    <w:multiLevelType w:val="hybridMultilevel"/>
    <w:tmpl w:val="B3C89CCA"/>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themeColor="accent1"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C04483"/>
    <w:multiLevelType w:val="hybridMultilevel"/>
    <w:tmpl w:val="20F26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5C725B"/>
    <w:multiLevelType w:val="hybridMultilevel"/>
    <w:tmpl w:val="AEF45A62"/>
    <w:lvl w:ilvl="0" w:tplc="D0C015EA">
      <w:start w:val="1"/>
      <w:numFmt w:val="decimal"/>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F642BB"/>
    <w:multiLevelType w:val="hybridMultilevel"/>
    <w:tmpl w:val="84A6604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C43E4"/>
    <w:multiLevelType w:val="hybridMultilevel"/>
    <w:tmpl w:val="A5426B4C"/>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F42989"/>
    <w:multiLevelType w:val="hybridMultilevel"/>
    <w:tmpl w:val="4D0A119E"/>
    <w:lvl w:ilvl="0" w:tplc="2DA8E178">
      <w:start w:val="1"/>
      <w:numFmt w:val="bullet"/>
      <w:lvlText w:val=""/>
      <w:lvlJc w:val="left"/>
      <w:pPr>
        <w:ind w:left="720" w:hanging="360"/>
      </w:pPr>
      <w:rPr>
        <w:rFonts w:ascii="Wingdings" w:hAnsi="Wingding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49BC02A2"/>
    <w:multiLevelType w:val="hybridMultilevel"/>
    <w:tmpl w:val="5AE44FA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725B7A"/>
    <w:multiLevelType w:val="multilevel"/>
    <w:tmpl w:val="5816C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BC61493"/>
    <w:multiLevelType w:val="hybridMultilevel"/>
    <w:tmpl w:val="14B02274"/>
    <w:lvl w:ilvl="0" w:tplc="33F25096">
      <w:start w:val="2"/>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CC254D1"/>
    <w:multiLevelType w:val="hybridMultilevel"/>
    <w:tmpl w:val="178C9F28"/>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B514C2"/>
    <w:multiLevelType w:val="hybridMultilevel"/>
    <w:tmpl w:val="06C64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AD80FF7"/>
    <w:multiLevelType w:val="hybridMultilevel"/>
    <w:tmpl w:val="5C84A8B4"/>
    <w:lvl w:ilvl="0" w:tplc="2DA8E178">
      <w:start w:val="1"/>
      <w:numFmt w:val="bullet"/>
      <w:lvlText w:val=""/>
      <w:lvlJc w:val="left"/>
      <w:pPr>
        <w:ind w:left="720" w:hanging="360"/>
      </w:pPr>
      <w:rPr>
        <w:rFonts w:ascii="Wingdings" w:hAnsi="Wingdings"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15"/>
  </w:num>
  <w:num w:numId="5">
    <w:abstractNumId w:val="4"/>
  </w:num>
  <w:num w:numId="6">
    <w:abstractNumId w:val="1"/>
  </w:num>
  <w:num w:numId="7">
    <w:abstractNumId w:val="9"/>
  </w:num>
  <w:num w:numId="8">
    <w:abstractNumId w:val="10"/>
  </w:num>
  <w:num w:numId="9">
    <w:abstractNumId w:val="17"/>
  </w:num>
  <w:num w:numId="10">
    <w:abstractNumId w:val="12"/>
  </w:num>
  <w:num w:numId="11">
    <w:abstractNumId w:val="5"/>
  </w:num>
  <w:num w:numId="12">
    <w:abstractNumId w:val="7"/>
  </w:num>
  <w:num w:numId="13">
    <w:abstractNumId w:val="11"/>
  </w:num>
  <w:num w:numId="14">
    <w:abstractNumId w:val="14"/>
  </w:num>
  <w:num w:numId="15">
    <w:abstractNumId w:val="13"/>
  </w:num>
  <w:num w:numId="16">
    <w:abstractNumId w:val="2"/>
  </w:num>
  <w:num w:numId="17">
    <w:abstractNumId w:val="16"/>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characterSpacingControl w:val="doNotCompress"/>
  <w:savePreviewPicture/>
  <w:footnotePr>
    <w:footnote w:id="-1"/>
    <w:footnote w:id="0"/>
  </w:footnotePr>
  <w:endnotePr>
    <w:endnote w:id="-1"/>
    <w:endnote w:id="0"/>
  </w:endnotePr>
  <w:compat/>
  <w:rsids>
    <w:rsidRoot w:val="00BA7396"/>
    <w:rsid w:val="0000426F"/>
    <w:rsid w:val="00021FD9"/>
    <w:rsid w:val="000511F0"/>
    <w:rsid w:val="00067FCF"/>
    <w:rsid w:val="000716AC"/>
    <w:rsid w:val="00075306"/>
    <w:rsid w:val="0009156F"/>
    <w:rsid w:val="000E5392"/>
    <w:rsid w:val="00101B1F"/>
    <w:rsid w:val="00162BB1"/>
    <w:rsid w:val="001A6E7E"/>
    <w:rsid w:val="001C7348"/>
    <w:rsid w:val="001D0BF0"/>
    <w:rsid w:val="001E1794"/>
    <w:rsid w:val="00282840"/>
    <w:rsid w:val="00284A91"/>
    <w:rsid w:val="00285824"/>
    <w:rsid w:val="00294662"/>
    <w:rsid w:val="00295023"/>
    <w:rsid w:val="002E14F6"/>
    <w:rsid w:val="002E7569"/>
    <w:rsid w:val="00310915"/>
    <w:rsid w:val="003140AE"/>
    <w:rsid w:val="00357476"/>
    <w:rsid w:val="00392F99"/>
    <w:rsid w:val="00395587"/>
    <w:rsid w:val="003A6CA1"/>
    <w:rsid w:val="003F334E"/>
    <w:rsid w:val="004A4396"/>
    <w:rsid w:val="0054756C"/>
    <w:rsid w:val="00565582"/>
    <w:rsid w:val="005805F3"/>
    <w:rsid w:val="005C4266"/>
    <w:rsid w:val="005D3B82"/>
    <w:rsid w:val="005F03ED"/>
    <w:rsid w:val="005F6D49"/>
    <w:rsid w:val="005F7D9E"/>
    <w:rsid w:val="00601210"/>
    <w:rsid w:val="006129CD"/>
    <w:rsid w:val="00673F68"/>
    <w:rsid w:val="00681DE1"/>
    <w:rsid w:val="006A1B2C"/>
    <w:rsid w:val="006A3B25"/>
    <w:rsid w:val="006E4E97"/>
    <w:rsid w:val="00702CFF"/>
    <w:rsid w:val="00721DB9"/>
    <w:rsid w:val="00733149"/>
    <w:rsid w:val="00736E8D"/>
    <w:rsid w:val="007A1C7D"/>
    <w:rsid w:val="007C12EB"/>
    <w:rsid w:val="007D05DC"/>
    <w:rsid w:val="007D44F5"/>
    <w:rsid w:val="008275CE"/>
    <w:rsid w:val="008301C9"/>
    <w:rsid w:val="008322D4"/>
    <w:rsid w:val="00833765"/>
    <w:rsid w:val="0085327D"/>
    <w:rsid w:val="00871235"/>
    <w:rsid w:val="00893CE2"/>
    <w:rsid w:val="008A6A0D"/>
    <w:rsid w:val="008B09E9"/>
    <w:rsid w:val="009432C3"/>
    <w:rsid w:val="00960A46"/>
    <w:rsid w:val="00961FD9"/>
    <w:rsid w:val="00972845"/>
    <w:rsid w:val="009B0355"/>
    <w:rsid w:val="009F157B"/>
    <w:rsid w:val="00A07773"/>
    <w:rsid w:val="00A20E56"/>
    <w:rsid w:val="00A265F9"/>
    <w:rsid w:val="00A71595"/>
    <w:rsid w:val="00AA117E"/>
    <w:rsid w:val="00AB78BE"/>
    <w:rsid w:val="00AD100C"/>
    <w:rsid w:val="00B2646E"/>
    <w:rsid w:val="00B96EC3"/>
    <w:rsid w:val="00BA7396"/>
    <w:rsid w:val="00BC4069"/>
    <w:rsid w:val="00BD4282"/>
    <w:rsid w:val="00C137FC"/>
    <w:rsid w:val="00C179F9"/>
    <w:rsid w:val="00C25FF4"/>
    <w:rsid w:val="00C5148C"/>
    <w:rsid w:val="00C72668"/>
    <w:rsid w:val="00C87DA2"/>
    <w:rsid w:val="00CA3326"/>
    <w:rsid w:val="00CE11D6"/>
    <w:rsid w:val="00D06D2A"/>
    <w:rsid w:val="00D27C82"/>
    <w:rsid w:val="00D37E39"/>
    <w:rsid w:val="00D4308A"/>
    <w:rsid w:val="00D47985"/>
    <w:rsid w:val="00E3478E"/>
    <w:rsid w:val="00E53D93"/>
    <w:rsid w:val="00E721E9"/>
    <w:rsid w:val="00ED0AF4"/>
    <w:rsid w:val="00ED4766"/>
    <w:rsid w:val="00F72683"/>
    <w:rsid w:val="00F7433F"/>
    <w:rsid w:val="00F80243"/>
    <w:rsid w:val="00F81DA2"/>
    <w:rsid w:val="00F829CD"/>
    <w:rsid w:val="00FB07C7"/>
    <w:rsid w:val="00FB6BD5"/>
    <w:rsid w:val="00FB7C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Branko"/>
    <w:qFormat/>
    <w:rsid w:val="00BA7396"/>
    <w:pPr>
      <w:spacing w:after="0" w:line="240" w:lineRule="auto"/>
      <w:jc w:val="both"/>
    </w:pPr>
    <w:rPr>
      <w:rFonts w:ascii="Garamond" w:eastAsia="Times New Roman" w:hAnsi="Garamond" w:cs="Times New Roman"/>
      <w:bCs/>
      <w:sz w:val="24"/>
      <w:lang w:val="en-GB" w:eastAsia="en-GB"/>
    </w:rPr>
  </w:style>
  <w:style w:type="paragraph" w:styleId="Heading2">
    <w:name w:val="heading 2"/>
    <w:basedOn w:val="Normal"/>
    <w:next w:val="Normal"/>
    <w:link w:val="Heading2Char"/>
    <w:autoRedefine/>
    <w:qFormat/>
    <w:rsid w:val="00BA7396"/>
    <w:pPr>
      <w:keepNext/>
      <w:numPr>
        <w:numId w:val="12"/>
      </w:numPr>
      <w:spacing w:before="240" w:after="60"/>
      <w:outlineLvl w:val="1"/>
    </w:pPr>
    <w:rPr>
      <w:rFonts w:ascii="Arial" w:hAnsi="Arial" w:cs="Arial"/>
      <w:b/>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7396"/>
    <w:rPr>
      <w:rFonts w:ascii="Arial" w:eastAsia="Times New Roman" w:hAnsi="Arial" w:cs="Arial"/>
      <w:b/>
      <w:bCs/>
      <w:iCs/>
      <w:szCs w:val="28"/>
      <w:lang w:val="en-GB" w:eastAsia="en-GB"/>
    </w:rPr>
  </w:style>
  <w:style w:type="paragraph" w:styleId="FootnoteText">
    <w:name w:val="footnote text"/>
    <w:basedOn w:val="Normal"/>
    <w:link w:val="FootnoteTextChar"/>
    <w:autoRedefine/>
    <w:uiPriority w:val="99"/>
    <w:semiHidden/>
    <w:rsid w:val="00BA7396"/>
    <w:pPr>
      <w:spacing w:before="40" w:after="40"/>
      <w:jc w:val="left"/>
    </w:pPr>
    <w:rPr>
      <w:rFonts w:ascii="Arial" w:hAnsi="Arial" w:cs="Arial"/>
      <w:sz w:val="16"/>
      <w:szCs w:val="16"/>
    </w:rPr>
  </w:style>
  <w:style w:type="character" w:customStyle="1" w:styleId="FootnoteTextChar">
    <w:name w:val="Footnote Text Char"/>
    <w:basedOn w:val="DefaultParagraphFont"/>
    <w:link w:val="FootnoteText"/>
    <w:uiPriority w:val="99"/>
    <w:semiHidden/>
    <w:rsid w:val="00BA7396"/>
    <w:rPr>
      <w:rFonts w:ascii="Arial" w:eastAsia="Times New Roman" w:hAnsi="Arial" w:cs="Arial"/>
      <w:bCs/>
      <w:sz w:val="16"/>
      <w:szCs w:val="16"/>
      <w:lang w:val="en-GB" w:eastAsia="en-GB"/>
    </w:rPr>
  </w:style>
  <w:style w:type="character" w:styleId="FootnoteReference">
    <w:name w:val="footnote reference"/>
    <w:basedOn w:val="DefaultParagraphFont"/>
    <w:uiPriority w:val="99"/>
    <w:semiHidden/>
    <w:rsid w:val="00BA7396"/>
    <w:rPr>
      <w:rFonts w:ascii="Garamond" w:hAnsi="Garamond"/>
      <w:sz w:val="20"/>
      <w:vertAlign w:val="superscript"/>
    </w:rPr>
  </w:style>
  <w:style w:type="paragraph" w:styleId="ListParagraph">
    <w:name w:val="List Paragraph"/>
    <w:basedOn w:val="Normal"/>
    <w:uiPriority w:val="34"/>
    <w:qFormat/>
    <w:rsid w:val="00BA7396"/>
    <w:pPr>
      <w:ind w:left="720"/>
    </w:pPr>
  </w:style>
  <w:style w:type="table" w:styleId="TableGrid">
    <w:name w:val="Table Grid"/>
    <w:basedOn w:val="TableNormal"/>
    <w:uiPriority w:val="59"/>
    <w:rsid w:val="00832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pand1">
    <w:name w:val="expand1"/>
    <w:basedOn w:val="DefaultParagraphFont"/>
    <w:rsid w:val="005F03ED"/>
    <w:rPr>
      <w:rFonts w:ascii="Arial" w:hAnsi="Arial" w:cs="Arial" w:hint="default"/>
      <w:i w:val="0"/>
      <w:iCs w:val="0"/>
      <w:vanish/>
      <w:webHidden w:val="0"/>
      <w:sz w:val="18"/>
      <w:szCs w:val="18"/>
      <w:specVanish w:val="0"/>
    </w:rPr>
  </w:style>
  <w:style w:type="table" w:styleId="LightGrid-Accent5">
    <w:name w:val="Light Grid Accent 5"/>
    <w:basedOn w:val="TableNormal"/>
    <w:uiPriority w:val="62"/>
    <w:rsid w:val="000511F0"/>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rsid w:val="00067FCF"/>
    <w:rPr>
      <w:rFonts w:ascii="Tahoma" w:eastAsia="Times New Roman" w:hAnsi="Tahoma" w:cs="Tahoma"/>
      <w:bCs/>
      <w:sz w:val="16"/>
      <w:szCs w:val="16"/>
      <w:lang w:val="en-GB" w:eastAsia="en-GB"/>
    </w:rPr>
  </w:style>
  <w:style w:type="character" w:styleId="CommentReference">
    <w:name w:val="annotation reference"/>
    <w:basedOn w:val="DefaultParagraphFont"/>
    <w:uiPriority w:val="99"/>
    <w:semiHidden/>
    <w:unhideWhenUsed/>
    <w:rsid w:val="001D0BF0"/>
    <w:rPr>
      <w:sz w:val="16"/>
      <w:szCs w:val="16"/>
    </w:rPr>
  </w:style>
  <w:style w:type="paragraph" w:styleId="CommentText">
    <w:name w:val="annotation text"/>
    <w:basedOn w:val="Normal"/>
    <w:link w:val="CommentTextChar"/>
    <w:uiPriority w:val="99"/>
    <w:semiHidden/>
    <w:unhideWhenUsed/>
    <w:rsid w:val="001D0BF0"/>
    <w:rPr>
      <w:sz w:val="20"/>
      <w:szCs w:val="20"/>
    </w:rPr>
  </w:style>
  <w:style w:type="character" w:customStyle="1" w:styleId="CommentTextChar">
    <w:name w:val="Comment Text Char"/>
    <w:basedOn w:val="DefaultParagraphFont"/>
    <w:link w:val="CommentText"/>
    <w:uiPriority w:val="99"/>
    <w:semiHidden/>
    <w:rsid w:val="001D0BF0"/>
    <w:rPr>
      <w:rFonts w:ascii="Garamond" w:eastAsia="Times New Roman"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rsid w:val="001D0BF0"/>
    <w:rPr>
      <w:b/>
    </w:rPr>
  </w:style>
  <w:style w:type="paragraph" w:customStyle="1" w:styleId="msolistparagraph0">
    <w:name w:val="msolistparagraph"/>
    <w:basedOn w:val="Normal"/>
    <w:uiPriority w:val="99"/>
    <w:rsid w:val="001A6E7E"/>
    <w:pPr>
      <w:ind w:left="720"/>
      <w:jc w:val="left"/>
    </w:pPr>
    <w:rPr>
      <w:rFonts w:ascii="Times New Roman" w:hAnsi="Times New Roman"/>
      <w:bCs w:val="0"/>
      <w:szCs w:val="24"/>
      <w:lang w:val="en-US" w:eastAsia="en-US"/>
    </w:rPr>
  </w:style>
  <w:style w:type="paragraph" w:styleId="NormalWeb">
    <w:name w:val="Normal (Web)"/>
    <w:basedOn w:val="Normal"/>
    <w:uiPriority w:val="99"/>
    <w:unhideWhenUsed/>
    <w:rsid w:val="001A6E7E"/>
    <w:rPr>
      <w:rFonts w:ascii="Times New Roman" w:hAnsi="Times New Roman"/>
      <w:szCs w:val="24"/>
    </w:rPr>
  </w:style>
  <w:style w:type="paragraph" w:styleId="NoSpacing">
    <w:name w:val="No Spacing"/>
    <w:uiPriority w:val="1"/>
    <w:qFormat/>
    <w:rsid w:val="00BC4069"/>
    <w:pPr>
      <w:spacing w:after="0" w:line="240" w:lineRule="auto"/>
      <w:jc w:val="both"/>
    </w:pPr>
    <w:rPr>
      <w:rFonts w:ascii="Garamond" w:eastAsia="Times New Roman" w:hAnsi="Garamond" w:cs="Times New Roman"/>
      <w:bCs/>
      <w:sz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3217690063420182"/>
          <c:y val="0.25221710493735455"/>
          <c:w val="0.53650727135502907"/>
          <c:h val="0.5902253256078841"/>
        </c:manualLayout>
      </c:layout>
      <c:barChart>
        <c:barDir val="col"/>
        <c:grouping val="clustered"/>
        <c:ser>
          <c:idx val="0"/>
          <c:order val="0"/>
          <c:tx>
            <c:strRef>
              <c:f>Sheet1!$A$42</c:f>
              <c:strCache>
                <c:ptCount val="1"/>
                <c:pt idx="0">
                  <c:v> Broj ATM terminala</c:v>
                </c:pt>
              </c:strCache>
            </c:strRef>
          </c:tx>
          <c:cat>
            <c:numRef>
              <c:f>Sheet1!$B$41:$G$41</c:f>
              <c:numCache>
                <c:formatCode>General</c:formatCode>
                <c:ptCount val="6"/>
                <c:pt idx="0">
                  <c:v>2012</c:v>
                </c:pt>
                <c:pt idx="1">
                  <c:v>2013</c:v>
                </c:pt>
                <c:pt idx="2">
                  <c:v>2014</c:v>
                </c:pt>
                <c:pt idx="3">
                  <c:v>2015</c:v>
                </c:pt>
                <c:pt idx="4">
                  <c:v>2016</c:v>
                </c:pt>
                <c:pt idx="5">
                  <c:v>2017</c:v>
                </c:pt>
              </c:numCache>
            </c:numRef>
          </c:cat>
          <c:val>
            <c:numRef>
              <c:f>Sheet1!$B$42:$G$42</c:f>
              <c:numCache>
                <c:formatCode>General</c:formatCode>
                <c:ptCount val="6"/>
                <c:pt idx="0">
                  <c:v>327</c:v>
                </c:pt>
                <c:pt idx="1">
                  <c:v>334</c:v>
                </c:pt>
                <c:pt idx="2">
                  <c:v>347</c:v>
                </c:pt>
                <c:pt idx="3">
                  <c:v>374</c:v>
                </c:pt>
                <c:pt idx="4">
                  <c:v>388</c:v>
                </c:pt>
                <c:pt idx="5">
                  <c:v>402</c:v>
                </c:pt>
              </c:numCache>
            </c:numRef>
          </c:val>
        </c:ser>
        <c:ser>
          <c:idx val="1"/>
          <c:order val="1"/>
          <c:tx>
            <c:strRef>
              <c:f>Sheet1!$A$43</c:f>
              <c:strCache>
                <c:ptCount val="1"/>
                <c:pt idx="0">
                  <c:v> Broj POS terminala</c:v>
                </c:pt>
              </c:strCache>
            </c:strRef>
          </c:tx>
          <c:cat>
            <c:numRef>
              <c:f>Sheet1!$B$41:$G$41</c:f>
              <c:numCache>
                <c:formatCode>General</c:formatCode>
                <c:ptCount val="6"/>
                <c:pt idx="0">
                  <c:v>2012</c:v>
                </c:pt>
                <c:pt idx="1">
                  <c:v>2013</c:v>
                </c:pt>
                <c:pt idx="2">
                  <c:v>2014</c:v>
                </c:pt>
                <c:pt idx="3">
                  <c:v>2015</c:v>
                </c:pt>
                <c:pt idx="4">
                  <c:v>2016</c:v>
                </c:pt>
                <c:pt idx="5">
                  <c:v>2017</c:v>
                </c:pt>
              </c:numCache>
            </c:numRef>
          </c:cat>
          <c:val>
            <c:numRef>
              <c:f>Sheet1!$B$43:$G$43</c:f>
              <c:numCache>
                <c:formatCode>#,##0</c:formatCode>
                <c:ptCount val="6"/>
                <c:pt idx="0">
                  <c:v>10779</c:v>
                </c:pt>
                <c:pt idx="1">
                  <c:v>11111</c:v>
                </c:pt>
                <c:pt idx="2">
                  <c:v>12784</c:v>
                </c:pt>
                <c:pt idx="3">
                  <c:v>11394</c:v>
                </c:pt>
                <c:pt idx="4">
                  <c:v>12829</c:v>
                </c:pt>
                <c:pt idx="5">
                  <c:v>12215</c:v>
                </c:pt>
              </c:numCache>
            </c:numRef>
          </c:val>
        </c:ser>
        <c:ser>
          <c:idx val="2"/>
          <c:order val="2"/>
          <c:tx>
            <c:strRef>
              <c:f>Sheet1!$A$44</c:f>
              <c:strCache>
                <c:ptCount val="1"/>
                <c:pt idx="0">
                  <c:v> Broj korisnika E-bankinga</c:v>
                </c:pt>
              </c:strCache>
            </c:strRef>
          </c:tx>
          <c:cat>
            <c:numRef>
              <c:f>Sheet1!$B$41:$G$41</c:f>
              <c:numCache>
                <c:formatCode>General</c:formatCode>
                <c:ptCount val="6"/>
                <c:pt idx="0">
                  <c:v>2012</c:v>
                </c:pt>
                <c:pt idx="1">
                  <c:v>2013</c:v>
                </c:pt>
                <c:pt idx="2">
                  <c:v>2014</c:v>
                </c:pt>
                <c:pt idx="3">
                  <c:v>2015</c:v>
                </c:pt>
                <c:pt idx="4">
                  <c:v>2016</c:v>
                </c:pt>
                <c:pt idx="5">
                  <c:v>2017</c:v>
                </c:pt>
              </c:numCache>
            </c:numRef>
          </c:cat>
          <c:val>
            <c:numRef>
              <c:f>Sheet1!$B$44:$G$44</c:f>
              <c:numCache>
                <c:formatCode>#,##0</c:formatCode>
                <c:ptCount val="6"/>
                <c:pt idx="0">
                  <c:v>34811</c:v>
                </c:pt>
                <c:pt idx="1">
                  <c:v>48215</c:v>
                </c:pt>
                <c:pt idx="2">
                  <c:v>62991</c:v>
                </c:pt>
                <c:pt idx="3">
                  <c:v>77197</c:v>
                </c:pt>
                <c:pt idx="4">
                  <c:v>70585</c:v>
                </c:pt>
                <c:pt idx="5">
                  <c:v>79535</c:v>
                </c:pt>
              </c:numCache>
            </c:numRef>
          </c:val>
        </c:ser>
        <c:axId val="105734144"/>
        <c:axId val="105735680"/>
      </c:barChart>
      <c:catAx>
        <c:axId val="105734144"/>
        <c:scaling>
          <c:orientation val="minMax"/>
        </c:scaling>
        <c:axPos val="b"/>
        <c:numFmt formatCode="General" sourceLinked="1"/>
        <c:tickLblPos val="nextTo"/>
        <c:crossAx val="105735680"/>
        <c:crosses val="autoZero"/>
        <c:auto val="1"/>
        <c:lblAlgn val="ctr"/>
        <c:lblOffset val="100"/>
      </c:catAx>
      <c:valAx>
        <c:axId val="105735680"/>
        <c:scaling>
          <c:orientation val="minMax"/>
        </c:scaling>
        <c:axPos val="l"/>
        <c:majorGridlines/>
        <c:numFmt formatCode="General" sourceLinked="1"/>
        <c:tickLblPos val="nextTo"/>
        <c:crossAx val="105734144"/>
        <c:crosses val="autoZero"/>
        <c:crossBetween val="between"/>
      </c:valAx>
    </c:plotArea>
    <c:legend>
      <c:legendPos val="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606C2-8ACC-4221-8505-BB14FB98A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3531</Words>
  <Characters>20129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lastModifiedBy>Aleksandra Popovic</cp:lastModifiedBy>
  <cp:revision>12</cp:revision>
  <cp:lastPrinted>2012-02-02T11:17:00Z</cp:lastPrinted>
  <dcterms:created xsi:type="dcterms:W3CDTF">2019-03-05T13:21:00Z</dcterms:created>
  <dcterms:modified xsi:type="dcterms:W3CDTF">2019-03-12T12:24:00Z</dcterms:modified>
</cp:coreProperties>
</file>